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#91 (c1)</w:t>
      </w:r>
    </w:p>
    <w:p>
      <w:r>
        <w:t xml:space="preserve">Prompt: </w:t>
      </w:r>
    </w:p>
    <w:p>
      <w:r>
        <w:t>--------------------</w:t>
      </w:r>
    </w:p>
    <w:p>
      <w:r>
        <w:t>The management of excessive population density within metropolitan areas is often attributed solely to professional city planners. In my opinion, I strongly disagree with disagree. This essay will provide two reasons supporting my idea.</w:t>
        <w:br/>
        <w:br/>
        <w:t>Policy-making bodies must bear significant responsibility for addressing issues of urban overcrowding. In other words, governmental policies dictate the parameters within which planners operate in everyday life. For instance, inadequate zoning laws allow developers to build high-density housing without sufficient green space. As a result, the existing infrastructure becomes severely strained, impacting daily life for residents. Hence, it becomes evident that policy decisions are foundational to effective urban development.</w:t>
        <w:br/>
        <w:br/>
        <w:t>Furthermore, the legislative branch plays a crucial role in mitigating the effects of population growth. This is primarily due to the fact that only policymakers can enact comprehensive regulations regarding housing standards. This can be exemplified by the fact that municipal governments can mandate minimum requirements for public amenities, such as schools and parks. The outcome is that developers are forced to incorporate sustainable practices into their projects. This clearly aligns with the view that policy intervention is essential for sustainable urban planning.</w:t>
        <w:br/>
        <w:br/>
        <w:t>In conclusion, I strongly disagree with disagree. This is clear from policy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