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#94 (c1)</w:t>
      </w:r>
    </w:p>
    <w:p>
      <w:r>
        <w:t xml:space="preserve">Prompt: </w:t>
      </w:r>
    </w:p>
    <w:p>
      <w:r>
        <w:t>--------------------</w:t>
      </w:r>
    </w:p>
    <w:p>
      <w:r>
        <w:t>The debate concerning whether national happiness metrics surpass economic indicators in determining a nation's overall development is highly relevant. In my opinion, I strongly agree with agree. This essay will provide two reasons supporting my idea.</w:t>
        <w:br/>
        <w:br/>
        <w:t>Prioritizing national happiness over mere economic expansion is crucial for achieving sustainable development. In other words, a nation's true progress is measured by the quality of life its citizens experience. For instance, countries with robust community support systems, such as Bhutan, consistently report high citizen satisfaction despite moderate GDP growth. As a result, the focus shifts from accumulating wealth to enhancing collective well-being. Hence, it becomes evident that human contentment forms the bedrock of a thriving society.</w:t>
        <w:br/>
        <w:br/>
        <w:t>Furthermore, focusing on happiness metrics encourages governments to address underlying social issues. This is primarily due to the fact that economic growth alone often fails to mitigate stress or inequality. This can be exemplified by the fact that highly industrialized nations sometimes exhibit high rates of mental health issues among their populace. The outcome is that policy makers must incorporate psychological upliftment into their planning. This clearly aligns with the view that comprehensive development requires more than just financial prosperity.</w:t>
        <w:br/>
        <w:br/>
        <w:t>In conclusion, I strongly agree with agree. This is clear from prioritizing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