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#94 (c1)</w:t>
      </w:r>
    </w:p>
    <w:p>
      <w:r>
        <w:t xml:space="preserve">Prompt: </w:t>
      </w:r>
    </w:p>
    <w:p>
      <w:r>
        <w:t>--------------------</w:t>
      </w:r>
    </w:p>
    <w:p>
      <w:r>
        <w:t>The debate concerning whether national happiness metrics are superior to economic indicators for measuring a nation's development remains highly contentious. In my opinion, I strongly disagree with disagree. This essay will provide two reasons supporting my idea.</w:t>
        <w:br/>
        <w:br/>
        <w:t>Economic growth remains the fundamental pillar of any developing nation. In other words, a robust economy provides the necessary resources for improving infrastructure and services in everyday life. For instance, a country experiencing high Gross Domestic Product (GDP) growth can afford advanced healthcare facilities. As a result, citizens benefit from better sanitation and educational opportunities. Hence, it becomes evident that material prosperity forms the essential foundation for a stable society.</w:t>
        <w:br/>
        <w:br/>
        <w:t>Focusing solely on subjective well-being overlooks crucial material necessities. This is primarily due to the fact that basic needs, such as food security and shelter, must be met first in everyday life. This can be exemplified by the fact that even highly 'happy' communities can suffer from poverty and lack of resources. The outcome is that without adequate economic stability, genuine quality of life improvements are unattainable. This clearly aligns with the view that economic stability must precede deep psychological upliftment.</w:t>
        <w:br/>
        <w:br/>
        <w:t>In conclusion, I strongly disagree with disagree. This is clear from economic and focusing.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