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#95 (c1)</w:t>
      </w:r>
    </w:p>
    <w:p>
      <w:r>
        <w:t xml:space="preserve">Prompt: </w:t>
      </w:r>
    </w:p>
    <w:p>
      <w:r>
        <w:t>--------------------</w:t>
      </w:r>
    </w:p>
    <w:p>
      <w:r>
        <w:t>The increasing reliance on credit cards has fundamentally altered modern financial transactions. In my opinion, I strongly positive with the view that a cashless society has more benefits than drawbacks. This essay will provide two reasons supporting my idea.</w:t>
        <w:br/>
        <w:br/>
        <w:t>On the one hand, credit cards offer unparalleled convenience in daily spending. In other words, they allow individuals to make purchases without needing physical cash. For instance, traveling abroad becomes significantly easier because most merchants accept card payments. As a result, consumers save considerable time and avoid the hassle of carrying large sums of money. Hence, it becomes evident that credit cards streamline the process of commerce.</w:t>
        <w:br/>
        <w:br/>
        <w:t>On the other hand, the potential for debt accumulation presents a significant drawback. This is primarily due to the fact that consumers may be tempted to spend beyond their actual means. This can be exemplified by the fact that individuals might use cards for non-essential luxury items. The outcome is that excessive borrowing can lead to severe financial distress and poor credit scores. This clearly aligns with the view that managing credit responsibly is crucial.</w:t>
        <w:br/>
        <w:br/>
        <w:t>In conclusion, I strongly positive with the view that a cashless society has more benefits than drawbacks. This is because digital payments enhance the efficiency of commerce, while the potential for debt accumulation merely underscores the necessity of responsible financial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