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#96 (c1)</w:t>
      </w:r>
    </w:p>
    <w:p>
      <w:r>
        <w:t xml:space="preserve">Prompt: </w:t>
      </w:r>
    </w:p>
    <w:p>
      <w:r>
        <w:t>--------------------</w:t>
      </w:r>
    </w:p>
    <w:p>
      <w:r>
        <w:t>Air travel is a significant component of modern global connectivity, influencing various aspects of daily life. In my opinion, I strongly positive with the view that air travel has more positive impacts on modern life. This essay will provide two reasons supporting my idea.</w:t>
        <w:br/>
        <w:br/>
        <w:t>On the one hand, air travel facilitates unparalleled global connectivity, which is a major positive impact. In other words, it allows people and goods to traverse vast distances quickly, connecting distant economies. For instance, international business meetings can be held across continents within a single week. As a result, global trade flourishes, stimulating economic growth and cultural exchange. Hence, it becomes evident that air travel is crucial for maintaining a highly interconnected world economy.</w:t>
        <w:br/>
        <w:br/>
        <w:t>On the other hand, air travel presents considerable environmental drawbacks, which is a significant negative impact. This is primarily due to the fact that the combustion of jet fuel releases substantial greenhouse gases into the atmosphere. This can be exemplified by the fact that a single flight contributes measurable carbon emissions, worsening air quality. The outcome is that the industry faces increasing scrutiny regarding its ecological footprint and sustainability. This clearly aligns with the view that air travel poses serious environmental challenges.</w:t>
        <w:br/>
        <w:br/>
        <w:t>In conclusion, I strongly agree that air travel has more positive impacts on modern life. While the environmental drawbacks are undeniable, the unparalleled global connectivity and economic stimulation provided by air travel remain fundamentally vital.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