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#97 (c1)</w:t>
      </w:r>
    </w:p>
    <w:p>
      <w:r>
        <w:t xml:space="preserve">Prompt: </w:t>
      </w:r>
    </w:p>
    <w:p>
      <w:r>
        <w:t>--------------------</w:t>
      </w:r>
    </w:p>
    <w:p>
      <w:r>
        <w:t>While formal education and books offer knowledge, practical experience provides a unique and valuable form of learning. In my opinion, I strongly agree with the view that experience is more effective and useful than books and formal education. This essay will provide two reasons supporting my idea.</w:t>
        <w:br/>
        <w:br/>
        <w:t>Practical experience is fundamentally superior to theoretical knowledge acquisition. In other words, learning through direct involvement develops skills that cannot be taught in a classroom setting. For instance, a student learning carpentry from an apprenticeship gains muscle memory and problem-solving abilities. As a result, they become proficient in handling unexpected structural issues, which is vital for safety. Hence, it becomes evident that hands-on learning builds practical competence that academic study often overlooks.</w:t>
        <w:br/>
        <w:br/>
        <w:t>Another reason is that real-world challenges necessitate adaptability and quick decision-making. This is primarily due to the fact that academic curricula often present idealized, controlled scenarios. This can be exemplified by the fact that managing a sudden budget shortfall in a job requires negotiation skills. The outcome is that individuals learn to navigate complex human interactions and economic pressures. This clearly aligns with the view that practical experience is the most potent source of professional growth.</w:t>
        <w:br/>
        <w:br/>
        <w:t>In conclusion, I strongly agree that practical experience is more effective and useful than books and formal education. The development of practical competence through hands-on learning, alongside the necessity of adaptability in the real world, confirms this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