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#98 (c1)</w:t>
      </w:r>
    </w:p>
    <w:p>
      <w:r>
        <w:t xml:space="preserve">Prompt: </w:t>
      </w:r>
    </w:p>
    <w:p>
      <w:r>
        <w:t>--------------------</w:t>
      </w:r>
    </w:p>
    <w:p>
      <w:r>
        <w:t>Global challenges require coordinated efforts from both national governments and international organizations. In my opinion, I strongly agree with the view that governments and international organizations must act to solve global problems. This essay will provide two reasons supporting my idea.</w:t>
        <w:br/>
        <w:br/>
        <w:t>The major reason is that national governments often prioritize domestic interests over collective global well-being. In other words, countries frequently hesitate to implement stringent regulations if those rules impact their immediate economic growth. For instance, nations might resist adopting strict carbon emission standards, preferring to maintain current industrial practices. As a result, critical global issues, such as climate change, accumulate without sufficient mitigation efforts. Hence, it becomes evident that insufficient cooperation undermines global sustainability goals.</w:t>
        <w:br/>
        <w:br/>
        <w:t>One effective solution is establishing stronger international governance mechanisms and enforcing collective action. This is primarily due to the fact that a unified global mandate provides the necessary legal framework for cooperation. This can be exemplified by the fact that the World Health Organization coordinates responses to pandemics, ensuring shared resources. The outcome is that countries commit to mutual aid, thereby improving global safety and development. This clearly aligns with the view that international organizations must play a leading role in addressing global problems.</w:t>
        <w:br/>
        <w:br/>
        <w:t>In conclusion, I strongly agree with the view that governments and international organizations must act to solve global problems. This is because national governments often prioritize domestic interests, and establishing stronger international governance mechanisms provides the necessary legal framework for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