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 (b2)</w:t>
      </w:r>
    </w:p>
    <w:p>
      <w:r>
        <w:t xml:space="preserve">Prompt: </w:t>
      </w:r>
    </w:p>
    <w:p>
      <w:r>
        <w:t>--------------------</w:t>
      </w:r>
    </w:p>
    <w:p>
      <w:r>
        <w:t>Climate change is a major global issue that affects all parts of the world. In my opinion, I strongly agree with the view that governments have the main responsibility to take action on climate change. This essay will provide two reasons supporting my idea.</w:t>
        <w:br/>
        <w:br/>
        <w:t>Governments hold the main responsibility for tackling climate change. In other words, they have the power to create and enforce large-scale environmental rules. For instance, a government can set limits on industrial pollution and require cleaner energy sources. As a result, companies must change their methods to meet these new standards. Hence, it becomes evident that only governments can make these necessary changes happen.</w:t>
        <w:br/>
        <w:br/>
        <w:t>Governments are also best placed to manage the complex global response to climate change. This is primarily due to the fact that they control national policies and international agreements. This can be exemplified by the fact that they can fund large research projects into renewable energy. The outcome is that the entire nation benefits from new technologies and job creation. This clearly aligns with the view that governments must lead the effort.</w:t>
        <w:br/>
        <w:br/>
        <w:t>In conclusion, I strongly agree that governments have the main responsibility for solving climate change. Governments must lead by setting rules for pollution and managing the global response to climate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