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 (b2)</w:t>
      </w:r>
    </w:p>
    <w:p>
      <w:r>
        <w:t xml:space="preserve">Prompt: </w:t>
      </w:r>
    </w:p>
    <w:p>
      <w:r>
        <w:t>--------------------</w:t>
      </w:r>
    </w:p>
    <w:p>
      <w:r>
        <w:t>Climate change is a major worldwide problem that affects every part of our planet. In my opinion, I strongly agree with the view that individuals have the main responsibility to take action on climate change. This essay will provide two reasons supporting my idea.</w:t>
        <w:br/>
        <w:br/>
        <w:t>Individuals must take action because their daily choices contribute to global pollution. In other words, small actions taken by many people can greatly reduce harmful emissions. For instance, choosing to walk or cycle instead of using a car for short trips helps clean the air. As a result, fewer fossil fuels are burned, which lowers the overall impact on the climate. Hence, it becomes evident that individual habits are key to solving this problem.</w:t>
        <w:br/>
        <w:br/>
        <w:t>Furthermore, individual awareness is crucial for driving large-scale change. This is primarily due to the fact that informed citizens demand better policies from governments and companies. This can be exemplified by the fact that people supporting green energy sources push for better public infrastructure. The outcome is that businesses and governments must respond to consumer demand for sustainability. This clearly aligns with the view that individual action creates necessary pressure for change.</w:t>
        <w:br/>
        <w:br/>
        <w:t>In conclusion, I strongly agree with the view that individuals have the main responsibility to take action on climate change. This is because personal habits significantly reduce pollution, and furthermore, individual awareness compels governments and companies to adopt sustainable policies.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