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(c1)</w:t>
      </w:r>
    </w:p>
    <w:p>
      <w:r>
        <w:t xml:space="preserve">Prompt: </w:t>
      </w:r>
    </w:p>
    <w:p>
      <w:r>
        <w:t>--------------------</w:t>
      </w:r>
    </w:p>
    <w:p>
      <w:r>
        <w:t>Climate change represents a significant and complex global challenge that demands immediate and coordinated action. In my opinion, I strongly agree with the view that governments have the main responsibility to take action on climate change. This essay will provide two reasons supporting my idea.</w:t>
        <w:br/>
        <w:br/>
        <w:t>Governments bear the primary responsibility for addressing climate change because they possess the necessary authority and resources to enact large-scale policy shifts. In other words, only state institutions can mandate sweeping changes across entire economies and sectors. For instance, a national government can implement carbon pricing mechanisms or mandate the phase-out of fossil fuels. As a result, industries are compelled to adopt cleaner technologies, accelerating the transition to a sustainable energy mix. Hence, it becomes evident that governmental policy is the most potent catalyst for global decarbonization.</w:t>
        <w:br/>
        <w:br/>
        <w:t>Furthermore, governments are crucial because they are responsible for establishing the regulatory framework that guides corporate behavior. This is primarily due to the fact that without clear laws, large corporations may prioritize profit over ecological balance. This can be exemplified by the fact that national environmental protection agencies can enforce strict emission standards on manufacturing plants. The outcome is that businesses are incentivized to invest in research and development of low-carbon alternatives. This clearly aligns with the view that governmental oversight is essential for corporate accountability.</w:t>
        <w:br/>
        <w:br/>
        <w:t>In conclusion, I strongly agree with the view that governments have the main responsibility to take action on climate change. This is because they possess the authority to mandate sweeping economic changes and are essential for establishing the regulatory framework that ensures corporate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