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#9 (c1)</w:t>
      </w:r>
    </w:p>
    <w:p>
      <w:r>
        <w:t xml:space="preserve">Prompt: </w:t>
      </w:r>
    </w:p>
    <w:p>
      <w:r>
        <w:t>--------------------</w:t>
      </w:r>
    </w:p>
    <w:p>
      <w:r>
        <w:t>Climate change represents a significant global challenge, necessitating collective action from various sectors. In my opinion, I strongly agree with the view that large companies have the main responsibility to take action on climate change. This essay will provide two reasons supporting my idea.</w:t>
        <w:br/>
        <w:br/>
        <w:t>Large corporations possess the greatest capacity to address climate change effectively. In other words, their sheer scale of operations and resources allow for substantial environmental modifications. For instance, multinational manufacturing firms can invest heavily in carbon capture technology across their supply chains. As a result, the reduction in industrial emissions significantly lowers the overall atmospheric pollution levels. Hence, it becomes evident that corporate accountability is paramount for achieving meaningful mitigation.</w:t>
        <w:br/>
        <w:br/>
        <w:t>Furthermore, the primary responsibility rests with large companies due to their immense contribution to global emissions. This is primarily due to the fact that their energy consumption often drives the world's most polluting activities. This can be exemplified by the fact that oil and gas giants operate vast infrastructure that relies on fossil fuels. The outcome is that transitioning these core operations to renewable energy sources requires massive capital investment. This clearly aligns with the view that corporate action is the most powerful lever for ecological balance.</w:t>
        <w:br/>
        <w:br/>
        <w:t>In conclusion, I strongly agree with the view that large companies have the main responsibility to take action on climate change. This is because their substantial resources enable significant environmental modifications, and their immense contribution to global emissions necessitates a transition to renewable energy 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