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#9 (c1)</w:t>
      </w:r>
    </w:p>
    <w:p>
      <w:r>
        <w:t xml:space="preserve">Prompt: </w:t>
      </w:r>
    </w:p>
    <w:p>
      <w:r>
        <w:t>--------------------</w:t>
      </w:r>
    </w:p>
    <w:p>
      <w:r>
        <w:t>Climate change represents a significant global challenge that demands immediate and collective action from all sectors of society. In my opinion, I strongly agree with the view that individuals have the main responsibility to take action on climate change. This essay will provide two reasons supporting my idea.</w:t>
        <w:br/>
        <w:br/>
        <w:t>Individual lifestyle choices significantly influence the overall trajectory of global climate change. In other words, the cumulative effect of personal actions contributes substantially to environmental degradation. For instance, choosing to use public transportation instead of a private vehicle reduces carbon emissions from the community. As a result, fewer fossil fuels are burned, which helps mitigate the warming effect on the planet. Hence, it becomes evident that individual accountability is crucial for achieving ecological balance.</w:t>
        <w:br/>
        <w:br/>
        <w:t>Furthermore, individual actions foster a necessary cultural shift toward sustainability. This is primarily due to the fact that personal commitment drives demand for eco-friendly products and services. This can be exemplified by the fact that consumers opting for plant-based diets decrease their demand for resource-intensive livestock farming. The outcome is that agricultural emissions are reduced, lessening the strain on the Earth's natural systems. This clearly aligns with the view that individual participation is the primary catalyst for systemic change.</w:t>
        <w:br/>
        <w:br/>
        <w:t>In conclusion, I strongly agree with the view that individuals have the main responsibility to take action on climate change. This is because personal lifestyle choices significantly influence emissions, and individual commitment drives a necessary cultural shift toward sustainable consumption.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