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A75" w:rsidRPr="00AA14B0" w:rsidRDefault="00B52A75" w:rsidP="00B52A75">
      <w:pPr>
        <w:widowControl/>
        <w:spacing w:before="100" w:beforeAutospacing="1" w:after="100" w:afterAutospacing="1"/>
        <w:outlineLvl w:val="0"/>
        <w:rPr>
          <w:rFonts w:ascii="微軟正黑體" w:eastAsia="微軟正黑體" w:hAnsi="微軟正黑體" w:cs="新細明體"/>
          <w:b/>
          <w:bCs/>
          <w:kern w:val="36"/>
          <w:sz w:val="44"/>
          <w:szCs w:val="44"/>
        </w:rPr>
      </w:pPr>
      <w:r w:rsidRPr="00AA14B0">
        <w:rPr>
          <w:rFonts w:ascii="微軟正黑體" w:eastAsia="微軟正黑體" w:hAnsi="微軟正黑體" w:cs="新細明體"/>
          <w:b/>
          <w:bCs/>
          <w:kern w:val="36"/>
          <w:sz w:val="44"/>
          <w:szCs w:val="44"/>
        </w:rPr>
        <w:t>氣候</w:t>
      </w:r>
      <w:r w:rsidR="00AA14B0">
        <w:rPr>
          <w:rFonts w:ascii="微軟正黑體" w:eastAsia="微軟正黑體" w:hAnsi="微軟正黑體" w:cs="新細明體" w:hint="eastAsia"/>
          <w:b/>
          <w:bCs/>
          <w:kern w:val="36"/>
          <w:sz w:val="44"/>
          <w:szCs w:val="44"/>
        </w:rPr>
        <w:t>變遷</w:t>
      </w:r>
      <w:r w:rsidRPr="00AA14B0">
        <w:rPr>
          <w:rFonts w:ascii="微軟正黑體" w:eastAsia="微軟正黑體" w:hAnsi="微軟正黑體" w:cs="新細明體"/>
          <w:b/>
          <w:bCs/>
          <w:kern w:val="36"/>
          <w:sz w:val="44"/>
          <w:szCs w:val="44"/>
        </w:rPr>
        <w:t>風險評估簡介</w:t>
      </w:r>
    </w:p>
    <w:p w:rsidR="00B52A75" w:rsidRPr="00AA14B0" w:rsidRDefault="00AA14B0" w:rsidP="00B52A75">
      <w:pPr>
        <w:pStyle w:val="Web"/>
        <w:numPr>
          <w:ilvl w:val="0"/>
          <w:numId w:val="7"/>
        </w:numPr>
        <w:rPr>
          <w:rFonts w:ascii="微軟正黑體" w:eastAsia="微軟正黑體" w:hAnsi="微軟正黑體"/>
          <w:b/>
          <w:bCs/>
          <w:sz w:val="36"/>
          <w:szCs w:val="36"/>
        </w:rPr>
      </w:pPr>
      <w:r>
        <w:rPr>
          <w:rFonts w:ascii="微軟正黑體" w:eastAsia="微軟正黑體" w:hAnsi="微軟正黑體" w:hint="eastAsia"/>
          <w:b/>
          <w:bCs/>
          <w:sz w:val="36"/>
          <w:szCs w:val="36"/>
        </w:rPr>
        <w:t>氣候變遷風險評估的</w:t>
      </w:r>
      <w:r w:rsidR="00B52A75" w:rsidRPr="00AA14B0">
        <w:rPr>
          <w:rFonts w:ascii="微軟正黑體" w:eastAsia="微軟正黑體" w:hAnsi="微軟正黑體"/>
          <w:b/>
          <w:bCs/>
          <w:sz w:val="36"/>
          <w:szCs w:val="36"/>
        </w:rPr>
        <w:t>性質與重要性</w:t>
      </w:r>
    </w:p>
    <w:p w:rsidR="00B52A75" w:rsidRDefault="009D4A7C" w:rsidP="009D4A7C">
      <w:pPr>
        <w:widowControl/>
        <w:spacing w:before="100" w:beforeAutospacing="1" w:after="100" w:afterAutospacing="1" w:line="400" w:lineRule="exact"/>
        <w:ind w:firstLineChars="210" w:firstLine="504"/>
        <w:jc w:val="both"/>
        <w:rPr>
          <w:rFonts w:ascii="微軟正黑體" w:eastAsia="微軟正黑體" w:hAnsi="微軟正黑體" w:cs="新細明體"/>
          <w:kern w:val="0"/>
          <w:sz w:val="28"/>
          <w:szCs w:val="28"/>
        </w:rPr>
      </w:pPr>
      <w:r>
        <w:rPr>
          <w:noProof/>
        </w:rPr>
        <w:drawing>
          <wp:anchor distT="0" distB="0" distL="114300" distR="114300" simplePos="0" relativeHeight="251658240" behindDoc="0" locked="0" layoutInCell="1" allowOverlap="1" wp14:anchorId="02F2152A" wp14:editId="1C22A0DC">
            <wp:simplePos x="0" y="0"/>
            <wp:positionH relativeFrom="column">
              <wp:posOffset>-7620</wp:posOffset>
            </wp:positionH>
            <wp:positionV relativeFrom="paragraph">
              <wp:posOffset>2981960</wp:posOffset>
            </wp:positionV>
            <wp:extent cx="5274310" cy="3735705"/>
            <wp:effectExtent l="0" t="0" r="2540" b="0"/>
            <wp:wrapTopAndBottom/>
            <wp:docPr id="271151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510" name="圖片 27115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35705"/>
                    </a:xfrm>
                    <a:prstGeom prst="rect">
                      <a:avLst/>
                    </a:prstGeom>
                  </pic:spPr>
                </pic:pic>
              </a:graphicData>
            </a:graphic>
          </wp:anchor>
        </w:drawing>
      </w:r>
      <w:r w:rsidR="00B52A75" w:rsidRPr="00AA14B0">
        <w:rPr>
          <w:rFonts w:ascii="微軟正黑體" w:eastAsia="微軟正黑體" w:hAnsi="微軟正黑體" w:cs="新細明體"/>
          <w:kern w:val="0"/>
          <w:sz w:val="28"/>
          <w:szCs w:val="28"/>
        </w:rPr>
        <w:t>氣候變遷風險評估是近年來我國氣候行動與國際趨勢中最受關注的核心議題，也是氣候調適政策不可或缺的重要環節。隨著全球暖化加劇，臺灣正面臨極端降雨事件頻率與強度提升、極端乾旱週期延長、海平面上升威脅沿海地區，以及高溫熱浪增加等多重挑戰</w:t>
      </w:r>
      <w:r>
        <w:rPr>
          <w:rFonts w:ascii="微軟正黑體" w:eastAsia="微軟正黑體" w:hAnsi="微軟正黑體" w:cs="新細明體" w:hint="eastAsia"/>
          <w:kern w:val="0"/>
          <w:sz w:val="28"/>
          <w:szCs w:val="28"/>
        </w:rPr>
        <w:t>，由圖1全球及圖2我國近年自然災害導致的死亡率圖顯示，極端氣候已成為重要的致災原因</w:t>
      </w:r>
      <w:r w:rsidR="00B52A75" w:rsidRPr="00AA14B0">
        <w:rPr>
          <w:rFonts w:ascii="微軟正黑體" w:eastAsia="微軟正黑體" w:hAnsi="微軟正黑體" w:cs="新細明體"/>
          <w:kern w:val="0"/>
          <w:sz w:val="28"/>
          <w:szCs w:val="28"/>
        </w:rPr>
        <w:t>。氣候變遷風險評估</w:t>
      </w:r>
      <w:r w:rsidR="00B52A75" w:rsidRPr="00AA14B0">
        <w:rPr>
          <w:rFonts w:ascii="微軟正黑體" w:eastAsia="微軟正黑體" w:hAnsi="微軟正黑體" w:cs="新細明體" w:hint="eastAsia"/>
          <w:kern w:val="0"/>
          <w:sz w:val="28"/>
          <w:szCs w:val="28"/>
        </w:rPr>
        <w:t>其</w:t>
      </w:r>
      <w:r w:rsidR="00B52A75" w:rsidRPr="00AA14B0">
        <w:rPr>
          <w:rFonts w:ascii="微軟正黑體" w:eastAsia="微軟正黑體" w:hAnsi="微軟正黑體" w:cs="新細明體"/>
          <w:kern w:val="0"/>
          <w:sz w:val="28"/>
          <w:szCs w:val="28"/>
        </w:rPr>
        <w:t>主要目的，</w:t>
      </w:r>
      <w:r w:rsidR="00B52A75" w:rsidRPr="00AA14B0">
        <w:rPr>
          <w:rFonts w:ascii="微軟正黑體" w:eastAsia="微軟正黑體" w:hAnsi="微軟正黑體" w:cs="新細明體" w:hint="eastAsia"/>
          <w:kern w:val="0"/>
          <w:sz w:val="28"/>
          <w:szCs w:val="28"/>
        </w:rPr>
        <w:t>乃</w:t>
      </w:r>
      <w:r w:rsidR="00B52A75" w:rsidRPr="00AA14B0">
        <w:rPr>
          <w:rFonts w:ascii="微軟正黑體" w:eastAsia="微軟正黑體" w:hAnsi="微軟正黑體" w:cs="新細明體"/>
          <w:kern w:val="0"/>
          <w:sz w:val="28"/>
          <w:szCs w:val="28"/>
        </w:rPr>
        <w:t>針對政府政策、重大公共工程、重要基礎設施、機關營運行為及民營事業開發計畫，結合未來氣候變遷情境，進行長期（20年以上）風險衝擊分析，藉以掌握系統性脆弱性與潛在損失。此類評估不僅能協助各單位降低潛在衝擊成本，亦能成為決策依據，支持各部門在政策規劃、設計審查、營運管理與資源投資過程中，提前導入風險控管與韌性強化措施。</w:t>
      </w:r>
    </w:p>
    <w:p w:rsidR="009D4A7C" w:rsidRDefault="009D4A7C" w:rsidP="00BB1D7E">
      <w:pPr>
        <w:widowControl/>
        <w:spacing w:before="100" w:beforeAutospacing="1" w:after="100" w:afterAutospacing="1" w:line="400" w:lineRule="exact"/>
        <w:jc w:val="center"/>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圖1全球近年自然災害導致的死亡率</w:t>
      </w:r>
    </w:p>
    <w:p w:rsidR="009D4A7C" w:rsidRDefault="009D4A7C" w:rsidP="00BB1D7E">
      <w:pPr>
        <w:widowControl/>
        <w:spacing w:before="100" w:beforeAutospacing="1" w:after="100" w:afterAutospacing="1" w:line="400" w:lineRule="exact"/>
        <w:jc w:val="center"/>
        <w:rPr>
          <w:rFonts w:ascii="微軟正黑體" w:eastAsia="微軟正黑體" w:hAnsi="微軟正黑體" w:cs="新細明體"/>
          <w:kern w:val="0"/>
          <w:sz w:val="28"/>
          <w:szCs w:val="28"/>
        </w:rPr>
      </w:pPr>
      <w:r>
        <w:rPr>
          <w:rFonts w:hint="eastAsia"/>
          <w:noProof/>
        </w:rPr>
        <w:lastRenderedPageBreak/>
        <w:drawing>
          <wp:anchor distT="0" distB="0" distL="114300" distR="114300" simplePos="0" relativeHeight="251659264" behindDoc="0" locked="0" layoutInCell="1" allowOverlap="1" wp14:anchorId="40410354" wp14:editId="19297D78">
            <wp:simplePos x="0" y="0"/>
            <wp:positionH relativeFrom="column">
              <wp:posOffset>-22860</wp:posOffset>
            </wp:positionH>
            <wp:positionV relativeFrom="paragraph">
              <wp:posOffset>50800</wp:posOffset>
            </wp:positionV>
            <wp:extent cx="5274310" cy="3728720"/>
            <wp:effectExtent l="0" t="0" r="2540" b="5080"/>
            <wp:wrapTopAndBottom/>
            <wp:docPr id="59146646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6468" name="圖片 5914664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anchor>
        </w:drawing>
      </w:r>
      <w:r>
        <w:rPr>
          <w:rFonts w:ascii="微軟正黑體" w:eastAsia="微軟正黑體" w:hAnsi="微軟正黑體" w:cs="新細明體" w:hint="eastAsia"/>
          <w:kern w:val="0"/>
          <w:sz w:val="28"/>
          <w:szCs w:val="28"/>
        </w:rPr>
        <w:t>圖2我國近年自然災害導致的死亡率</w:t>
      </w:r>
    </w:p>
    <w:p w:rsidR="00B52A75" w:rsidRDefault="00B52A75" w:rsidP="00AA14B0">
      <w:pPr>
        <w:widowControl/>
        <w:spacing w:before="100" w:beforeAutospacing="1" w:after="100" w:afterAutospacing="1" w:line="400" w:lineRule="exact"/>
        <w:ind w:firstLineChars="210" w:firstLine="588"/>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《氣候變遷因應法》已明定氣候風險評估為中央及地方各級機關的必須任務，環境部</w:t>
      </w:r>
      <w:r w:rsidRPr="00AA14B0">
        <w:rPr>
          <w:rFonts w:ascii="微軟正黑體" w:eastAsia="微軟正黑體" w:hAnsi="微軟正黑體" w:cs="新細明體" w:hint="eastAsia"/>
          <w:kern w:val="0"/>
          <w:sz w:val="28"/>
          <w:szCs w:val="28"/>
        </w:rPr>
        <w:t>已</w:t>
      </w:r>
      <w:r w:rsidR="00AA14B0">
        <w:rPr>
          <w:rFonts w:ascii="微軟正黑體" w:eastAsia="微軟正黑體" w:hAnsi="微軟正黑體" w:cs="新細明體" w:hint="eastAsia"/>
          <w:kern w:val="0"/>
          <w:sz w:val="28"/>
          <w:szCs w:val="28"/>
        </w:rPr>
        <w:t>於</w:t>
      </w:r>
      <w:r w:rsidR="00AA14B0">
        <w:rPr>
          <w:rFonts w:ascii="微軟正黑體" w:eastAsia="微軟正黑體" w:hAnsi="微軟正黑體" w:cs="新細明體"/>
          <w:kern w:val="0"/>
          <w:sz w:val="28"/>
          <w:szCs w:val="28"/>
        </w:rPr>
        <w:t>114</w:t>
      </w:r>
      <w:r w:rsidR="00AA14B0">
        <w:rPr>
          <w:rFonts w:ascii="微軟正黑體" w:eastAsia="微軟正黑體" w:hAnsi="微軟正黑體" w:cs="新細明體" w:hint="eastAsia"/>
          <w:kern w:val="0"/>
          <w:sz w:val="28"/>
          <w:szCs w:val="28"/>
        </w:rPr>
        <w:t>年</w:t>
      </w:r>
      <w:r w:rsidR="00AA14B0">
        <w:rPr>
          <w:rFonts w:ascii="微軟正黑體" w:eastAsia="微軟正黑體" w:hAnsi="微軟正黑體" w:cs="新細明體"/>
          <w:kern w:val="0"/>
          <w:sz w:val="28"/>
          <w:szCs w:val="28"/>
        </w:rPr>
        <w:t>7</w:t>
      </w:r>
      <w:r w:rsidR="00AA14B0">
        <w:rPr>
          <w:rFonts w:ascii="微軟正黑體" w:eastAsia="微軟正黑體" w:hAnsi="微軟正黑體" w:cs="新細明體"/>
          <w:kern w:val="0"/>
          <w:sz w:val="28"/>
          <w:szCs w:val="28"/>
        </w:rPr>
        <w:tab/>
      </w:r>
      <w:r w:rsidR="00AA14B0">
        <w:rPr>
          <w:rFonts w:ascii="微軟正黑體" w:eastAsia="微軟正黑體" w:hAnsi="微軟正黑體" w:cs="新細明體" w:hint="eastAsia"/>
          <w:kern w:val="0"/>
          <w:sz w:val="28"/>
          <w:szCs w:val="28"/>
        </w:rPr>
        <w:t>月</w:t>
      </w:r>
      <w:r w:rsidR="00AA14B0">
        <w:rPr>
          <w:rFonts w:ascii="微軟正黑體" w:eastAsia="微軟正黑體" w:hAnsi="微軟正黑體" w:cs="新細明體"/>
          <w:kern w:val="0"/>
          <w:sz w:val="28"/>
          <w:szCs w:val="28"/>
        </w:rPr>
        <w:t>16</w:t>
      </w:r>
      <w:r w:rsidR="00AA14B0">
        <w:rPr>
          <w:rFonts w:ascii="微軟正黑體" w:eastAsia="微軟正黑體" w:hAnsi="微軟正黑體" w:cs="新細明體" w:hint="eastAsia"/>
          <w:kern w:val="0"/>
          <w:sz w:val="28"/>
          <w:szCs w:val="28"/>
        </w:rPr>
        <w:t>日依氣候法第</w:t>
      </w:r>
      <w:r w:rsidR="00AA14B0">
        <w:rPr>
          <w:rFonts w:ascii="微軟正黑體" w:eastAsia="微軟正黑體" w:hAnsi="微軟正黑體" w:cs="新細明體"/>
          <w:kern w:val="0"/>
          <w:sz w:val="28"/>
          <w:szCs w:val="28"/>
        </w:rPr>
        <w:t>18</w:t>
      </w:r>
      <w:r w:rsidR="00AA14B0">
        <w:rPr>
          <w:rFonts w:ascii="微軟正黑體" w:eastAsia="微軟正黑體" w:hAnsi="微軟正黑體" w:cs="新細明體" w:hint="eastAsia"/>
          <w:kern w:val="0"/>
          <w:sz w:val="28"/>
          <w:szCs w:val="28"/>
        </w:rPr>
        <w:t>條</w:t>
      </w:r>
      <w:r w:rsidRPr="00AA14B0">
        <w:rPr>
          <w:rFonts w:ascii="微軟正黑體" w:eastAsia="微軟正黑體" w:hAnsi="微軟正黑體" w:cs="新細明體" w:hint="eastAsia"/>
          <w:kern w:val="0"/>
          <w:sz w:val="28"/>
          <w:szCs w:val="28"/>
        </w:rPr>
        <w:t>公</w:t>
      </w:r>
      <w:r w:rsidRPr="00AA14B0">
        <w:rPr>
          <w:rFonts w:ascii="微軟正黑體" w:eastAsia="微軟正黑體" w:hAnsi="微軟正黑體" w:cs="新細明體"/>
          <w:kern w:val="0"/>
          <w:sz w:val="28"/>
          <w:szCs w:val="28"/>
        </w:rPr>
        <w:t>告「氣候變遷風險評估作業準則」，要求各部會依職掌業務進行系統性風險盤點與分析，公共工程環評審查已逐步將氣候風險分析納入大型開發案之審查要件，如交通運輸建設、產業園區與能源設施等；在企業治理層面，金管會更明確規範上市櫃公司須於年度ESG報告中依循國際TCFD（Task Force on Climate-related Financial Disclosures）框架揭露氣候風險。由此可見，氣候風險評估已不再是政策選項，而是</w:t>
      </w:r>
      <w:r w:rsidR="004D474E">
        <w:rPr>
          <w:rFonts w:ascii="微軟正黑體" w:eastAsia="微軟正黑體" w:hAnsi="微軟正黑體" w:cs="新細明體" w:hint="eastAsia"/>
          <w:kern w:val="0"/>
          <w:sz w:val="28"/>
          <w:szCs w:val="28"/>
        </w:rPr>
        <w:t>法規</w:t>
      </w:r>
      <w:r w:rsidRPr="00AA14B0">
        <w:rPr>
          <w:rFonts w:ascii="微軟正黑體" w:eastAsia="微軟正黑體" w:hAnsi="微軟正黑體" w:cs="新細明體"/>
          <w:kern w:val="0"/>
          <w:sz w:val="28"/>
          <w:szCs w:val="28"/>
        </w:rPr>
        <w:t>強制性要求及國際永續發展潮流。</w:t>
      </w:r>
    </w:p>
    <w:p w:rsidR="00BB1D7E" w:rsidRPr="00BB1D7E" w:rsidRDefault="00BB1D7E" w:rsidP="00BB1D7E">
      <w:pPr>
        <w:widowControl/>
        <w:spacing w:before="100" w:beforeAutospacing="1" w:after="100" w:afterAutospacing="1" w:line="400" w:lineRule="exact"/>
        <w:ind w:firstLineChars="210" w:firstLine="588"/>
        <w:jc w:val="both"/>
        <w:rPr>
          <w:rFonts w:ascii="微軟正黑體" w:eastAsia="微軟正黑體" w:hAnsi="微軟正黑體" w:cs="新細明體" w:hint="eastAsia"/>
          <w:kern w:val="0"/>
          <w:sz w:val="28"/>
          <w:szCs w:val="28"/>
        </w:rPr>
      </w:pPr>
      <w:r w:rsidRPr="00BB1D7E">
        <w:rPr>
          <w:rFonts w:ascii="微軟正黑體" w:eastAsia="微軟正黑體" w:hAnsi="微軟正黑體" w:cs="新細明體" w:hint="eastAsia"/>
          <w:kern w:val="0"/>
          <w:sz w:val="28"/>
          <w:szCs w:val="28"/>
        </w:rPr>
        <w:t>依據氣候變遷風險評估作業準則，氣候變遷風險由三項要素構成</w:t>
      </w:r>
      <w:r>
        <w:rPr>
          <w:rFonts w:ascii="微軟正黑體" w:eastAsia="微軟正黑體" w:hAnsi="微軟正黑體" w:cs="新細明體" w:hint="eastAsia"/>
          <w:kern w:val="0"/>
          <w:sz w:val="28"/>
          <w:szCs w:val="28"/>
        </w:rPr>
        <w:t>（如圖3）</w:t>
      </w:r>
      <w:r w:rsidRPr="00BB1D7E">
        <w:rPr>
          <w:rFonts w:ascii="微軟正黑體" w:eastAsia="微軟正黑體" w:hAnsi="微軟正黑體" w:cs="新細明體" w:hint="eastAsia"/>
          <w:kern w:val="0"/>
          <w:sz w:val="28"/>
          <w:szCs w:val="28"/>
        </w:rPr>
        <w:t>，應分別予以量化或質性分析，包括：</w:t>
      </w:r>
    </w:p>
    <w:p w:rsidR="00BB1D7E" w:rsidRPr="00BB1D7E" w:rsidRDefault="00BB1D7E" w:rsidP="00BB1D7E">
      <w:pPr>
        <w:pStyle w:val="a4"/>
        <w:widowControl/>
        <w:numPr>
          <w:ilvl w:val="0"/>
          <w:numId w:val="10"/>
        </w:numPr>
        <w:spacing w:before="100" w:beforeAutospacing="1" w:after="100" w:afterAutospacing="1" w:line="400" w:lineRule="exact"/>
        <w:ind w:leftChars="0"/>
        <w:jc w:val="both"/>
        <w:rPr>
          <w:rFonts w:ascii="微軟正黑體" w:eastAsia="微軟正黑體" w:hAnsi="微軟正黑體" w:cs="新細明體" w:hint="eastAsia"/>
          <w:kern w:val="0"/>
          <w:sz w:val="28"/>
          <w:szCs w:val="28"/>
        </w:rPr>
      </w:pPr>
      <w:r w:rsidRPr="00BB1D7E">
        <w:rPr>
          <w:rFonts w:ascii="微軟正黑體" w:eastAsia="微軟正黑體" w:hAnsi="微軟正黑體" w:cs="新細明體" w:hint="eastAsia"/>
          <w:kern w:val="0"/>
          <w:sz w:val="28"/>
          <w:szCs w:val="28"/>
        </w:rPr>
        <w:t xml:space="preserve">危害度： 指氣候變遷對環境造成的直接衝擊，如極端降雨、乾旱、熱浪等。 </w:t>
      </w:r>
    </w:p>
    <w:p w:rsidR="00BB1D7E" w:rsidRPr="00BB1D7E" w:rsidRDefault="00BB1D7E" w:rsidP="00BB1D7E">
      <w:pPr>
        <w:pStyle w:val="a4"/>
        <w:widowControl/>
        <w:numPr>
          <w:ilvl w:val="0"/>
          <w:numId w:val="10"/>
        </w:numPr>
        <w:spacing w:before="100" w:beforeAutospacing="1" w:after="100" w:afterAutospacing="1" w:line="400" w:lineRule="exact"/>
        <w:ind w:leftChars="0"/>
        <w:jc w:val="both"/>
        <w:rPr>
          <w:rFonts w:ascii="微軟正黑體" w:eastAsia="微軟正黑體" w:hAnsi="微軟正黑體" w:cs="新細明體" w:hint="eastAsia"/>
          <w:kern w:val="0"/>
          <w:sz w:val="28"/>
          <w:szCs w:val="28"/>
        </w:rPr>
      </w:pPr>
      <w:r w:rsidRPr="00BB1D7E">
        <w:rPr>
          <w:rFonts w:ascii="微軟正黑體" w:eastAsia="微軟正黑體" w:hAnsi="微軟正黑體" w:cs="新細明體" w:hint="eastAsia"/>
          <w:kern w:val="0"/>
          <w:sz w:val="28"/>
          <w:szCs w:val="28"/>
        </w:rPr>
        <w:t xml:space="preserve">暴露度： 某特定區域或系統暴露在這些氣候危害下的程度，例如低窪地區更容易受到海平面上升的威脅。 </w:t>
      </w:r>
    </w:p>
    <w:p w:rsidR="00BB1D7E" w:rsidRPr="00BB1D7E" w:rsidRDefault="00BB1D7E" w:rsidP="00BB1D7E">
      <w:pPr>
        <w:pStyle w:val="a4"/>
        <w:widowControl/>
        <w:numPr>
          <w:ilvl w:val="0"/>
          <w:numId w:val="10"/>
        </w:numPr>
        <w:spacing w:before="100" w:beforeAutospacing="1" w:after="100" w:afterAutospacing="1" w:line="400" w:lineRule="exact"/>
        <w:ind w:leftChars="0"/>
        <w:jc w:val="both"/>
        <w:rPr>
          <w:rFonts w:ascii="微軟正黑體" w:eastAsia="微軟正黑體" w:hAnsi="微軟正黑體" w:cs="新細明體" w:hint="eastAsia"/>
          <w:kern w:val="0"/>
          <w:sz w:val="28"/>
          <w:szCs w:val="28"/>
        </w:rPr>
      </w:pPr>
      <w:r>
        <w:rPr>
          <w:rFonts w:hint="eastAsia"/>
          <w:noProof/>
        </w:rPr>
        <w:lastRenderedPageBreak/>
        <w:drawing>
          <wp:anchor distT="0" distB="0" distL="114300" distR="114300" simplePos="0" relativeHeight="251660288" behindDoc="0" locked="0" layoutInCell="1" allowOverlap="1" wp14:anchorId="24FE3384" wp14:editId="470B1097">
            <wp:simplePos x="0" y="0"/>
            <wp:positionH relativeFrom="column">
              <wp:posOffset>998220</wp:posOffset>
            </wp:positionH>
            <wp:positionV relativeFrom="paragraph">
              <wp:posOffset>571500</wp:posOffset>
            </wp:positionV>
            <wp:extent cx="3556000" cy="3246894"/>
            <wp:effectExtent l="0" t="0" r="6350" b="0"/>
            <wp:wrapTopAndBottom/>
            <wp:docPr id="156076933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69337" name="圖片 15607693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6000" cy="3246894"/>
                    </a:xfrm>
                    <a:prstGeom prst="rect">
                      <a:avLst/>
                    </a:prstGeom>
                  </pic:spPr>
                </pic:pic>
              </a:graphicData>
            </a:graphic>
            <wp14:sizeRelH relativeFrom="margin">
              <wp14:pctWidth>0</wp14:pctWidth>
            </wp14:sizeRelH>
            <wp14:sizeRelV relativeFrom="margin">
              <wp14:pctHeight>0</wp14:pctHeight>
            </wp14:sizeRelV>
          </wp:anchor>
        </w:drawing>
      </w:r>
      <w:r w:rsidRPr="00BB1D7E">
        <w:rPr>
          <w:rFonts w:ascii="微軟正黑體" w:eastAsia="微軟正黑體" w:hAnsi="微軟正黑體" w:cs="新細明體" w:hint="eastAsia"/>
          <w:kern w:val="0"/>
          <w:sz w:val="28"/>
          <w:szCs w:val="28"/>
        </w:rPr>
        <w:t>脆弱度： 指社會、經濟和生態系統因氣候變遷的衝擊而產生負面影響的能力。</w:t>
      </w:r>
    </w:p>
    <w:p w:rsidR="00BB1D7E" w:rsidRPr="00AA14B0" w:rsidRDefault="00BB1D7E" w:rsidP="00BB1D7E">
      <w:pPr>
        <w:widowControl/>
        <w:spacing w:before="100" w:beforeAutospacing="1" w:after="100" w:afterAutospacing="1" w:line="400" w:lineRule="exact"/>
        <w:jc w:val="center"/>
        <w:rPr>
          <w:rFonts w:ascii="微軟正黑體" w:eastAsia="微軟正黑體" w:hAnsi="微軟正黑體" w:cs="新細明體" w:hint="eastAsia"/>
          <w:kern w:val="0"/>
          <w:sz w:val="28"/>
          <w:szCs w:val="28"/>
        </w:rPr>
      </w:pPr>
      <w:r>
        <w:rPr>
          <w:rFonts w:ascii="微軟正黑體" w:eastAsia="微軟正黑體" w:hAnsi="微軟正黑體" w:cs="新細明體" w:hint="eastAsia"/>
          <w:kern w:val="0"/>
          <w:sz w:val="28"/>
          <w:szCs w:val="28"/>
        </w:rPr>
        <w:t>圖</w:t>
      </w:r>
      <w:r>
        <w:rPr>
          <w:rFonts w:ascii="微軟正黑體" w:eastAsia="微軟正黑體" w:hAnsi="微軟正黑體" w:cs="新細明體" w:hint="eastAsia"/>
          <w:kern w:val="0"/>
          <w:sz w:val="28"/>
          <w:szCs w:val="28"/>
        </w:rPr>
        <w:t>3</w:t>
      </w:r>
      <w:r w:rsidRPr="00BB1D7E">
        <w:rPr>
          <w:rFonts w:ascii="微軟正黑體" w:eastAsia="微軟正黑體" w:hAnsi="微軟正黑體" w:cs="新細明體" w:hint="eastAsia"/>
          <w:kern w:val="0"/>
          <w:sz w:val="28"/>
          <w:szCs w:val="28"/>
        </w:rPr>
        <w:t>風險組成示意圖 (IPCC, 2014)</w:t>
      </w:r>
    </w:p>
    <w:p w:rsidR="00BB1D7E" w:rsidRPr="00BB1D7E" w:rsidRDefault="00BB1D7E" w:rsidP="00BB1D7E">
      <w:pPr>
        <w:widowControl/>
        <w:spacing w:before="100" w:beforeAutospacing="1" w:after="100" w:afterAutospacing="1" w:line="400" w:lineRule="exact"/>
        <w:ind w:firstLineChars="210" w:firstLine="588"/>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環境影響評估階段調適評估，依據作業準則，略</w:t>
      </w:r>
      <w:r>
        <w:rPr>
          <w:rFonts w:ascii="微軟正黑體" w:eastAsia="微軟正黑體" w:hAnsi="微軟正黑體" w:cs="新細明體" w:hint="eastAsia"/>
          <w:kern w:val="0"/>
          <w:sz w:val="28"/>
          <w:szCs w:val="28"/>
        </w:rPr>
        <w:t>如</w:t>
      </w:r>
      <w:r w:rsidRPr="00BB1D7E">
        <w:rPr>
          <w:rFonts w:ascii="微軟正黑體" w:eastAsia="微軟正黑體" w:hAnsi="微軟正黑體" w:cs="新細明體" w:hint="eastAsia"/>
          <w:kern w:val="0"/>
          <w:sz w:val="28"/>
          <w:szCs w:val="28"/>
        </w:rPr>
        <w:t>以</w:t>
      </w:r>
      <w:r>
        <w:rPr>
          <w:rFonts w:ascii="微軟正黑體" w:eastAsia="微軟正黑體" w:hAnsi="微軟正黑體" w:cs="新細明體" w:hint="eastAsia"/>
          <w:kern w:val="0"/>
          <w:sz w:val="28"/>
          <w:szCs w:val="28"/>
        </w:rPr>
        <w:t>下</w:t>
      </w:r>
      <w:r w:rsidR="00C119C6">
        <w:rPr>
          <w:rFonts w:ascii="微軟正黑體" w:eastAsia="微軟正黑體" w:hAnsi="微軟正黑體" w:cs="新細明體" w:hint="eastAsia"/>
          <w:kern w:val="0"/>
          <w:sz w:val="28"/>
          <w:szCs w:val="28"/>
        </w:rPr>
        <w:t>說明</w:t>
      </w:r>
      <w:bookmarkStart w:id="0" w:name="_GoBack"/>
      <w:bookmarkEnd w:id="0"/>
      <w:r w:rsidRPr="00BB1D7E">
        <w:rPr>
          <w:rFonts w:ascii="微軟正黑體" w:eastAsia="微軟正黑體" w:hAnsi="微軟正黑體" w:cs="新細明體" w:hint="eastAsia"/>
          <w:kern w:val="0"/>
          <w:sz w:val="28"/>
          <w:szCs w:val="28"/>
        </w:rPr>
        <w:t>：</w:t>
      </w:r>
    </w:p>
    <w:p w:rsidR="00BB1D7E" w:rsidRPr="00BB1D7E" w:rsidRDefault="00BB1D7E" w:rsidP="00BB1D7E">
      <w:pPr>
        <w:widowControl/>
        <w:spacing w:before="100" w:beforeAutospacing="1" w:after="100" w:afterAutospacing="1" w:line="400" w:lineRule="exact"/>
        <w:ind w:firstLineChars="210" w:firstLine="588"/>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（一）第一階段：範疇界定與危害識別（《作業準則》第五條）</w:t>
      </w:r>
    </w:p>
    <w:p w:rsidR="00BB1D7E" w:rsidRPr="00BB1D7E" w:rsidRDefault="00BB1D7E" w:rsidP="00BB1D7E">
      <w:pPr>
        <w:widowControl/>
        <w:spacing w:before="100" w:beforeAutospacing="1" w:after="100" w:afterAutospacing="1" w:line="400" w:lineRule="exact"/>
        <w:ind w:firstLineChars="210" w:firstLine="588"/>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（二）第二階段：風險分析（對應《作業準則》第六、七條）</w:t>
      </w:r>
    </w:p>
    <w:p w:rsidR="00BB1D7E" w:rsidRPr="00BB1D7E" w:rsidRDefault="00BB1D7E" w:rsidP="00BB1D7E">
      <w:pPr>
        <w:pStyle w:val="a4"/>
        <w:widowControl/>
        <w:numPr>
          <w:ilvl w:val="0"/>
          <w:numId w:val="12"/>
        </w:numPr>
        <w:spacing w:before="100" w:beforeAutospacing="1" w:after="100" w:afterAutospacing="1" w:line="400" w:lineRule="exact"/>
        <w:ind w:leftChars="0"/>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暴露度分析：盤點系統內所有關鍵資產（如壩體、機組、廠房）、人員與營運流程，並將其空間位置與前述識別出危害範圍進行疊圖分析。</w:t>
      </w:r>
    </w:p>
    <w:p w:rsidR="00BB1D7E" w:rsidRPr="00BB1D7E" w:rsidRDefault="00BB1D7E" w:rsidP="00BB1D7E">
      <w:pPr>
        <w:pStyle w:val="a4"/>
        <w:widowControl/>
        <w:numPr>
          <w:ilvl w:val="0"/>
          <w:numId w:val="12"/>
        </w:numPr>
        <w:spacing w:before="100" w:beforeAutospacing="1" w:after="100" w:afterAutospacing="1" w:line="400" w:lineRule="exact"/>
        <w:ind w:leftChars="0"/>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脆弱度分析：評估暴露資產對各項危害的敏感性與應對能力。這包含物理脆弱度（如結構強度）、營運脆弱度（如操作規則的彈性）及制度脆弱度（如預警系統的完備性）。</w:t>
      </w:r>
    </w:p>
    <w:p w:rsidR="00BB1D7E" w:rsidRPr="00BB1D7E" w:rsidRDefault="00BB1D7E" w:rsidP="00BB1D7E">
      <w:pPr>
        <w:pStyle w:val="a4"/>
        <w:widowControl/>
        <w:numPr>
          <w:ilvl w:val="0"/>
          <w:numId w:val="12"/>
        </w:numPr>
        <w:spacing w:before="100" w:beforeAutospacing="1" w:after="100" w:afterAutospacing="1" w:line="400" w:lineRule="exact"/>
        <w:ind w:leftChars="0"/>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風險定性或量化：綜合危害度、暴露度與脆弱度的分析結果，對風險進行描述與分級。</w:t>
      </w:r>
    </w:p>
    <w:p w:rsidR="00BB1D7E" w:rsidRPr="00BB1D7E" w:rsidRDefault="00BB1D7E" w:rsidP="00BB1D7E">
      <w:pPr>
        <w:widowControl/>
        <w:spacing w:before="100" w:beforeAutospacing="1" w:after="100" w:afterAutospacing="1" w:line="400" w:lineRule="exact"/>
        <w:ind w:leftChars="245" w:left="1417" w:hangingChars="296" w:hanging="829"/>
        <w:jc w:val="both"/>
        <w:rPr>
          <w:rFonts w:ascii="微軟正黑體" w:eastAsia="微軟正黑體" w:hAnsi="微軟正黑體" w:cs="新細明體"/>
          <w:kern w:val="0"/>
          <w:sz w:val="28"/>
          <w:szCs w:val="28"/>
        </w:rPr>
      </w:pPr>
      <w:r w:rsidRPr="00BB1D7E">
        <w:rPr>
          <w:rFonts w:ascii="微軟正黑體" w:eastAsia="微軟正黑體" w:hAnsi="微軟正黑體" w:cs="新細明體" w:hint="eastAsia"/>
          <w:kern w:val="0"/>
          <w:sz w:val="28"/>
          <w:szCs w:val="28"/>
        </w:rPr>
        <w:t>（三）第三階段：風險管理策略，調適與韌性規劃。（《作業準則》第八至十一條）</w:t>
      </w:r>
    </w:p>
    <w:p w:rsidR="00BB1D7E" w:rsidRPr="00BB1D7E" w:rsidRDefault="00BB1D7E" w:rsidP="00AA14B0">
      <w:pPr>
        <w:widowControl/>
        <w:spacing w:before="100" w:beforeAutospacing="1" w:after="100" w:afterAutospacing="1" w:line="400" w:lineRule="exact"/>
        <w:ind w:firstLineChars="210" w:firstLine="588"/>
        <w:jc w:val="both"/>
        <w:rPr>
          <w:rFonts w:ascii="微軟正黑體" w:eastAsia="微軟正黑體" w:hAnsi="微軟正黑體" w:cs="新細明體"/>
          <w:kern w:val="0"/>
          <w:sz w:val="28"/>
          <w:szCs w:val="28"/>
        </w:rPr>
      </w:pPr>
    </w:p>
    <w:p w:rsidR="00B52A75" w:rsidRDefault="00434B3E" w:rsidP="00AA14B0">
      <w:pPr>
        <w:widowControl/>
        <w:spacing w:before="100" w:beforeAutospacing="1" w:after="100" w:afterAutospacing="1" w:line="400" w:lineRule="exact"/>
        <w:ind w:firstLineChars="210" w:firstLine="588"/>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lastRenderedPageBreak/>
        <w:t>執行氣候變遷風險評估計畫，</w:t>
      </w:r>
      <w:r w:rsidR="00B52A75" w:rsidRPr="00AA14B0">
        <w:rPr>
          <w:rFonts w:ascii="微軟正黑體" w:eastAsia="微軟正黑體" w:hAnsi="微軟正黑體" w:cs="新細明體"/>
          <w:kern w:val="0"/>
          <w:sz w:val="28"/>
          <w:szCs w:val="28"/>
        </w:rPr>
        <w:t>須具備跨領域的專業能力與方法學整合。首先，在法規與政策層面，需全面掌握國內氣候相關法規、部會職掌規範，並緊密追蹤國際標準與治理架構（如TCFD、歐盟CSRD、ISO 14091等），確保分析成果同時符合國內法規要求與國際趨勢。其次，在氣象與氣候資料技術層面，必須具備長期觀測資料處理、氣候模式模擬、情境推估等能力，能</w:t>
      </w:r>
      <w:r w:rsidRPr="00AA14B0">
        <w:rPr>
          <w:rFonts w:ascii="微軟正黑體" w:eastAsia="微軟正黑體" w:hAnsi="微軟正黑體" w:cs="新細明體"/>
          <w:kern w:val="0"/>
          <w:sz w:val="28"/>
          <w:szCs w:val="28"/>
        </w:rPr>
        <w:t>針對降雨、氣溫、海平面上升、風暴潮與乾旱等多變量進行科學分析，轉化為可量化的風險指標。在方法學應用層面，需</w:t>
      </w:r>
      <w:r w:rsidR="00B52A75" w:rsidRPr="00AA14B0">
        <w:rPr>
          <w:rFonts w:ascii="微軟正黑體" w:eastAsia="微軟正黑體" w:hAnsi="微軟正黑體" w:cs="新細明體"/>
          <w:kern w:val="0"/>
          <w:sz w:val="28"/>
          <w:szCs w:val="28"/>
        </w:rPr>
        <w:t>靈活運用多準則決策分析（MCDA）、情境模擬、脆弱度與暴露度量化、機率統計分析及不確定性評估等方法，</w:t>
      </w:r>
      <w:r w:rsidR="00414695">
        <w:rPr>
          <w:rFonts w:ascii="微軟正黑體" w:eastAsia="微軟正黑體" w:hAnsi="微軟正黑體" w:cs="新細明體" w:hint="eastAsia"/>
          <w:kern w:val="0"/>
          <w:sz w:val="28"/>
          <w:szCs w:val="28"/>
        </w:rPr>
        <w:t>應用</w:t>
      </w:r>
      <w:r w:rsidR="00B52A75" w:rsidRPr="00AA14B0">
        <w:rPr>
          <w:rFonts w:ascii="微軟正黑體" w:eastAsia="微軟正黑體" w:hAnsi="微軟正黑體" w:cs="新細明體"/>
          <w:kern w:val="0"/>
          <w:sz w:val="28"/>
          <w:szCs w:val="28"/>
        </w:rPr>
        <w:t>系統化且具透明性的風險判斷工具，使風險評估結果能兼具科學嚴謹性與決策可行性</w:t>
      </w:r>
      <w:r w:rsidR="00414695">
        <w:rPr>
          <w:rFonts w:ascii="微軟正黑體" w:eastAsia="微軟正黑體" w:hAnsi="微軟正黑體" w:cs="新細明體" w:hint="eastAsia"/>
          <w:kern w:val="0"/>
          <w:sz w:val="28"/>
          <w:szCs w:val="28"/>
        </w:rPr>
        <w:t>，以順利通過各界檢驗與審查並</w:t>
      </w:r>
      <w:r w:rsidR="006A57A9">
        <w:rPr>
          <w:rFonts w:ascii="微軟正黑體" w:eastAsia="微軟正黑體" w:hAnsi="微軟正黑體" w:cs="新細明體" w:hint="eastAsia"/>
          <w:kern w:val="0"/>
          <w:sz w:val="28"/>
          <w:szCs w:val="28"/>
        </w:rPr>
        <w:t>據此</w:t>
      </w:r>
      <w:r w:rsidR="00282167">
        <w:rPr>
          <w:rFonts w:ascii="微軟正黑體" w:eastAsia="微軟正黑體" w:hAnsi="微軟正黑體" w:cs="新細明體" w:hint="eastAsia"/>
          <w:kern w:val="0"/>
          <w:sz w:val="28"/>
          <w:szCs w:val="28"/>
        </w:rPr>
        <w:t>優先</w:t>
      </w:r>
      <w:r w:rsidR="006A57A9">
        <w:rPr>
          <w:rFonts w:ascii="微軟正黑體" w:eastAsia="微軟正黑體" w:hAnsi="微軟正黑體" w:cs="新細明體" w:hint="eastAsia"/>
          <w:kern w:val="0"/>
          <w:sz w:val="28"/>
          <w:szCs w:val="28"/>
        </w:rPr>
        <w:t>對</w:t>
      </w:r>
      <w:r w:rsidR="00282167">
        <w:rPr>
          <w:rFonts w:ascii="微軟正黑體" w:eastAsia="微軟正黑體" w:hAnsi="微軟正黑體" w:cs="新細明體" w:hint="eastAsia"/>
          <w:kern w:val="0"/>
          <w:sz w:val="28"/>
          <w:szCs w:val="28"/>
        </w:rPr>
        <w:t>高風險</w:t>
      </w:r>
      <w:r w:rsidR="006A57A9">
        <w:rPr>
          <w:rFonts w:ascii="微軟正黑體" w:eastAsia="微軟正黑體" w:hAnsi="微軟正黑體" w:cs="新細明體" w:hint="eastAsia"/>
          <w:kern w:val="0"/>
          <w:sz w:val="28"/>
          <w:szCs w:val="28"/>
        </w:rPr>
        <w:t>事項</w:t>
      </w:r>
      <w:r w:rsidR="00282167" w:rsidRPr="00282167">
        <w:rPr>
          <w:rFonts w:ascii="微軟正黑體" w:eastAsia="微軟正黑體" w:hAnsi="微軟正黑體" w:cs="新細明體" w:hint="eastAsia"/>
          <w:kern w:val="0"/>
          <w:sz w:val="28"/>
          <w:szCs w:val="28"/>
        </w:rPr>
        <w:t>研擬、推動調適方案</w:t>
      </w:r>
      <w:r w:rsidR="00B52A75" w:rsidRPr="00AA14B0">
        <w:rPr>
          <w:rFonts w:ascii="微軟正黑體" w:eastAsia="微軟正黑體" w:hAnsi="微軟正黑體" w:cs="新細明體"/>
          <w:kern w:val="0"/>
          <w:sz w:val="28"/>
          <w:szCs w:val="28"/>
        </w:rPr>
        <w:t>。</w:t>
      </w:r>
    </w:p>
    <w:p w:rsidR="00B52A75" w:rsidRPr="00AA14B0" w:rsidRDefault="00AA14B0" w:rsidP="00AA14B0">
      <w:pPr>
        <w:pStyle w:val="Web"/>
        <w:numPr>
          <w:ilvl w:val="0"/>
          <w:numId w:val="7"/>
        </w:numPr>
        <w:rPr>
          <w:rFonts w:ascii="微軟正黑體" w:eastAsia="微軟正黑體" w:hAnsi="微軟正黑體"/>
          <w:b/>
          <w:bCs/>
          <w:sz w:val="36"/>
          <w:szCs w:val="36"/>
        </w:rPr>
      </w:pPr>
      <w:r>
        <w:rPr>
          <w:rFonts w:ascii="微軟正黑體" w:eastAsia="微軟正黑體" w:hAnsi="微軟正黑體" w:hint="eastAsia"/>
          <w:b/>
          <w:bCs/>
          <w:sz w:val="36"/>
          <w:szCs w:val="36"/>
        </w:rPr>
        <w:t>景丰</w:t>
      </w:r>
      <w:r w:rsidR="00434B3E" w:rsidRPr="00AA14B0">
        <w:rPr>
          <w:rFonts w:ascii="微軟正黑體" w:eastAsia="微軟正黑體" w:hAnsi="微軟正黑體"/>
          <w:b/>
          <w:bCs/>
          <w:sz w:val="36"/>
          <w:szCs w:val="36"/>
        </w:rPr>
        <w:t>公司</w:t>
      </w:r>
      <w:r>
        <w:rPr>
          <w:rFonts w:ascii="微軟正黑體" w:eastAsia="微軟正黑體" w:hAnsi="微軟正黑體" w:hint="eastAsia"/>
          <w:b/>
          <w:bCs/>
          <w:sz w:val="36"/>
          <w:szCs w:val="36"/>
        </w:rPr>
        <w:t>具備之</w:t>
      </w:r>
      <w:r w:rsidR="00434B3E" w:rsidRPr="00AA14B0">
        <w:rPr>
          <w:rFonts w:ascii="微軟正黑體" w:eastAsia="微軟正黑體" w:hAnsi="微軟正黑體"/>
          <w:b/>
          <w:bCs/>
          <w:sz w:val="36"/>
          <w:szCs w:val="36"/>
        </w:rPr>
        <w:t>優勢</w:t>
      </w:r>
    </w:p>
    <w:p w:rsidR="00B52A75" w:rsidRPr="00AA14B0" w:rsidRDefault="00B52A75" w:rsidP="00AA14B0">
      <w:pPr>
        <w:widowControl/>
        <w:numPr>
          <w:ilvl w:val="0"/>
          <w:numId w:val="5"/>
        </w:numPr>
        <w:spacing w:before="100" w:beforeAutospacing="1" w:after="100" w:afterAutospacing="1" w:line="400" w:lineRule="exact"/>
        <w:ind w:hanging="357"/>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政策與制度設計核心角色</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本公司長期為政府推動氣候變遷政策與制度的主要幕僚單位，直接參與《氣候變遷因應法》及相關子法、指引、作業準則之研擬與修訂。</w:t>
      </w:r>
      <w:r w:rsidR="00F12C23">
        <w:rPr>
          <w:rFonts w:ascii="微軟正黑體" w:eastAsia="微軟正黑體" w:hAnsi="微軟正黑體" w:cs="新細明體" w:hint="eastAsia"/>
          <w:kern w:val="0"/>
          <w:sz w:val="28"/>
          <w:szCs w:val="28"/>
        </w:rPr>
        <w:t>工作面向涵蓋</w:t>
      </w:r>
      <w:r w:rsidR="00434B3E" w:rsidRPr="00AA14B0">
        <w:rPr>
          <w:rFonts w:ascii="微軟正黑體" w:eastAsia="微軟正黑體" w:hAnsi="微軟正黑體" w:cs="新細明體"/>
          <w:kern w:val="0"/>
          <w:sz w:val="28"/>
          <w:szCs w:val="28"/>
        </w:rPr>
        <w:t>政策建議書、審查作業原則與操作手冊</w:t>
      </w:r>
      <w:r w:rsidR="00F12C23">
        <w:rPr>
          <w:rFonts w:ascii="微軟正黑體" w:eastAsia="微軟正黑體" w:hAnsi="微軟正黑體" w:cs="新細明體" w:hint="eastAsia"/>
          <w:kern w:val="0"/>
          <w:sz w:val="28"/>
          <w:szCs w:val="28"/>
        </w:rPr>
        <w:t>等</w:t>
      </w:r>
      <w:r w:rsidR="00434B3E" w:rsidRPr="00AA14B0">
        <w:rPr>
          <w:rFonts w:ascii="微軟正黑體" w:eastAsia="微軟正黑體" w:hAnsi="微軟正黑體" w:cs="新細明體"/>
          <w:kern w:val="0"/>
          <w:sz w:val="28"/>
          <w:szCs w:val="28"/>
        </w:rPr>
        <w:t>，對法規遵循與制度落實具有全盤理解。</w:t>
      </w:r>
    </w:p>
    <w:p w:rsidR="00B52A75" w:rsidRPr="00AA14B0" w:rsidRDefault="00434B3E"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熟悉制度的立法脈絡，</w:t>
      </w:r>
      <w:r w:rsidR="00F12C23">
        <w:rPr>
          <w:rFonts w:ascii="微軟正黑體" w:eastAsia="微軟正黑體" w:hAnsi="微軟正黑體" w:cs="新細明體" w:hint="eastAsia"/>
          <w:kern w:val="0"/>
          <w:sz w:val="28"/>
          <w:szCs w:val="28"/>
        </w:rPr>
        <w:t>掌握</w:t>
      </w:r>
      <w:r w:rsidR="00B52A75" w:rsidRPr="00AA14B0">
        <w:rPr>
          <w:rFonts w:ascii="微軟正黑體" w:eastAsia="微軟正黑體" w:hAnsi="微軟正黑體" w:cs="新細明體"/>
          <w:kern w:val="0"/>
          <w:sz w:val="28"/>
          <w:szCs w:val="28"/>
        </w:rPr>
        <w:t>政策推動時各部會的職責分工及可能的執行難點，能協助業主</w:t>
      </w:r>
      <w:r w:rsidR="00F12C23">
        <w:rPr>
          <w:rFonts w:ascii="微軟正黑體" w:eastAsia="微軟正黑體" w:hAnsi="微軟正黑體" w:cs="新細明體" w:hint="eastAsia"/>
          <w:kern w:val="0"/>
          <w:sz w:val="28"/>
          <w:szCs w:val="28"/>
        </w:rPr>
        <w:t>提出</w:t>
      </w:r>
      <w:r w:rsidR="00B52A75" w:rsidRPr="00AA14B0">
        <w:rPr>
          <w:rFonts w:ascii="微軟正黑體" w:eastAsia="微軟正黑體" w:hAnsi="微軟正黑體" w:cs="新細明體"/>
          <w:kern w:val="0"/>
          <w:sz w:val="28"/>
          <w:szCs w:val="28"/>
        </w:rPr>
        <w:t>符合最新法規要求</w:t>
      </w:r>
      <w:r w:rsidR="00F12C23">
        <w:rPr>
          <w:rFonts w:ascii="微軟正黑體" w:eastAsia="微軟正黑體" w:hAnsi="微軟正黑體" w:cs="新細明體" w:hint="eastAsia"/>
          <w:kern w:val="0"/>
          <w:sz w:val="28"/>
          <w:szCs w:val="28"/>
        </w:rPr>
        <w:t>的</w:t>
      </w:r>
      <w:r w:rsidR="00F12C23" w:rsidRPr="00AA14B0">
        <w:rPr>
          <w:rFonts w:ascii="微軟正黑體" w:eastAsia="微軟正黑體" w:hAnsi="微軟正黑體" w:cs="新細明體"/>
          <w:kern w:val="0"/>
          <w:sz w:val="28"/>
          <w:szCs w:val="28"/>
        </w:rPr>
        <w:t>計畫</w:t>
      </w:r>
      <w:r w:rsidR="00B52A75" w:rsidRPr="00AA14B0">
        <w:rPr>
          <w:rFonts w:ascii="微軟正黑體" w:eastAsia="微軟正黑體" w:hAnsi="微軟正黑體" w:cs="新細明體"/>
          <w:kern w:val="0"/>
          <w:sz w:val="28"/>
          <w:szCs w:val="28"/>
        </w:rPr>
        <w:t>。</w:t>
      </w:r>
    </w:p>
    <w:p w:rsidR="00B52A75" w:rsidRPr="00AA14B0" w:rsidRDefault="00B52A75" w:rsidP="00AA14B0">
      <w:pPr>
        <w:widowControl/>
        <w:numPr>
          <w:ilvl w:val="0"/>
          <w:numId w:val="5"/>
        </w:numPr>
        <w:spacing w:before="100" w:beforeAutospacing="1" w:after="100" w:afterAutospacing="1" w:line="400" w:lineRule="exact"/>
        <w:ind w:hanging="357"/>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跨部會與專業技術合作</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與氣象署建立長期合作關係，共同推動氣候資料標準化、數值模式應用及氣候情境建構。</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與農業部、交通部、經濟部等單位合作，進行農業、水資源、交通運輸等不同領域的風險評估，具跨部門調適經驗。</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除具備氣象資料處理能力外，亦能</w:t>
      </w:r>
      <w:r w:rsidR="00720DA0">
        <w:rPr>
          <w:rFonts w:ascii="微軟正黑體" w:eastAsia="微軟正黑體" w:hAnsi="微軟正黑體" w:cs="新細明體" w:hint="eastAsia"/>
          <w:kern w:val="0"/>
          <w:sz w:val="28"/>
          <w:szCs w:val="28"/>
        </w:rPr>
        <w:t>整</w:t>
      </w:r>
      <w:r w:rsidRPr="00AA14B0">
        <w:rPr>
          <w:rFonts w:ascii="微軟正黑體" w:eastAsia="微軟正黑體" w:hAnsi="微軟正黑體" w:cs="新細明體"/>
          <w:kern w:val="0"/>
          <w:sz w:val="28"/>
          <w:szCs w:val="28"/>
        </w:rPr>
        <w:t>合</w:t>
      </w:r>
      <w:r w:rsidR="00720DA0">
        <w:rPr>
          <w:rFonts w:ascii="微軟正黑體" w:eastAsia="微軟正黑體" w:hAnsi="微軟正黑體" w:cs="新細明體" w:hint="eastAsia"/>
          <w:kern w:val="0"/>
          <w:sz w:val="28"/>
          <w:szCs w:val="28"/>
        </w:rPr>
        <w:t>應用</w:t>
      </w:r>
      <w:r w:rsidRPr="00AA14B0">
        <w:rPr>
          <w:rFonts w:ascii="微軟正黑體" w:eastAsia="微軟正黑體" w:hAnsi="微軟正黑體" w:cs="新細明體"/>
          <w:kern w:val="0"/>
          <w:sz w:val="28"/>
          <w:szCs w:val="28"/>
        </w:rPr>
        <w:t xml:space="preserve"> GIS、統計分析與AI 模型進行風險模擬，提供多層次分析成果。</w:t>
      </w:r>
    </w:p>
    <w:p w:rsidR="00B52A75" w:rsidRPr="00AA14B0" w:rsidRDefault="00B52A75" w:rsidP="00AA14B0">
      <w:pPr>
        <w:widowControl/>
        <w:numPr>
          <w:ilvl w:val="0"/>
          <w:numId w:val="5"/>
        </w:numPr>
        <w:spacing w:before="100" w:beforeAutospacing="1" w:after="100" w:afterAutospacing="1" w:line="400" w:lineRule="exact"/>
        <w:ind w:hanging="357"/>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專案與教育訓練經驗豐富</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多次承接政府委辦計畫，涵蓋健康風險評估、氣候衝擊指標建構、風險評估工具研發等，成果獲得中央與地方政府肯定。</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主辦或協辦多場教育訓練與工作坊，內容包括「氣候風險評估方法學」、「氣候資料應用」、「脆弱度指標建構」等，</w:t>
      </w:r>
      <w:r w:rsidRPr="00AA14B0">
        <w:rPr>
          <w:rFonts w:ascii="微軟正黑體" w:eastAsia="微軟正黑體" w:hAnsi="微軟正黑體" w:cs="新細明體"/>
          <w:kern w:val="0"/>
          <w:sz w:val="28"/>
          <w:szCs w:val="28"/>
        </w:rPr>
        <w:lastRenderedPageBreak/>
        <w:t>學員涵蓋中央部會人員、地方政府及產業代表，累積廣泛的培訓實績</w:t>
      </w:r>
      <w:r w:rsidR="008A1A89">
        <w:rPr>
          <w:rFonts w:ascii="微軟正黑體" w:eastAsia="微軟正黑體" w:hAnsi="微軟正黑體" w:cs="新細明體" w:hint="eastAsia"/>
          <w:kern w:val="0"/>
          <w:sz w:val="28"/>
          <w:szCs w:val="28"/>
        </w:rPr>
        <w:t>，並掌握所需關鍵資源</w:t>
      </w:r>
      <w:r w:rsidRPr="00AA14B0">
        <w:rPr>
          <w:rFonts w:ascii="微軟正黑體" w:eastAsia="微軟正黑體" w:hAnsi="微軟正黑體" w:cs="新細明體"/>
          <w:kern w:val="0"/>
          <w:sz w:val="28"/>
          <w:szCs w:val="28"/>
        </w:rPr>
        <w:t>。</w:t>
      </w:r>
    </w:p>
    <w:p w:rsidR="00B52A75" w:rsidRPr="00AA14B0" w:rsidRDefault="005871DB"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長期累積需同時</w:t>
      </w:r>
      <w:r w:rsidR="00B52A75" w:rsidRPr="00AA14B0">
        <w:rPr>
          <w:rFonts w:ascii="微軟正黑體" w:eastAsia="微軟正黑體" w:hAnsi="微軟正黑體" w:cs="新細明體"/>
          <w:kern w:val="0"/>
          <w:sz w:val="28"/>
          <w:szCs w:val="28"/>
        </w:rPr>
        <w:t>兼顧研究嚴謹性與政策適用性</w:t>
      </w:r>
      <w:r>
        <w:rPr>
          <w:rFonts w:ascii="微軟正黑體" w:eastAsia="微軟正黑體" w:hAnsi="微軟正黑體" w:cs="新細明體" w:hint="eastAsia"/>
          <w:kern w:val="0"/>
          <w:sz w:val="28"/>
          <w:szCs w:val="28"/>
        </w:rPr>
        <w:t>之綜合性</w:t>
      </w:r>
      <w:r w:rsidRPr="00AA14B0">
        <w:rPr>
          <w:rFonts w:ascii="微軟正黑體" w:eastAsia="微軟正黑體" w:hAnsi="微軟正黑體" w:cs="新細明體"/>
          <w:kern w:val="0"/>
          <w:sz w:val="28"/>
          <w:szCs w:val="28"/>
        </w:rPr>
        <w:t>專案</w:t>
      </w:r>
      <w:r>
        <w:rPr>
          <w:rFonts w:ascii="微軟正黑體" w:eastAsia="微軟正黑體" w:hAnsi="微軟正黑體" w:cs="新細明體" w:hint="eastAsia"/>
          <w:kern w:val="0"/>
          <w:sz w:val="28"/>
          <w:szCs w:val="28"/>
        </w:rPr>
        <w:t>執行經驗</w:t>
      </w:r>
      <w:r w:rsidR="00B52A75" w:rsidRPr="00AA14B0">
        <w:rPr>
          <w:rFonts w:ascii="微軟正黑體" w:eastAsia="微軟正黑體" w:hAnsi="微軟正黑體" w:cs="新細明體"/>
          <w:kern w:val="0"/>
          <w:sz w:val="28"/>
          <w:szCs w:val="28"/>
        </w:rPr>
        <w:t>，能協助</w:t>
      </w:r>
      <w:r>
        <w:rPr>
          <w:rFonts w:ascii="微軟正黑體" w:eastAsia="微軟正黑體" w:hAnsi="微軟正黑體" w:cs="新細明體" w:hint="eastAsia"/>
          <w:kern w:val="0"/>
          <w:sz w:val="28"/>
          <w:szCs w:val="28"/>
        </w:rPr>
        <w:t>各</w:t>
      </w:r>
      <w:r w:rsidR="00B52A75" w:rsidRPr="00AA14B0">
        <w:rPr>
          <w:rFonts w:ascii="微軟正黑體" w:eastAsia="微軟正黑體" w:hAnsi="微軟正黑體" w:cs="新細明體"/>
          <w:kern w:val="0"/>
          <w:sz w:val="28"/>
          <w:szCs w:val="28"/>
        </w:rPr>
        <w:t>單位</w:t>
      </w:r>
      <w:r>
        <w:rPr>
          <w:rFonts w:ascii="微軟正黑體" w:eastAsia="微軟正黑體" w:hAnsi="微軟正黑體" w:cs="新細明體" w:hint="eastAsia"/>
          <w:kern w:val="0"/>
          <w:sz w:val="28"/>
          <w:szCs w:val="28"/>
        </w:rPr>
        <w:t>提出符合</w:t>
      </w:r>
      <w:r w:rsidR="00B52A75" w:rsidRPr="00AA14B0">
        <w:rPr>
          <w:rFonts w:ascii="微軟正黑體" w:eastAsia="微軟正黑體" w:hAnsi="微軟正黑體" w:cs="新細明體"/>
          <w:kern w:val="0"/>
          <w:sz w:val="28"/>
          <w:szCs w:val="28"/>
        </w:rPr>
        <w:t>「法規</w:t>
      </w:r>
      <w:r>
        <w:rPr>
          <w:rFonts w:ascii="微軟正黑體" w:eastAsia="微軟正黑體" w:hAnsi="微軟正黑體" w:cs="新細明體" w:hint="eastAsia"/>
          <w:kern w:val="0"/>
          <w:sz w:val="28"/>
          <w:szCs w:val="28"/>
        </w:rPr>
        <w:t>要求</w:t>
      </w:r>
      <w:r w:rsidR="00B52A75" w:rsidRPr="00AA14B0">
        <w:rPr>
          <w:rFonts w:ascii="微軟正黑體" w:eastAsia="微軟正黑體" w:hAnsi="微軟正黑體" w:cs="新細明體"/>
          <w:kern w:val="0"/>
          <w:sz w:val="28"/>
          <w:szCs w:val="28"/>
        </w:rPr>
        <w:t>」、「計畫審查」</w:t>
      </w:r>
      <w:r>
        <w:rPr>
          <w:rFonts w:ascii="微軟正黑體" w:eastAsia="微軟正黑體" w:hAnsi="微軟正黑體" w:cs="新細明體" w:hint="eastAsia"/>
          <w:kern w:val="0"/>
          <w:sz w:val="28"/>
          <w:szCs w:val="28"/>
        </w:rPr>
        <w:t>及</w:t>
      </w:r>
      <w:r w:rsidR="00B52A75" w:rsidRPr="00AA14B0">
        <w:rPr>
          <w:rFonts w:ascii="微軟正黑體" w:eastAsia="微軟正黑體" w:hAnsi="微軟正黑體" w:cs="新細明體"/>
          <w:kern w:val="0"/>
          <w:sz w:val="28"/>
          <w:szCs w:val="28"/>
        </w:rPr>
        <w:t>「國際報告」三大面向需求</w:t>
      </w:r>
      <w:r w:rsidRPr="00AA14B0">
        <w:rPr>
          <w:rFonts w:ascii="微軟正黑體" w:eastAsia="微軟正黑體" w:hAnsi="微軟正黑體" w:cs="新細明體"/>
          <w:kern w:val="0"/>
          <w:sz w:val="28"/>
          <w:szCs w:val="28"/>
        </w:rPr>
        <w:t>的</w:t>
      </w:r>
      <w:r>
        <w:rPr>
          <w:rFonts w:ascii="微軟正黑體" w:eastAsia="微軟正黑體" w:hAnsi="微軟正黑體" w:cs="新細明體" w:hint="eastAsia"/>
          <w:kern w:val="0"/>
          <w:sz w:val="28"/>
          <w:szCs w:val="28"/>
        </w:rPr>
        <w:t>風險評估報告</w:t>
      </w:r>
      <w:r w:rsidR="00B52A75" w:rsidRPr="00AA14B0">
        <w:rPr>
          <w:rFonts w:ascii="微軟正黑體" w:eastAsia="微軟正黑體" w:hAnsi="微軟正黑體" w:cs="新細明體"/>
          <w:kern w:val="0"/>
          <w:sz w:val="28"/>
          <w:szCs w:val="28"/>
        </w:rPr>
        <w:t>。</w:t>
      </w:r>
    </w:p>
    <w:p w:rsidR="00B52A75" w:rsidRPr="00AA14B0" w:rsidRDefault="00B52A75" w:rsidP="00AA14B0">
      <w:pPr>
        <w:widowControl/>
        <w:numPr>
          <w:ilvl w:val="0"/>
          <w:numId w:val="5"/>
        </w:numPr>
        <w:spacing w:before="100" w:beforeAutospacing="1" w:after="100" w:afterAutospacing="1" w:line="400" w:lineRule="exact"/>
        <w:ind w:hanging="357"/>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專業網絡與審查熟悉度</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本公司與多位環境影響評估審查委員及專家學者長期</w:t>
      </w:r>
      <w:r w:rsidR="00594807">
        <w:rPr>
          <w:rFonts w:ascii="微軟正黑體" w:eastAsia="微軟正黑體" w:hAnsi="微軟正黑體" w:cs="新細明體" w:hint="eastAsia"/>
          <w:kern w:val="0"/>
          <w:sz w:val="28"/>
          <w:szCs w:val="28"/>
        </w:rPr>
        <w:t>有</w:t>
      </w:r>
      <w:r w:rsidRPr="00AA14B0">
        <w:rPr>
          <w:rFonts w:ascii="微軟正黑體" w:eastAsia="微軟正黑體" w:hAnsi="微軟正黑體" w:cs="新細明體"/>
          <w:kern w:val="0"/>
          <w:sz w:val="28"/>
          <w:szCs w:val="28"/>
        </w:rPr>
        <w:t>專業交流，對審查重點、專家觀點及實務考量</w:t>
      </w:r>
      <w:r w:rsidR="00594807" w:rsidRPr="00AA14B0">
        <w:rPr>
          <w:rFonts w:ascii="微軟正黑體" w:eastAsia="微軟正黑體" w:hAnsi="微軟正黑體" w:cs="新細明體"/>
          <w:kern w:val="0"/>
          <w:sz w:val="28"/>
          <w:szCs w:val="28"/>
        </w:rPr>
        <w:t>掌握</w:t>
      </w:r>
      <w:r w:rsidR="00594807">
        <w:rPr>
          <w:rFonts w:ascii="微軟正黑體" w:eastAsia="微軟正黑體" w:hAnsi="微軟正黑體" w:cs="新細明體" w:hint="eastAsia"/>
          <w:kern w:val="0"/>
          <w:sz w:val="28"/>
          <w:szCs w:val="28"/>
        </w:rPr>
        <w:t>第一手資訊</w:t>
      </w:r>
      <w:r w:rsidRPr="00AA14B0">
        <w:rPr>
          <w:rFonts w:ascii="微軟正黑體" w:eastAsia="微軟正黑體" w:hAnsi="微軟正黑體" w:cs="新細明體"/>
          <w:kern w:val="0"/>
          <w:sz w:val="28"/>
          <w:szCs w:val="28"/>
        </w:rPr>
        <w:t>。</w:t>
      </w:r>
    </w:p>
    <w:p w:rsidR="00B52A75" w:rsidRPr="00AA14B0" w:rsidRDefault="00B52A75"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kern w:val="0"/>
          <w:sz w:val="28"/>
          <w:szCs w:val="28"/>
        </w:rPr>
        <w:t>受邀參與過跨部會專家諮詢小組，熟悉國際評估架構（如 IPCC、OECD</w:t>
      </w:r>
      <w:r w:rsidR="00434B3E" w:rsidRPr="00AA14B0">
        <w:rPr>
          <w:rFonts w:ascii="微軟正黑體" w:eastAsia="微軟正黑體" w:hAnsi="微軟正黑體" w:cs="新細明體"/>
          <w:kern w:val="0"/>
          <w:sz w:val="28"/>
          <w:szCs w:val="28"/>
        </w:rPr>
        <w:t>）、</w:t>
      </w:r>
      <w:r w:rsidRPr="00AA14B0">
        <w:rPr>
          <w:rFonts w:ascii="微軟正黑體" w:eastAsia="微軟正黑體" w:hAnsi="微軟正黑體" w:cs="新細明體"/>
          <w:kern w:val="0"/>
          <w:sz w:val="28"/>
          <w:szCs w:val="28"/>
        </w:rPr>
        <w:t>能轉化為臺灣適用的本土化方法。</w:t>
      </w:r>
    </w:p>
    <w:p w:rsidR="00B52A75" w:rsidRPr="00AA14B0" w:rsidRDefault="00434B3E" w:rsidP="00AA14B0">
      <w:pPr>
        <w:widowControl/>
        <w:numPr>
          <w:ilvl w:val="1"/>
          <w:numId w:val="5"/>
        </w:numPr>
        <w:spacing w:before="100" w:beforeAutospacing="1" w:after="100" w:afterAutospacing="1" w:line="400" w:lineRule="exact"/>
        <w:ind w:left="1134" w:hanging="357"/>
        <w:jc w:val="both"/>
        <w:rPr>
          <w:rFonts w:ascii="微軟正黑體" w:eastAsia="微軟正黑體" w:hAnsi="微軟正黑體" w:cs="新細明體"/>
          <w:kern w:val="0"/>
          <w:sz w:val="28"/>
          <w:szCs w:val="28"/>
        </w:rPr>
      </w:pPr>
      <w:r w:rsidRPr="00AA14B0">
        <w:rPr>
          <w:rFonts w:ascii="微軟正黑體" w:eastAsia="微軟正黑體" w:hAnsi="微軟正黑體" w:cs="新細明體" w:hint="eastAsia"/>
          <w:kern w:val="0"/>
          <w:sz w:val="28"/>
          <w:szCs w:val="28"/>
        </w:rPr>
        <w:t>於</w:t>
      </w:r>
      <w:r w:rsidR="00B52A75" w:rsidRPr="00AA14B0">
        <w:rPr>
          <w:rFonts w:ascii="微軟正黑體" w:eastAsia="微軟正黑體" w:hAnsi="微軟正黑體" w:cs="新細明體"/>
          <w:kern w:val="0"/>
          <w:sz w:val="28"/>
          <w:szCs w:val="28"/>
        </w:rPr>
        <w:t>審查場合具有良好專業形象與信任基礎，可協助業主在審查過程中更有效溝通，提升計畫順利推動的成功率。</w:t>
      </w:r>
    </w:p>
    <w:p w:rsidR="00AA14B0" w:rsidRPr="00AA14B0" w:rsidRDefault="00AA14B0" w:rsidP="00AA14B0">
      <w:pPr>
        <w:pStyle w:val="Web"/>
        <w:numPr>
          <w:ilvl w:val="0"/>
          <w:numId w:val="7"/>
        </w:numPr>
        <w:rPr>
          <w:rFonts w:ascii="微軟正黑體" w:eastAsia="微軟正黑體" w:hAnsi="微軟正黑體"/>
          <w:b/>
          <w:bCs/>
          <w:sz w:val="36"/>
          <w:szCs w:val="36"/>
        </w:rPr>
      </w:pPr>
      <w:r>
        <w:rPr>
          <w:rFonts w:ascii="微軟正黑體" w:eastAsia="微軟正黑體" w:hAnsi="微軟正黑體" w:hint="eastAsia"/>
          <w:b/>
          <w:bCs/>
          <w:sz w:val="36"/>
          <w:szCs w:val="36"/>
        </w:rPr>
        <w:t>主要實績</w:t>
      </w:r>
    </w:p>
    <w:p w:rsidR="0032542F" w:rsidRPr="0032542F" w:rsidRDefault="0032542F" w:rsidP="0032542F">
      <w:pPr>
        <w:numPr>
          <w:ilvl w:val="0"/>
          <w:numId w:val="9"/>
        </w:numPr>
        <w:spacing w:line="400" w:lineRule="exact"/>
        <w:ind w:left="482" w:rightChars="18" w:right="43" w:hanging="482"/>
        <w:jc w:val="both"/>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環境部氣候變遷署，</w:t>
      </w:r>
      <w:r>
        <w:rPr>
          <w:rFonts w:ascii="微軟正黑體" w:eastAsia="微軟正黑體" w:hAnsi="微軟正黑體" w:cs="新細明體"/>
          <w:kern w:val="0"/>
          <w:sz w:val="28"/>
          <w:szCs w:val="28"/>
        </w:rPr>
        <w:t>2025</w:t>
      </w:r>
      <w:r>
        <w:rPr>
          <w:rFonts w:ascii="微軟正黑體" w:eastAsia="微軟正黑體" w:hAnsi="微軟正黑體" w:cs="新細明體" w:hint="eastAsia"/>
          <w:kern w:val="0"/>
          <w:sz w:val="28"/>
          <w:szCs w:val="28"/>
        </w:rPr>
        <w:t>，</w:t>
      </w:r>
      <w:r w:rsidRPr="0032542F">
        <w:rPr>
          <w:rFonts w:ascii="微軟正黑體" w:eastAsia="微軟正黑體" w:hAnsi="微軟正黑體" w:cs="新細明體"/>
          <w:kern w:val="0"/>
          <w:sz w:val="28"/>
          <w:szCs w:val="28"/>
        </w:rPr>
        <w:t>114</w:t>
      </w:r>
      <w:r w:rsidRPr="0032542F">
        <w:rPr>
          <w:rFonts w:ascii="微軟正黑體" w:eastAsia="微軟正黑體" w:hAnsi="微軟正黑體" w:cs="新細明體" w:hint="eastAsia"/>
          <w:kern w:val="0"/>
          <w:sz w:val="28"/>
          <w:szCs w:val="28"/>
        </w:rPr>
        <w:t>年推動我國氣候變遷調適行動計畫及策略研析專案工作。</w:t>
      </w:r>
    </w:p>
    <w:p w:rsidR="0032542F" w:rsidRPr="0032542F" w:rsidRDefault="0032542F" w:rsidP="0032542F">
      <w:pPr>
        <w:numPr>
          <w:ilvl w:val="0"/>
          <w:numId w:val="9"/>
        </w:numPr>
        <w:spacing w:line="400" w:lineRule="exact"/>
        <w:ind w:left="482" w:rightChars="18" w:right="43" w:hanging="482"/>
        <w:jc w:val="both"/>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環境部氣候變遷署，</w:t>
      </w:r>
      <w:r>
        <w:rPr>
          <w:rFonts w:ascii="微軟正黑體" w:eastAsia="微軟正黑體" w:hAnsi="微軟正黑體" w:cs="新細明體"/>
          <w:kern w:val="0"/>
          <w:sz w:val="28"/>
          <w:szCs w:val="28"/>
        </w:rPr>
        <w:t>2024</w:t>
      </w:r>
      <w:r>
        <w:rPr>
          <w:rFonts w:ascii="微軟正黑體" w:eastAsia="微軟正黑體" w:hAnsi="微軟正黑體" w:cs="新細明體" w:hint="eastAsia"/>
          <w:kern w:val="0"/>
          <w:sz w:val="28"/>
          <w:szCs w:val="28"/>
        </w:rPr>
        <w:t>，</w:t>
      </w:r>
      <w:r w:rsidRPr="0032542F">
        <w:rPr>
          <w:rFonts w:ascii="微軟正黑體" w:eastAsia="微軟正黑體" w:hAnsi="微軟正黑體" w:cs="新細明體" w:hint="eastAsia"/>
          <w:kern w:val="0"/>
          <w:sz w:val="28"/>
          <w:szCs w:val="28"/>
        </w:rPr>
        <w:t>113年國家氣候變遷調適計畫推動及策略研析專案工作。</w:t>
      </w:r>
    </w:p>
    <w:p w:rsidR="0032542F" w:rsidRPr="0032542F" w:rsidRDefault="0032542F" w:rsidP="0032542F">
      <w:pPr>
        <w:numPr>
          <w:ilvl w:val="0"/>
          <w:numId w:val="9"/>
        </w:numPr>
        <w:spacing w:line="400" w:lineRule="exact"/>
        <w:ind w:left="482" w:rightChars="18" w:right="43" w:hanging="482"/>
        <w:jc w:val="both"/>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環保署，</w:t>
      </w:r>
      <w:r>
        <w:rPr>
          <w:rFonts w:ascii="微軟正黑體" w:eastAsia="微軟正黑體" w:hAnsi="微軟正黑體" w:cs="新細明體"/>
          <w:kern w:val="0"/>
          <w:sz w:val="28"/>
          <w:szCs w:val="28"/>
        </w:rPr>
        <w:t>2023</w:t>
      </w:r>
      <w:r>
        <w:rPr>
          <w:rFonts w:ascii="微軟正黑體" w:eastAsia="微軟正黑體" w:hAnsi="微軟正黑體" w:cs="新細明體" w:hint="eastAsia"/>
          <w:kern w:val="0"/>
          <w:sz w:val="28"/>
          <w:szCs w:val="28"/>
        </w:rPr>
        <w:t>，</w:t>
      </w:r>
      <w:r w:rsidRPr="0032542F">
        <w:rPr>
          <w:rFonts w:ascii="微軟正黑體" w:eastAsia="微軟正黑體" w:hAnsi="微軟正黑體" w:cs="新細明體" w:hint="eastAsia"/>
          <w:kern w:val="0"/>
          <w:sz w:val="28"/>
          <w:szCs w:val="28"/>
        </w:rPr>
        <w:t>國家氣候變遷調適計畫推動暨調適發展策略研析專案工作計畫。</w:t>
      </w:r>
    </w:p>
    <w:p w:rsidR="0032542F" w:rsidRPr="0032542F" w:rsidRDefault="0032542F" w:rsidP="0032542F">
      <w:pPr>
        <w:numPr>
          <w:ilvl w:val="0"/>
          <w:numId w:val="9"/>
        </w:numPr>
        <w:spacing w:line="400" w:lineRule="exact"/>
        <w:ind w:left="482" w:rightChars="18" w:right="43" w:hanging="482"/>
        <w:jc w:val="both"/>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環保署，</w:t>
      </w:r>
      <w:r>
        <w:rPr>
          <w:rFonts w:ascii="微軟正黑體" w:eastAsia="微軟正黑體" w:hAnsi="微軟正黑體" w:cs="新細明體"/>
          <w:kern w:val="0"/>
          <w:sz w:val="28"/>
          <w:szCs w:val="28"/>
        </w:rPr>
        <w:t>2022</w:t>
      </w:r>
      <w:r>
        <w:rPr>
          <w:rFonts w:ascii="微軟正黑體" w:eastAsia="微軟正黑體" w:hAnsi="微軟正黑體" w:cs="新細明體" w:hint="eastAsia"/>
          <w:kern w:val="0"/>
          <w:sz w:val="28"/>
          <w:szCs w:val="28"/>
        </w:rPr>
        <w:t>，</w:t>
      </w:r>
      <w:r w:rsidRPr="0032542F">
        <w:rPr>
          <w:rFonts w:ascii="微軟正黑體" w:eastAsia="微軟正黑體" w:hAnsi="微軟正黑體" w:cs="新細明體" w:hint="eastAsia"/>
          <w:kern w:val="0"/>
          <w:sz w:val="28"/>
          <w:szCs w:val="28"/>
        </w:rPr>
        <w:t>國家氣候變遷調適行動推動及整合專案工作計畫。</w:t>
      </w:r>
    </w:p>
    <w:p w:rsidR="0032542F" w:rsidRPr="0032542F" w:rsidRDefault="0032542F" w:rsidP="0032542F">
      <w:pPr>
        <w:numPr>
          <w:ilvl w:val="0"/>
          <w:numId w:val="9"/>
        </w:numPr>
        <w:spacing w:line="400" w:lineRule="exact"/>
        <w:ind w:left="482" w:rightChars="18" w:right="43" w:hanging="482"/>
        <w:jc w:val="both"/>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環保署，2</w:t>
      </w:r>
      <w:r>
        <w:rPr>
          <w:rFonts w:ascii="微軟正黑體" w:eastAsia="微軟正黑體" w:hAnsi="微軟正黑體" w:cs="新細明體"/>
          <w:kern w:val="0"/>
          <w:sz w:val="28"/>
          <w:szCs w:val="28"/>
        </w:rPr>
        <w:t>021</w:t>
      </w:r>
      <w:r>
        <w:rPr>
          <w:rFonts w:ascii="微軟正黑體" w:eastAsia="微軟正黑體" w:hAnsi="微軟正黑體" w:cs="新細明體" w:hint="eastAsia"/>
          <w:kern w:val="0"/>
          <w:sz w:val="28"/>
          <w:szCs w:val="28"/>
        </w:rPr>
        <w:t>，</w:t>
      </w:r>
      <w:r w:rsidRPr="0032542F">
        <w:rPr>
          <w:rFonts w:ascii="微軟正黑體" w:eastAsia="微軟正黑體" w:hAnsi="微軟正黑體" w:cs="新細明體" w:hint="eastAsia"/>
          <w:kern w:val="0"/>
          <w:sz w:val="28"/>
          <w:szCs w:val="28"/>
        </w:rPr>
        <w:t>國家氣候變遷調適策略強化與行動方案推動計畫。</w:t>
      </w:r>
    </w:p>
    <w:p w:rsidR="00AA14B0" w:rsidRPr="0032542F" w:rsidRDefault="0032542F" w:rsidP="0032542F">
      <w:pPr>
        <w:pStyle w:val="a4"/>
        <w:numPr>
          <w:ilvl w:val="0"/>
          <w:numId w:val="9"/>
        </w:numPr>
        <w:spacing w:line="400" w:lineRule="exact"/>
        <w:ind w:leftChars="0" w:left="482" w:hanging="482"/>
        <w:rPr>
          <w:rFonts w:ascii="微軟正黑體" w:eastAsia="微軟正黑體" w:hAnsi="微軟正黑體" w:cs="新細明體"/>
          <w:kern w:val="0"/>
          <w:sz w:val="28"/>
          <w:szCs w:val="28"/>
        </w:rPr>
      </w:pPr>
      <w:r>
        <w:rPr>
          <w:rFonts w:ascii="微軟正黑體" w:eastAsia="微軟正黑體" w:hAnsi="微軟正黑體" w:cs="新細明體" w:hint="eastAsia"/>
          <w:kern w:val="0"/>
          <w:sz w:val="28"/>
          <w:szCs w:val="28"/>
        </w:rPr>
        <w:t>環保署，</w:t>
      </w:r>
      <w:r>
        <w:rPr>
          <w:rFonts w:ascii="微軟正黑體" w:eastAsia="微軟正黑體" w:hAnsi="微軟正黑體" w:cs="新細明體"/>
          <w:kern w:val="0"/>
          <w:sz w:val="28"/>
          <w:szCs w:val="28"/>
        </w:rPr>
        <w:t>2020</w:t>
      </w:r>
      <w:r>
        <w:rPr>
          <w:rFonts w:ascii="微軟正黑體" w:eastAsia="微軟正黑體" w:hAnsi="微軟正黑體" w:cs="新細明體" w:hint="eastAsia"/>
          <w:kern w:val="0"/>
          <w:sz w:val="28"/>
          <w:szCs w:val="28"/>
        </w:rPr>
        <w:t>，</w:t>
      </w:r>
      <w:r w:rsidRPr="0032542F">
        <w:rPr>
          <w:rFonts w:ascii="微軟正黑體" w:eastAsia="微軟正黑體" w:hAnsi="微軟正黑體" w:cs="新細明體" w:hint="eastAsia"/>
          <w:kern w:val="0"/>
          <w:sz w:val="28"/>
          <w:szCs w:val="28"/>
        </w:rPr>
        <w:t>國家氣候變遷調適方案推動與管理專案工作計畫。</w:t>
      </w:r>
    </w:p>
    <w:sectPr w:rsidR="00AA14B0" w:rsidRPr="003254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891" w:rsidRDefault="00875891" w:rsidP="00E314CF">
      <w:r>
        <w:separator/>
      </w:r>
    </w:p>
  </w:endnote>
  <w:endnote w:type="continuationSeparator" w:id="0">
    <w:p w:rsidR="00875891" w:rsidRDefault="00875891" w:rsidP="00E3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altName w:val="Microsoft JhengHei"/>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891" w:rsidRDefault="00875891" w:rsidP="00E314CF">
      <w:r>
        <w:separator/>
      </w:r>
    </w:p>
  </w:footnote>
  <w:footnote w:type="continuationSeparator" w:id="0">
    <w:p w:rsidR="00875891" w:rsidRDefault="00875891" w:rsidP="00E314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28BB"/>
    <w:multiLevelType w:val="hybridMultilevel"/>
    <w:tmpl w:val="59407B2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631726"/>
    <w:multiLevelType w:val="hybridMultilevel"/>
    <w:tmpl w:val="8330647C"/>
    <w:lvl w:ilvl="0" w:tplc="0EF2DC88">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211E37C0"/>
    <w:multiLevelType w:val="hybridMultilevel"/>
    <w:tmpl w:val="868C3D3C"/>
    <w:lvl w:ilvl="0" w:tplc="8CB6872E">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1C6693"/>
    <w:multiLevelType w:val="hybridMultilevel"/>
    <w:tmpl w:val="D1646AB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E340EB2"/>
    <w:multiLevelType w:val="multilevel"/>
    <w:tmpl w:val="DB12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336A0"/>
    <w:multiLevelType w:val="hybridMultilevel"/>
    <w:tmpl w:val="CE1815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E596203"/>
    <w:multiLevelType w:val="hybridMultilevel"/>
    <w:tmpl w:val="CC64C8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4EB1339D"/>
    <w:multiLevelType w:val="multilevel"/>
    <w:tmpl w:val="AFD0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73D86"/>
    <w:multiLevelType w:val="hybridMultilevel"/>
    <w:tmpl w:val="D6DAE404"/>
    <w:lvl w:ilvl="0" w:tplc="04090003">
      <w:start w:val="1"/>
      <w:numFmt w:val="bullet"/>
      <w:lvlText w:val=""/>
      <w:lvlJc w:val="left"/>
      <w:pPr>
        <w:ind w:left="1068" w:hanging="480"/>
      </w:pPr>
      <w:rPr>
        <w:rFonts w:ascii="Wingdings" w:hAnsi="Wingdings" w:hint="default"/>
      </w:rPr>
    </w:lvl>
    <w:lvl w:ilvl="1" w:tplc="04090003" w:tentative="1">
      <w:start w:val="1"/>
      <w:numFmt w:val="bullet"/>
      <w:lvlText w:val=""/>
      <w:lvlJc w:val="left"/>
      <w:pPr>
        <w:ind w:left="1548" w:hanging="480"/>
      </w:pPr>
      <w:rPr>
        <w:rFonts w:ascii="Wingdings" w:hAnsi="Wingdings" w:hint="default"/>
      </w:rPr>
    </w:lvl>
    <w:lvl w:ilvl="2" w:tplc="04090005" w:tentative="1">
      <w:start w:val="1"/>
      <w:numFmt w:val="bullet"/>
      <w:lvlText w:val=""/>
      <w:lvlJc w:val="left"/>
      <w:pPr>
        <w:ind w:left="2028" w:hanging="480"/>
      </w:pPr>
      <w:rPr>
        <w:rFonts w:ascii="Wingdings" w:hAnsi="Wingdings" w:hint="default"/>
      </w:rPr>
    </w:lvl>
    <w:lvl w:ilvl="3" w:tplc="04090001" w:tentative="1">
      <w:start w:val="1"/>
      <w:numFmt w:val="bullet"/>
      <w:lvlText w:val=""/>
      <w:lvlJc w:val="left"/>
      <w:pPr>
        <w:ind w:left="2508" w:hanging="480"/>
      </w:pPr>
      <w:rPr>
        <w:rFonts w:ascii="Wingdings" w:hAnsi="Wingdings" w:hint="default"/>
      </w:rPr>
    </w:lvl>
    <w:lvl w:ilvl="4" w:tplc="04090003" w:tentative="1">
      <w:start w:val="1"/>
      <w:numFmt w:val="bullet"/>
      <w:lvlText w:val=""/>
      <w:lvlJc w:val="left"/>
      <w:pPr>
        <w:ind w:left="2988" w:hanging="480"/>
      </w:pPr>
      <w:rPr>
        <w:rFonts w:ascii="Wingdings" w:hAnsi="Wingdings" w:hint="default"/>
      </w:rPr>
    </w:lvl>
    <w:lvl w:ilvl="5" w:tplc="04090005" w:tentative="1">
      <w:start w:val="1"/>
      <w:numFmt w:val="bullet"/>
      <w:lvlText w:val=""/>
      <w:lvlJc w:val="left"/>
      <w:pPr>
        <w:ind w:left="3468" w:hanging="480"/>
      </w:pPr>
      <w:rPr>
        <w:rFonts w:ascii="Wingdings" w:hAnsi="Wingdings" w:hint="default"/>
      </w:rPr>
    </w:lvl>
    <w:lvl w:ilvl="6" w:tplc="04090001" w:tentative="1">
      <w:start w:val="1"/>
      <w:numFmt w:val="bullet"/>
      <w:lvlText w:val=""/>
      <w:lvlJc w:val="left"/>
      <w:pPr>
        <w:ind w:left="3948" w:hanging="480"/>
      </w:pPr>
      <w:rPr>
        <w:rFonts w:ascii="Wingdings" w:hAnsi="Wingdings" w:hint="default"/>
      </w:rPr>
    </w:lvl>
    <w:lvl w:ilvl="7" w:tplc="04090003" w:tentative="1">
      <w:start w:val="1"/>
      <w:numFmt w:val="bullet"/>
      <w:lvlText w:val=""/>
      <w:lvlJc w:val="left"/>
      <w:pPr>
        <w:ind w:left="4428" w:hanging="480"/>
      </w:pPr>
      <w:rPr>
        <w:rFonts w:ascii="Wingdings" w:hAnsi="Wingdings" w:hint="default"/>
      </w:rPr>
    </w:lvl>
    <w:lvl w:ilvl="8" w:tplc="04090005" w:tentative="1">
      <w:start w:val="1"/>
      <w:numFmt w:val="bullet"/>
      <w:lvlText w:val=""/>
      <w:lvlJc w:val="left"/>
      <w:pPr>
        <w:ind w:left="4908" w:hanging="480"/>
      </w:pPr>
      <w:rPr>
        <w:rFonts w:ascii="Wingdings" w:hAnsi="Wingdings" w:hint="default"/>
      </w:rPr>
    </w:lvl>
  </w:abstractNum>
  <w:abstractNum w:abstractNumId="9" w15:restartNumberingAfterBreak="0">
    <w:nsid w:val="58644BC2"/>
    <w:multiLevelType w:val="multilevel"/>
    <w:tmpl w:val="146E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6B3B2B"/>
    <w:multiLevelType w:val="multilevel"/>
    <w:tmpl w:val="4B12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C77A5"/>
    <w:multiLevelType w:val="multilevel"/>
    <w:tmpl w:val="773A8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9"/>
  </w:num>
  <w:num w:numId="4">
    <w:abstractNumId w:val="7"/>
  </w:num>
  <w:num w:numId="5">
    <w:abstractNumId w:val="11"/>
  </w:num>
  <w:num w:numId="6">
    <w:abstractNumId w:val="2"/>
  </w:num>
  <w:num w:numId="7">
    <w:abstractNumId w:val="0"/>
  </w:num>
  <w:num w:numId="8">
    <w:abstractNumId w:val="1"/>
  </w:num>
  <w:num w:numId="9">
    <w:abstractNumId w:val="5"/>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75"/>
    <w:rsid w:val="00282167"/>
    <w:rsid w:val="0032542F"/>
    <w:rsid w:val="00414695"/>
    <w:rsid w:val="00434B3E"/>
    <w:rsid w:val="0047060F"/>
    <w:rsid w:val="004D474E"/>
    <w:rsid w:val="005871DB"/>
    <w:rsid w:val="00594807"/>
    <w:rsid w:val="005D2A87"/>
    <w:rsid w:val="005D4C1F"/>
    <w:rsid w:val="005E2AD6"/>
    <w:rsid w:val="006A57A9"/>
    <w:rsid w:val="006F72EB"/>
    <w:rsid w:val="00720DA0"/>
    <w:rsid w:val="00841E3D"/>
    <w:rsid w:val="00875891"/>
    <w:rsid w:val="008A1A89"/>
    <w:rsid w:val="009B6C0B"/>
    <w:rsid w:val="009D4A7C"/>
    <w:rsid w:val="00AA14B0"/>
    <w:rsid w:val="00B52A75"/>
    <w:rsid w:val="00BB1D7E"/>
    <w:rsid w:val="00BB66CB"/>
    <w:rsid w:val="00C119C6"/>
    <w:rsid w:val="00E314CF"/>
    <w:rsid w:val="00F12C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C0AC8"/>
  <w15:chartTrackingRefBased/>
  <w15:docId w15:val="{68B2D00D-B5D1-4256-AE86-84526C6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52A75"/>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B52A75"/>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52A75"/>
    <w:rPr>
      <w:rFonts w:ascii="新細明體" w:eastAsia="新細明體" w:hAnsi="新細明體" w:cs="新細明體"/>
      <w:b/>
      <w:bCs/>
      <w:kern w:val="36"/>
      <w:sz w:val="48"/>
      <w:szCs w:val="48"/>
    </w:rPr>
  </w:style>
  <w:style w:type="character" w:customStyle="1" w:styleId="20">
    <w:name w:val="標題 2 字元"/>
    <w:basedOn w:val="a0"/>
    <w:link w:val="2"/>
    <w:uiPriority w:val="9"/>
    <w:rsid w:val="00B52A75"/>
    <w:rPr>
      <w:rFonts w:ascii="新細明體" w:eastAsia="新細明體" w:hAnsi="新細明體" w:cs="新細明體"/>
      <w:b/>
      <w:bCs/>
      <w:kern w:val="0"/>
      <w:sz w:val="36"/>
      <w:szCs w:val="36"/>
    </w:rPr>
  </w:style>
  <w:style w:type="paragraph" w:styleId="Web">
    <w:name w:val="Normal (Web)"/>
    <w:basedOn w:val="a"/>
    <w:uiPriority w:val="99"/>
    <w:unhideWhenUsed/>
    <w:rsid w:val="00B52A75"/>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B52A75"/>
    <w:rPr>
      <w:b/>
      <w:bCs/>
    </w:rPr>
  </w:style>
  <w:style w:type="paragraph" w:styleId="a4">
    <w:name w:val="List Paragraph"/>
    <w:basedOn w:val="a"/>
    <w:uiPriority w:val="34"/>
    <w:qFormat/>
    <w:rsid w:val="00B52A75"/>
    <w:pPr>
      <w:ind w:leftChars="200" w:left="480"/>
    </w:pPr>
  </w:style>
  <w:style w:type="paragraph" w:styleId="a5">
    <w:name w:val="header"/>
    <w:basedOn w:val="a"/>
    <w:link w:val="a6"/>
    <w:uiPriority w:val="99"/>
    <w:unhideWhenUsed/>
    <w:rsid w:val="00E314CF"/>
    <w:pPr>
      <w:tabs>
        <w:tab w:val="center" w:pos="4153"/>
        <w:tab w:val="right" w:pos="8306"/>
      </w:tabs>
      <w:snapToGrid w:val="0"/>
    </w:pPr>
    <w:rPr>
      <w:sz w:val="20"/>
      <w:szCs w:val="20"/>
    </w:rPr>
  </w:style>
  <w:style w:type="character" w:customStyle="1" w:styleId="a6">
    <w:name w:val="頁首 字元"/>
    <w:basedOn w:val="a0"/>
    <w:link w:val="a5"/>
    <w:uiPriority w:val="99"/>
    <w:rsid w:val="00E314CF"/>
    <w:rPr>
      <w:sz w:val="20"/>
      <w:szCs w:val="20"/>
    </w:rPr>
  </w:style>
  <w:style w:type="paragraph" w:styleId="a7">
    <w:name w:val="footer"/>
    <w:basedOn w:val="a"/>
    <w:link w:val="a8"/>
    <w:uiPriority w:val="99"/>
    <w:unhideWhenUsed/>
    <w:rsid w:val="00E314CF"/>
    <w:pPr>
      <w:tabs>
        <w:tab w:val="center" w:pos="4153"/>
        <w:tab w:val="right" w:pos="8306"/>
      </w:tabs>
      <w:snapToGrid w:val="0"/>
    </w:pPr>
    <w:rPr>
      <w:sz w:val="20"/>
      <w:szCs w:val="20"/>
    </w:rPr>
  </w:style>
  <w:style w:type="character" w:customStyle="1" w:styleId="a8">
    <w:name w:val="頁尾 字元"/>
    <w:basedOn w:val="a0"/>
    <w:link w:val="a7"/>
    <w:uiPriority w:val="99"/>
    <w:rsid w:val="00E314C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23381">
      <w:bodyDiv w:val="1"/>
      <w:marLeft w:val="0"/>
      <w:marRight w:val="0"/>
      <w:marTop w:val="0"/>
      <w:marBottom w:val="0"/>
      <w:divBdr>
        <w:top w:val="none" w:sz="0" w:space="0" w:color="auto"/>
        <w:left w:val="none" w:sz="0" w:space="0" w:color="auto"/>
        <w:bottom w:val="none" w:sz="0" w:space="0" w:color="auto"/>
        <w:right w:val="none" w:sz="0" w:space="0" w:color="auto"/>
      </w:divBdr>
    </w:div>
    <w:div w:id="652681154">
      <w:bodyDiv w:val="1"/>
      <w:marLeft w:val="0"/>
      <w:marRight w:val="0"/>
      <w:marTop w:val="0"/>
      <w:marBottom w:val="0"/>
      <w:divBdr>
        <w:top w:val="none" w:sz="0" w:space="0" w:color="auto"/>
        <w:left w:val="none" w:sz="0" w:space="0" w:color="auto"/>
        <w:bottom w:val="none" w:sz="0" w:space="0" w:color="auto"/>
        <w:right w:val="none" w:sz="0" w:space="0" w:color="auto"/>
      </w:divBdr>
    </w:div>
    <w:div w:id="711686049">
      <w:bodyDiv w:val="1"/>
      <w:marLeft w:val="0"/>
      <w:marRight w:val="0"/>
      <w:marTop w:val="0"/>
      <w:marBottom w:val="0"/>
      <w:divBdr>
        <w:top w:val="none" w:sz="0" w:space="0" w:color="auto"/>
        <w:left w:val="none" w:sz="0" w:space="0" w:color="auto"/>
        <w:bottom w:val="none" w:sz="0" w:space="0" w:color="auto"/>
        <w:right w:val="none" w:sz="0" w:space="0" w:color="auto"/>
      </w:divBdr>
    </w:div>
    <w:div w:id="88698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1212</Words>
  <Characters>1274</Characters>
  <Application>Microsoft Office Word</Application>
  <DocSecurity>0</DocSecurity>
  <Lines>50</Lines>
  <Paragraphs>37</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wanghanchun</dc:creator>
  <cp:keywords/>
  <dc:description/>
  <cp:lastModifiedBy>leeyaochuan</cp:lastModifiedBy>
  <cp:revision>3</cp:revision>
  <dcterms:created xsi:type="dcterms:W3CDTF">2025-08-25T04:18:00Z</dcterms:created>
  <dcterms:modified xsi:type="dcterms:W3CDTF">2025-08-25T04:29:00Z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ce4558f7-1eba-4b1a-af28-424351202233</vt:lpwstr>
  </property>
</Properties>
</file>