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71" w:rsidRDefault="00F94038">
      <w:pPr>
        <w:rPr>
          <w:rFonts w:hint="eastAsi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6ECF9"/>
        </w:rPr>
        <w:t>亞洲大洋洲地球科學協會（</w:t>
      </w:r>
      <w:r>
        <w:rPr>
          <w:rFonts w:ascii="Arial" w:hAnsi="Arial" w:cs="Arial"/>
          <w:color w:val="000000"/>
          <w:sz w:val="18"/>
          <w:szCs w:val="18"/>
          <w:shd w:val="clear" w:color="auto" w:fill="E6ECF9"/>
        </w:rPr>
        <w:t>AOGS</w:t>
      </w:r>
      <w:r>
        <w:rPr>
          <w:rFonts w:ascii="Arial" w:hAnsi="Arial" w:cs="Arial"/>
          <w:color w:val="000000"/>
          <w:sz w:val="18"/>
          <w:szCs w:val="18"/>
          <w:shd w:val="clear" w:color="auto" w:fill="E6ECF9"/>
        </w:rPr>
        <w:t>）</w:t>
      </w:r>
      <w:bookmarkStart w:id="0" w:name="_GoBack"/>
      <w:bookmarkEnd w:id="0"/>
      <w:r>
        <w:br/>
      </w:r>
      <w:r w:rsidR="00994432">
        <w:rPr>
          <w:rFonts w:hint="eastAsia"/>
        </w:rPr>
        <w:t>口頭報告：</w:t>
      </w:r>
    </w:p>
    <w:tbl>
      <w:tblPr>
        <w:tblW w:w="8748" w:type="dxa"/>
        <w:tblInd w:w="-22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5"/>
        <w:gridCol w:w="7873"/>
      </w:tblGrid>
      <w:tr w:rsidR="00994432" w:rsidRPr="00994432" w:rsidTr="00994432">
        <w:trPr>
          <w:trHeight w:val="584"/>
        </w:trPr>
        <w:tc>
          <w:tcPr>
            <w:tcW w:w="874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rFonts w:hint="eastAsia"/>
                <w:b/>
                <w:bCs/>
              </w:rPr>
              <w:t>口頭報告題目與掛名</w:t>
            </w:r>
          </w:p>
        </w:tc>
      </w:tr>
      <w:tr w:rsidR="00994432" w:rsidRPr="00994432" w:rsidTr="00994432">
        <w:trPr>
          <w:trHeight w:val="1004"/>
        </w:trPr>
        <w:tc>
          <w:tcPr>
            <w:tcW w:w="8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>
            <w:r w:rsidRPr="00994432">
              <w:t>1.</w:t>
            </w:r>
          </w:p>
        </w:tc>
        <w:tc>
          <w:tcPr>
            <w:tcW w:w="7873" w:type="dxa"/>
            <w:tcBorders>
              <w:top w:val="single" w:sz="24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b/>
                <w:bCs/>
              </w:rPr>
              <w:t>The diagnosis of micro-net wind observation in Formosa Plastics Group Industry Park at western coast of Taiwan</w:t>
            </w:r>
          </w:p>
        </w:tc>
      </w:tr>
      <w:tr w:rsidR="00994432" w:rsidRPr="00994432" w:rsidTr="00994432">
        <w:trPr>
          <w:trHeight w:val="538"/>
        </w:trPr>
        <w:tc>
          <w:tcPr>
            <w:tcW w:w="8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24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432" w:rsidRPr="00994432" w:rsidRDefault="00994432" w:rsidP="00994432">
            <w:pPr>
              <w:rPr>
                <w:b/>
                <w:bCs/>
              </w:rPr>
            </w:pPr>
            <w:r w:rsidRPr="00994432">
              <w:rPr>
                <w:rFonts w:hint="eastAsia"/>
                <w:b/>
                <w:bCs/>
              </w:rPr>
              <w:t>台灣西沿海工業園區內風場觀測網氣象資料診斷分析</w:t>
            </w:r>
          </w:p>
        </w:tc>
      </w:tr>
      <w:tr w:rsidR="00994432" w:rsidRPr="00994432" w:rsidTr="00994432">
        <w:trPr>
          <w:trHeight w:val="584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rFonts w:hint="eastAsia"/>
              </w:rPr>
              <w:t>林博雄、戴志輝、陳鑫</w:t>
            </w:r>
            <w:proofErr w:type="gramStart"/>
            <w:r w:rsidRPr="00994432">
              <w:rPr>
                <w:rFonts w:hint="eastAsia"/>
              </w:rPr>
              <w:t>澔</w:t>
            </w:r>
            <w:proofErr w:type="gramEnd"/>
          </w:p>
        </w:tc>
      </w:tr>
      <w:tr w:rsidR="00994432" w:rsidRPr="00994432" w:rsidTr="00994432">
        <w:trPr>
          <w:trHeight w:val="584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>
            <w:r w:rsidRPr="00994432">
              <w:t>2.</w:t>
            </w:r>
          </w:p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b/>
                <w:bCs/>
              </w:rPr>
              <w:t>Analysis of surface wind patterns surrounding Formosa Plastics Group Industry Park at western coast of Taiwan</w:t>
            </w:r>
          </w:p>
        </w:tc>
      </w:tr>
      <w:tr w:rsidR="00994432" w:rsidRPr="00994432" w:rsidTr="00994432">
        <w:trPr>
          <w:trHeight w:val="584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432" w:rsidRPr="00994432" w:rsidRDefault="00994432" w:rsidP="00994432">
            <w:pPr>
              <w:rPr>
                <w:b/>
                <w:bCs/>
              </w:rPr>
            </w:pPr>
            <w:r w:rsidRPr="00994432">
              <w:rPr>
                <w:rFonts w:hint="eastAsia"/>
                <w:b/>
                <w:bCs/>
              </w:rPr>
              <w:t>台灣西部沿海地區地面風場分類及其氣象型態分析</w:t>
            </w:r>
          </w:p>
        </w:tc>
      </w:tr>
      <w:tr w:rsidR="00994432" w:rsidRPr="00994432" w:rsidTr="00994432">
        <w:trPr>
          <w:trHeight w:val="601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rFonts w:hint="eastAsia"/>
              </w:rPr>
              <w:t>林文典、林博雄、李信璋</w:t>
            </w:r>
            <w:r w:rsidRPr="00994432">
              <w:rPr>
                <w:rFonts w:hint="eastAsia"/>
              </w:rPr>
              <w:t xml:space="preserve"> </w:t>
            </w:r>
          </w:p>
        </w:tc>
      </w:tr>
      <w:tr w:rsidR="00994432" w:rsidRPr="00994432" w:rsidTr="00994432">
        <w:trPr>
          <w:trHeight w:val="601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>
            <w:r w:rsidRPr="00994432">
              <w:t>3.</w:t>
            </w:r>
          </w:p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b/>
                <w:bCs/>
              </w:rPr>
              <w:t>High ozone episodes in western Taiwan coastal area</w:t>
            </w:r>
          </w:p>
        </w:tc>
      </w:tr>
      <w:tr w:rsidR="00994432" w:rsidRPr="00994432" w:rsidTr="00994432">
        <w:trPr>
          <w:trHeight w:val="601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432" w:rsidRPr="00994432" w:rsidRDefault="00994432" w:rsidP="00994432">
            <w:pPr>
              <w:rPr>
                <w:b/>
                <w:bCs/>
              </w:rPr>
            </w:pPr>
            <w:r w:rsidRPr="00994432">
              <w:rPr>
                <w:rFonts w:hint="eastAsia"/>
                <w:b/>
                <w:bCs/>
              </w:rPr>
              <w:t>台灣西部沿海地區高臭氧事件分析</w:t>
            </w:r>
          </w:p>
        </w:tc>
      </w:tr>
      <w:tr w:rsidR="00994432" w:rsidRPr="00994432" w:rsidTr="00994432">
        <w:trPr>
          <w:trHeight w:val="601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rFonts w:hint="eastAsia"/>
              </w:rPr>
              <w:t>陳聖博、董育蕙、林文典、邱慶睿、陳昱均、江泓機、林達雄</w:t>
            </w:r>
          </w:p>
        </w:tc>
      </w:tr>
      <w:tr w:rsidR="00994432" w:rsidRPr="00994432" w:rsidTr="00994432">
        <w:trPr>
          <w:trHeight w:val="601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>
            <w:r w:rsidRPr="00994432">
              <w:t>4.</w:t>
            </w:r>
          </w:p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b/>
                <w:bCs/>
              </w:rPr>
              <w:t>The evolution of SO</w:t>
            </w:r>
            <w:r w:rsidRPr="00994432">
              <w:rPr>
                <w:b/>
                <w:bCs/>
                <w:vertAlign w:val="subscript"/>
              </w:rPr>
              <w:t>2</w:t>
            </w:r>
            <w:r w:rsidRPr="00994432">
              <w:rPr>
                <w:b/>
                <w:bCs/>
              </w:rPr>
              <w:t xml:space="preserve"> and </w:t>
            </w:r>
            <w:proofErr w:type="spellStart"/>
            <w:r w:rsidRPr="00994432">
              <w:rPr>
                <w:b/>
                <w:bCs/>
              </w:rPr>
              <w:t>NOx</w:t>
            </w:r>
            <w:proofErr w:type="spellEnd"/>
            <w:r w:rsidRPr="00994432">
              <w:rPr>
                <w:b/>
                <w:bCs/>
              </w:rPr>
              <w:t xml:space="preserve"> in western Taiwan coastal area</w:t>
            </w:r>
          </w:p>
        </w:tc>
      </w:tr>
      <w:tr w:rsidR="00994432" w:rsidRPr="00994432" w:rsidTr="00994432">
        <w:trPr>
          <w:trHeight w:val="601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432" w:rsidRPr="00994432" w:rsidRDefault="00994432" w:rsidP="00994432">
            <w:pPr>
              <w:rPr>
                <w:b/>
                <w:bCs/>
              </w:rPr>
            </w:pPr>
            <w:r w:rsidRPr="00994432">
              <w:rPr>
                <w:rFonts w:hint="eastAsia"/>
                <w:b/>
                <w:bCs/>
              </w:rPr>
              <w:t>台灣西部沿海區域</w:t>
            </w:r>
            <w:r w:rsidRPr="00994432">
              <w:rPr>
                <w:b/>
                <w:bCs/>
              </w:rPr>
              <w:t>SO</w:t>
            </w:r>
            <w:r w:rsidRPr="00994432">
              <w:rPr>
                <w:b/>
                <w:bCs/>
                <w:vertAlign w:val="subscript"/>
              </w:rPr>
              <w:t>2</w:t>
            </w:r>
            <w:r w:rsidRPr="00994432">
              <w:rPr>
                <w:rFonts w:hint="eastAsia"/>
                <w:b/>
                <w:bCs/>
              </w:rPr>
              <w:t>與</w:t>
            </w:r>
            <w:proofErr w:type="spellStart"/>
            <w:r w:rsidRPr="00994432">
              <w:rPr>
                <w:b/>
                <w:bCs/>
              </w:rPr>
              <w:t>NO</w:t>
            </w:r>
            <w:r w:rsidRPr="00994432">
              <w:rPr>
                <w:b/>
                <w:bCs/>
                <w:vertAlign w:val="subscript"/>
              </w:rPr>
              <w:t>x</w:t>
            </w:r>
            <w:proofErr w:type="spellEnd"/>
            <w:r w:rsidRPr="00994432">
              <w:rPr>
                <w:rFonts w:hint="eastAsia"/>
                <w:b/>
                <w:bCs/>
              </w:rPr>
              <w:t>之演變</w:t>
            </w:r>
          </w:p>
        </w:tc>
      </w:tr>
      <w:tr w:rsidR="00994432" w:rsidRPr="00994432" w:rsidTr="00994432">
        <w:trPr>
          <w:trHeight w:val="601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rFonts w:hint="eastAsia"/>
              </w:rPr>
              <w:t>董育蕙、洪珮瑜、江泓機、</w:t>
            </w:r>
            <w:proofErr w:type="gramStart"/>
            <w:r w:rsidRPr="00994432">
              <w:rPr>
                <w:rFonts w:hint="eastAsia"/>
              </w:rPr>
              <w:t>簡槐志</w:t>
            </w:r>
            <w:proofErr w:type="gramEnd"/>
          </w:p>
        </w:tc>
      </w:tr>
      <w:tr w:rsidR="00994432" w:rsidRPr="00994432" w:rsidTr="00994432">
        <w:trPr>
          <w:trHeight w:val="584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>
            <w:r w:rsidRPr="00994432">
              <w:t>5.</w:t>
            </w:r>
          </w:p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b/>
                <w:bCs/>
              </w:rPr>
              <w:t xml:space="preserve">Network Monitoring of </w:t>
            </w:r>
            <w:proofErr w:type="spellStart"/>
            <w:r w:rsidRPr="00994432">
              <w:rPr>
                <w:b/>
                <w:bCs/>
              </w:rPr>
              <w:t>Speciated</w:t>
            </w:r>
            <w:proofErr w:type="spellEnd"/>
            <w:r w:rsidRPr="00994432">
              <w:rPr>
                <w:b/>
                <w:bCs/>
              </w:rPr>
              <w:t xml:space="preserve"> and Total Non-methane Hydrocarbons</w:t>
            </w:r>
          </w:p>
        </w:tc>
      </w:tr>
      <w:tr w:rsidR="00994432" w:rsidRPr="00994432" w:rsidTr="00994432">
        <w:trPr>
          <w:trHeight w:val="584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432" w:rsidRPr="00994432" w:rsidRDefault="00994432" w:rsidP="00994432">
            <w:pPr>
              <w:rPr>
                <w:b/>
                <w:bCs/>
              </w:rPr>
            </w:pPr>
            <w:proofErr w:type="gramStart"/>
            <w:r w:rsidRPr="00994432">
              <w:rPr>
                <w:rFonts w:hint="eastAsia"/>
                <w:b/>
                <w:bCs/>
              </w:rPr>
              <w:t>空品測站測網</w:t>
            </w:r>
            <w:proofErr w:type="gramEnd"/>
            <w:r w:rsidRPr="00994432">
              <w:rPr>
                <w:rFonts w:hint="eastAsia"/>
                <w:b/>
                <w:bCs/>
              </w:rPr>
              <w:t>之特定</w:t>
            </w:r>
            <w:r w:rsidRPr="00994432">
              <w:rPr>
                <w:b/>
                <w:bCs/>
              </w:rPr>
              <w:t>(</w:t>
            </w:r>
            <w:r w:rsidRPr="00994432">
              <w:rPr>
                <w:rFonts w:hint="eastAsia"/>
                <w:b/>
                <w:bCs/>
              </w:rPr>
              <w:t>光化</w:t>
            </w:r>
            <w:r w:rsidRPr="00994432">
              <w:rPr>
                <w:b/>
                <w:bCs/>
              </w:rPr>
              <w:t>)</w:t>
            </w:r>
            <w:r w:rsidRPr="00994432">
              <w:rPr>
                <w:rFonts w:hint="eastAsia"/>
                <w:b/>
                <w:bCs/>
              </w:rPr>
              <w:t>物種與</w:t>
            </w:r>
            <w:proofErr w:type="gramStart"/>
            <w:r w:rsidRPr="00994432">
              <w:rPr>
                <w:rFonts w:hint="eastAsia"/>
                <w:b/>
                <w:bCs/>
              </w:rPr>
              <w:t>總碳氫</w:t>
            </w:r>
            <w:proofErr w:type="gramEnd"/>
            <w:r w:rsidRPr="00994432">
              <w:rPr>
                <w:rFonts w:hint="eastAsia"/>
                <w:b/>
                <w:bCs/>
              </w:rPr>
              <w:t>分析</w:t>
            </w:r>
          </w:p>
        </w:tc>
      </w:tr>
      <w:tr w:rsidR="00994432" w:rsidRPr="00994432" w:rsidTr="00994432">
        <w:trPr>
          <w:trHeight w:val="584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rFonts w:hint="eastAsia"/>
              </w:rPr>
              <w:t>蘇源昌、陳聖博、黃溢銓、王家麟</w:t>
            </w:r>
          </w:p>
        </w:tc>
      </w:tr>
      <w:tr w:rsidR="00994432" w:rsidRPr="00994432" w:rsidTr="00994432">
        <w:trPr>
          <w:trHeight w:val="584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>
            <w:r w:rsidRPr="00994432">
              <w:lastRenderedPageBreak/>
              <w:t>6.</w:t>
            </w:r>
          </w:p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b/>
                <w:bCs/>
              </w:rPr>
              <w:t>Characterization of particulate matter in and around a coastal industrial park during monsoonal flow</w:t>
            </w:r>
          </w:p>
        </w:tc>
      </w:tr>
      <w:tr w:rsidR="00994432" w:rsidRPr="00994432" w:rsidTr="00994432">
        <w:trPr>
          <w:trHeight w:val="584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4432" w:rsidRPr="00994432" w:rsidRDefault="00994432" w:rsidP="00994432">
            <w:pPr>
              <w:rPr>
                <w:b/>
                <w:bCs/>
              </w:rPr>
            </w:pPr>
            <w:r w:rsidRPr="00994432">
              <w:rPr>
                <w:rFonts w:hint="eastAsia"/>
                <w:b/>
                <w:bCs/>
              </w:rPr>
              <w:t>傳輸主導型風場下沿海地區園區內外粒狀物特性</w:t>
            </w:r>
          </w:p>
        </w:tc>
      </w:tr>
      <w:tr w:rsidR="00994432" w:rsidRPr="00994432" w:rsidTr="00994432">
        <w:trPr>
          <w:trHeight w:val="584"/>
        </w:trPr>
        <w:tc>
          <w:tcPr>
            <w:tcW w:w="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94432" w:rsidRPr="00994432" w:rsidRDefault="00994432" w:rsidP="00994432"/>
        </w:tc>
        <w:tc>
          <w:tcPr>
            <w:tcW w:w="787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4432" w:rsidRPr="00994432" w:rsidRDefault="00994432" w:rsidP="00994432">
            <w:r w:rsidRPr="00994432">
              <w:rPr>
                <w:rFonts w:hint="eastAsia"/>
              </w:rPr>
              <w:t>翁子翔、曾博駿、陳學裕、王信凱</w:t>
            </w:r>
          </w:p>
        </w:tc>
      </w:tr>
    </w:tbl>
    <w:p w:rsidR="00957D91" w:rsidRDefault="00957D91" w:rsidP="00994432"/>
    <w:p w:rsidR="00957D91" w:rsidRDefault="00957D91">
      <w:pPr>
        <w:widowControl/>
      </w:pPr>
      <w:r>
        <w:br w:type="page"/>
      </w:r>
    </w:p>
    <w:tbl>
      <w:tblPr>
        <w:tblpPr w:leftFromText="180" w:rightFromText="180" w:vertAnchor="page" w:horzAnchor="margin" w:tblpXSpec="center" w:tblpY="1659"/>
        <w:tblW w:w="109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77"/>
        <w:gridCol w:w="10189"/>
      </w:tblGrid>
      <w:tr w:rsidR="00957D91" w:rsidRPr="00957D91" w:rsidTr="00957D91">
        <w:trPr>
          <w:trHeight w:val="608"/>
        </w:trPr>
        <w:tc>
          <w:tcPr>
            <w:tcW w:w="10966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標楷體" w:eastAsia="標楷體" w:hAnsi="標楷體" w:cs="Arial" w:hint="eastAsia"/>
                <w:b/>
                <w:bCs/>
                <w:color w:val="FFFFFF"/>
                <w:kern w:val="24"/>
                <w:szCs w:val="36"/>
              </w:rPr>
              <w:lastRenderedPageBreak/>
              <w:t>海報題目與掛名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jc w:val="center"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Calibri" w:cs="Arial"/>
                <w:color w:val="000000"/>
                <w:kern w:val="24"/>
                <w:szCs w:val="40"/>
              </w:rPr>
              <w:t>1.</w:t>
            </w:r>
          </w:p>
        </w:tc>
        <w:tc>
          <w:tcPr>
            <w:tcW w:w="101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>Air parcel tracking by micro-small scale wind network observation in Formosa Plastics Group Industry Park at western coast of Taiwan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91" w:rsidRPr="00957D91" w:rsidRDefault="00957D91" w:rsidP="00957D91">
            <w:pPr>
              <w:widowControl/>
              <w:jc w:val="center"/>
              <w:rPr>
                <w:rFonts w:ascii="Calibri" w:eastAsia="標楷體" w:hAnsi="Calibri" w:cs="Arial"/>
                <w:color w:val="000000"/>
                <w:kern w:val="24"/>
                <w:szCs w:val="40"/>
              </w:rPr>
            </w:pPr>
          </w:p>
        </w:tc>
        <w:tc>
          <w:tcPr>
            <w:tcW w:w="101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7D91" w:rsidRPr="00957D91" w:rsidRDefault="00957D91" w:rsidP="00957D91">
            <w:pPr>
              <w:widowControl/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</w:pPr>
            <w:r w:rsidRPr="00957D91">
              <w:rPr>
                <w:rFonts w:ascii="標楷體" w:eastAsia="標楷體" w:hAnsi="標楷體" w:cs="+mj-cs" w:hint="eastAsia"/>
                <w:b/>
                <w:kern w:val="24"/>
                <w:szCs w:val="64"/>
              </w:rPr>
              <w:t>台灣西部沿海地區風場觀測網之高解析質量軌跡追踪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proofErr w:type="gramStart"/>
            <w:r w:rsidRPr="00957D91">
              <w:rPr>
                <w:rFonts w:ascii="Calibri" w:eastAsia="標楷體" w:hAnsi="標楷體" w:cs="Arial" w:hint="eastAsia"/>
                <w:color w:val="000000"/>
                <w:kern w:val="24"/>
                <w:szCs w:val="36"/>
              </w:rPr>
              <w:t>許評碩</w:t>
            </w:r>
            <w:proofErr w:type="gramEnd"/>
            <w:r w:rsidRPr="00957D91">
              <w:rPr>
                <w:rFonts w:ascii="Calibri" w:eastAsia="標楷體" w:hAnsi="標楷體" w:cs="Arial" w:hint="eastAsia"/>
                <w:color w:val="000000"/>
                <w:kern w:val="24"/>
                <w:szCs w:val="36"/>
              </w:rPr>
              <w:t>、陳鑫</w:t>
            </w:r>
            <w:proofErr w:type="gramStart"/>
            <w:r w:rsidRPr="00957D91">
              <w:rPr>
                <w:rFonts w:ascii="Calibri" w:eastAsia="標楷體" w:hAnsi="標楷體" w:cs="Arial" w:hint="eastAsia"/>
                <w:color w:val="000000"/>
                <w:kern w:val="24"/>
                <w:szCs w:val="36"/>
              </w:rPr>
              <w:t>澔</w:t>
            </w:r>
            <w:proofErr w:type="gramEnd"/>
            <w:r w:rsidRPr="00957D91">
              <w:rPr>
                <w:rFonts w:ascii="Calibri" w:eastAsia="標楷體" w:hAnsi="標楷體" w:cs="Arial" w:hint="eastAsia"/>
                <w:color w:val="000000"/>
                <w:kern w:val="24"/>
                <w:szCs w:val="36"/>
              </w:rPr>
              <w:t>、林博雄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jc w:val="center"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Calibri" w:cs="Arial"/>
                <w:color w:val="000000"/>
                <w:kern w:val="24"/>
                <w:szCs w:val="40"/>
              </w:rPr>
              <w:t>2.</w:t>
            </w: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>Instrument quality of wind anemometer in windy coastal site - an example from Formosa Plastics Group Industry Park at western coast of Taiwan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91" w:rsidRPr="00957D91" w:rsidRDefault="00957D91" w:rsidP="00957D91">
            <w:pPr>
              <w:widowControl/>
              <w:jc w:val="center"/>
              <w:rPr>
                <w:rFonts w:ascii="Calibri" w:eastAsia="標楷體" w:hAnsi="Calibri" w:cs="Arial"/>
                <w:color w:val="000000"/>
                <w:kern w:val="24"/>
                <w:szCs w:val="40"/>
              </w:rPr>
            </w:pP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7D91" w:rsidRPr="00957D91" w:rsidRDefault="00957D91" w:rsidP="00957D91">
            <w:pPr>
              <w:widowControl/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</w:pP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沿海氣象觀測站風向風速儀器觀測品質</w:t>
            </w: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 xml:space="preserve"> </w:t>
            </w:r>
            <w:proofErr w:type="gramStart"/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–</w:t>
            </w:r>
            <w:proofErr w:type="gramEnd"/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 xml:space="preserve"> </w:t>
            </w: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以台灣西部沿海工業園為例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標楷體" w:cs="Arial" w:hint="eastAsia"/>
                <w:color w:val="000000"/>
                <w:kern w:val="24"/>
                <w:szCs w:val="36"/>
              </w:rPr>
              <w:t>戴志輝、林博雄、黃俊溢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jc w:val="center"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Calibri" w:cs="Arial"/>
                <w:color w:val="000000"/>
                <w:kern w:val="24"/>
                <w:szCs w:val="40"/>
              </w:rPr>
              <w:t>3.</w:t>
            </w: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>Analysis of SO</w:t>
            </w:r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position w:val="-9"/>
                <w:szCs w:val="36"/>
                <w:vertAlign w:val="subscript"/>
              </w:rPr>
              <w:t>2</w:t>
            </w:r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 xml:space="preserve"> and </w:t>
            </w:r>
            <w:proofErr w:type="spellStart"/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>NOx</w:t>
            </w:r>
            <w:proofErr w:type="spellEnd"/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 xml:space="preserve"> transport flux around a coastal industrial complex in western Taiwan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91" w:rsidRPr="00957D91" w:rsidRDefault="00957D91" w:rsidP="00957D91">
            <w:pPr>
              <w:widowControl/>
              <w:jc w:val="center"/>
              <w:rPr>
                <w:rFonts w:ascii="Calibri" w:eastAsia="標楷體" w:hAnsi="Calibri" w:cs="Arial"/>
                <w:color w:val="000000"/>
                <w:kern w:val="24"/>
                <w:szCs w:val="40"/>
              </w:rPr>
            </w:pP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7D91" w:rsidRPr="00957D91" w:rsidRDefault="00957D91" w:rsidP="00957D91">
            <w:pPr>
              <w:widowControl/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</w:pP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台灣西部沿海工業園區</w:t>
            </w: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SO2</w:t>
            </w: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與</w:t>
            </w:r>
            <w:proofErr w:type="spellStart"/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NOx</w:t>
            </w:r>
            <w:proofErr w:type="spellEnd"/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傳輸通量分析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標楷體" w:cs="Arial" w:hint="eastAsia"/>
                <w:color w:val="000000"/>
                <w:kern w:val="24"/>
                <w:szCs w:val="36"/>
              </w:rPr>
              <w:t>楊國賓、董育蕙、陳聖博、邱慶睿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jc w:val="center"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Calibri" w:cs="Arial"/>
                <w:color w:val="000000"/>
                <w:kern w:val="24"/>
                <w:szCs w:val="40"/>
              </w:rPr>
              <w:t>4.</w:t>
            </w: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>Characterization of compositions of inorganic salts and heavy metals at a coastal industrial park and coastal urban site of western Taiwan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91" w:rsidRPr="00957D91" w:rsidRDefault="00957D91" w:rsidP="00957D91">
            <w:pPr>
              <w:widowControl/>
              <w:jc w:val="center"/>
              <w:rPr>
                <w:rFonts w:ascii="Calibri" w:eastAsia="標楷體" w:hAnsi="Calibri" w:cs="Arial"/>
                <w:color w:val="000000"/>
                <w:kern w:val="24"/>
                <w:szCs w:val="40"/>
              </w:rPr>
            </w:pP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7D91" w:rsidRPr="00957D91" w:rsidRDefault="00957D91" w:rsidP="00957D91">
            <w:pPr>
              <w:widowControl/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</w:pP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沿海工業區及沿海郊區區域粒狀物化學組成特性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標楷體" w:cs="Arial" w:hint="eastAsia"/>
                <w:color w:val="000000"/>
                <w:kern w:val="24"/>
                <w:szCs w:val="36"/>
              </w:rPr>
              <w:t>王信凱、吳宗進、翁子翔、曾博駿、邱慶睿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jc w:val="center"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Calibri" w:cs="Arial"/>
                <w:color w:val="000000"/>
                <w:kern w:val="24"/>
                <w:szCs w:val="40"/>
              </w:rPr>
              <w:t>5.</w:t>
            </w: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  <w:proofErr w:type="spellStart"/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>Intercomparison</w:t>
            </w:r>
            <w:proofErr w:type="spellEnd"/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 xml:space="preserve"> of Observation and Simulation of </w:t>
            </w:r>
            <w:proofErr w:type="spellStart"/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>Speciated</w:t>
            </w:r>
            <w:proofErr w:type="spellEnd"/>
            <w:r w:rsidRPr="00957D91"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  <w:t xml:space="preserve"> and Total Non-methane Hydrocarbons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91" w:rsidRPr="00957D91" w:rsidRDefault="00957D91" w:rsidP="00957D91">
            <w:pPr>
              <w:widowControl/>
              <w:jc w:val="center"/>
              <w:rPr>
                <w:rFonts w:ascii="Calibri" w:eastAsia="標楷體" w:hAnsi="Calibri" w:cs="Arial"/>
                <w:color w:val="000000"/>
                <w:kern w:val="24"/>
                <w:szCs w:val="40"/>
              </w:rPr>
            </w:pP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7D91" w:rsidRPr="00957D91" w:rsidRDefault="00957D91" w:rsidP="00957D91">
            <w:pPr>
              <w:widowControl/>
              <w:rPr>
                <w:rFonts w:ascii="Calibri" w:eastAsia="標楷體" w:hAnsi="Calibri" w:cs="Arial"/>
                <w:b/>
                <w:bCs/>
                <w:color w:val="000000"/>
                <w:kern w:val="24"/>
                <w:szCs w:val="36"/>
              </w:rPr>
            </w:pP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特定</w:t>
            </w: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(</w:t>
            </w: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光化</w:t>
            </w: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)</w:t>
            </w:r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物種與</w:t>
            </w:r>
            <w:proofErr w:type="gramStart"/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總碳氫</w:t>
            </w:r>
            <w:proofErr w:type="gramEnd"/>
            <w:r w:rsidRPr="00957D91">
              <w:rPr>
                <w:rFonts w:ascii="Calibri" w:eastAsia="標楷體" w:hAnsi="Calibri" w:cs="Arial" w:hint="eastAsia"/>
                <w:b/>
                <w:bCs/>
                <w:color w:val="000000"/>
                <w:kern w:val="24"/>
                <w:szCs w:val="36"/>
              </w:rPr>
              <w:t>之觀測與模擬比對</w:t>
            </w:r>
          </w:p>
        </w:tc>
      </w:tr>
      <w:tr w:rsidR="00957D91" w:rsidRPr="00957D91" w:rsidTr="00957D91">
        <w:trPr>
          <w:trHeight w:val="608"/>
        </w:trPr>
        <w:tc>
          <w:tcPr>
            <w:tcW w:w="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91" w:rsidRPr="00957D91" w:rsidRDefault="00957D91" w:rsidP="00957D91">
            <w:pPr>
              <w:widowControl/>
              <w:rPr>
                <w:rFonts w:ascii="Arial" w:eastAsia="新細明體" w:hAnsi="Arial" w:cs="Arial"/>
                <w:kern w:val="0"/>
                <w:szCs w:val="36"/>
              </w:rPr>
            </w:pPr>
          </w:p>
        </w:tc>
        <w:tc>
          <w:tcPr>
            <w:tcW w:w="10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7D91" w:rsidRPr="00957D91" w:rsidRDefault="00957D91" w:rsidP="00957D91">
            <w:pPr>
              <w:widowControl/>
              <w:jc w:val="both"/>
              <w:rPr>
                <w:rFonts w:ascii="Arial" w:eastAsia="新細明體" w:hAnsi="Arial" w:cs="Arial"/>
                <w:kern w:val="0"/>
                <w:szCs w:val="36"/>
              </w:rPr>
            </w:pPr>
            <w:r w:rsidRPr="00957D91">
              <w:rPr>
                <w:rFonts w:ascii="Calibri" w:eastAsia="標楷體" w:hAnsi="標楷體" w:cs="Arial" w:hint="eastAsia"/>
                <w:color w:val="000000"/>
                <w:kern w:val="24"/>
                <w:szCs w:val="36"/>
              </w:rPr>
              <w:t>陳聖博、蘇源昌、邱慶睿、黃溢銓、歐育憲、王家麟</w:t>
            </w:r>
          </w:p>
        </w:tc>
      </w:tr>
    </w:tbl>
    <w:p w:rsidR="00994432" w:rsidRDefault="00994432" w:rsidP="00994432">
      <w:pPr>
        <w:rPr>
          <w:rFonts w:hint="eastAsia"/>
        </w:rPr>
      </w:pPr>
    </w:p>
    <w:p w:rsidR="00957D91" w:rsidRPr="00957D91" w:rsidRDefault="00957D91" w:rsidP="00994432"/>
    <w:sectPr w:rsidR="00957D91" w:rsidRPr="00957D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FB5" w:rsidRDefault="003A3FB5" w:rsidP="00994432">
      <w:r>
        <w:separator/>
      </w:r>
    </w:p>
  </w:endnote>
  <w:endnote w:type="continuationSeparator" w:id="0">
    <w:p w:rsidR="003A3FB5" w:rsidRDefault="003A3FB5" w:rsidP="0099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FB5" w:rsidRDefault="003A3FB5" w:rsidP="00994432">
      <w:r>
        <w:separator/>
      </w:r>
    </w:p>
  </w:footnote>
  <w:footnote w:type="continuationSeparator" w:id="0">
    <w:p w:rsidR="003A3FB5" w:rsidRDefault="003A3FB5" w:rsidP="00994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641"/>
    <w:multiLevelType w:val="hybridMultilevel"/>
    <w:tmpl w:val="F06C1440"/>
    <w:lvl w:ilvl="0" w:tplc="A5541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D6"/>
    <w:rsid w:val="00250FD6"/>
    <w:rsid w:val="003A3FB5"/>
    <w:rsid w:val="00647171"/>
    <w:rsid w:val="00957D91"/>
    <w:rsid w:val="00994432"/>
    <w:rsid w:val="00F57355"/>
    <w:rsid w:val="00F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4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4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4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432"/>
    <w:rPr>
      <w:sz w:val="20"/>
      <w:szCs w:val="20"/>
    </w:rPr>
  </w:style>
  <w:style w:type="paragraph" w:styleId="a7">
    <w:name w:val="List Paragraph"/>
    <w:basedOn w:val="a"/>
    <w:uiPriority w:val="34"/>
    <w:qFormat/>
    <w:rsid w:val="00994432"/>
    <w:pPr>
      <w:ind w:leftChars="200" w:left="480"/>
    </w:pPr>
  </w:style>
  <w:style w:type="paragraph" w:customStyle="1" w:styleId="Default">
    <w:name w:val="Default"/>
    <w:rsid w:val="0099443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4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4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4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432"/>
    <w:rPr>
      <w:sz w:val="20"/>
      <w:szCs w:val="20"/>
    </w:rPr>
  </w:style>
  <w:style w:type="paragraph" w:styleId="a7">
    <w:name w:val="List Paragraph"/>
    <w:basedOn w:val="a"/>
    <w:uiPriority w:val="34"/>
    <w:qFormat/>
    <w:rsid w:val="00994432"/>
    <w:pPr>
      <w:ind w:leftChars="200" w:left="480"/>
    </w:pPr>
  </w:style>
  <w:style w:type="paragraph" w:customStyle="1" w:styleId="Default">
    <w:name w:val="Default"/>
    <w:rsid w:val="0099443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thweng</dc:creator>
  <cp:keywords/>
  <dc:description/>
  <cp:lastModifiedBy>thweng</cp:lastModifiedBy>
  <cp:revision>3</cp:revision>
  <dcterms:created xsi:type="dcterms:W3CDTF">2015-09-08T08:05:00Z</dcterms:created>
  <dcterms:modified xsi:type="dcterms:W3CDTF">2015-09-08T08:26:00Z</dcterms:modified>
</cp:coreProperties>
</file>