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5467" w14:textId="77777777" w:rsidR="008B6AFD" w:rsidRDefault="008B6AFD" w:rsidP="008B6AFD">
      <w:pPr>
        <w:spacing w:line="360" w:lineRule="auto"/>
        <w:rPr>
          <w:rFonts w:ascii="Times New Roman" w:hAnsi="Times New Roman" w:cs="Times New Roman"/>
        </w:rPr>
      </w:pPr>
      <w:r>
        <w:rPr>
          <w:rFonts w:ascii="Times New Roman" w:hAnsi="Times New Roman" w:cs="Times New Roman"/>
        </w:rPr>
        <w:t>Supporting Information for</w:t>
      </w:r>
    </w:p>
    <w:p w14:paraId="1AD386B5" w14:textId="21C6134E" w:rsidR="008B6AFD" w:rsidRPr="00921F66" w:rsidRDefault="008B6AFD" w:rsidP="008B6AFD">
      <w:pPr>
        <w:spacing w:line="360" w:lineRule="auto"/>
        <w:rPr>
          <w:rFonts w:ascii="Times New Roman" w:hAnsi="Times New Roman" w:cs="Times New Roman"/>
          <w:b/>
          <w:bCs/>
        </w:rPr>
      </w:pPr>
      <w:r w:rsidRPr="00921F66">
        <w:rPr>
          <w:rFonts w:ascii="Times New Roman" w:hAnsi="Times New Roman" w:cs="Times New Roman"/>
          <w:b/>
          <w:bCs/>
        </w:rPr>
        <w:t xml:space="preserve">Reply to </w:t>
      </w:r>
      <w:proofErr w:type="spellStart"/>
      <w:r w:rsidRPr="00921F66">
        <w:rPr>
          <w:rFonts w:ascii="Times New Roman" w:hAnsi="Times New Roman" w:cs="Times New Roman"/>
          <w:b/>
          <w:bCs/>
        </w:rPr>
        <w:t>Koplenig</w:t>
      </w:r>
      <w:proofErr w:type="spellEnd"/>
      <w:r w:rsidRPr="00921F66">
        <w:rPr>
          <w:rFonts w:ascii="Times New Roman" w:hAnsi="Times New Roman" w:cs="Times New Roman"/>
          <w:b/>
          <w:bCs/>
        </w:rPr>
        <w:t xml:space="preserve"> &amp; Wolfer: Global language analyses must properly account for relationships and location</w:t>
      </w:r>
    </w:p>
    <w:p w14:paraId="4F522D2D" w14:textId="00B5CEAF" w:rsidR="008B6AFD" w:rsidRDefault="008B6AFD" w:rsidP="00E8386D">
      <w:pPr>
        <w:rPr>
          <w:rFonts w:ascii="Times New Roman" w:hAnsi="Times New Roman" w:cs="Times New Roman"/>
        </w:rPr>
      </w:pPr>
    </w:p>
    <w:p w14:paraId="59C6CC31" w14:textId="4AC9E5A6" w:rsidR="008B6AFD" w:rsidRDefault="008B6AFD" w:rsidP="00E8386D">
      <w:pPr>
        <w:rPr>
          <w:rFonts w:ascii="Times New Roman" w:hAnsi="Times New Roman" w:cs="Times New Roman"/>
          <w:vertAlign w:val="superscript"/>
          <w:lang w:val="en-GB"/>
        </w:rPr>
      </w:pPr>
      <w:r w:rsidRPr="00921F66">
        <w:rPr>
          <w:rFonts w:ascii="Times New Roman" w:hAnsi="Times New Roman" w:cs="Times New Roman"/>
          <w:lang w:val="en-GB"/>
        </w:rPr>
        <w:t>Xia Hua, Lindell Bromham</w:t>
      </w:r>
    </w:p>
    <w:p w14:paraId="3E7BEED1" w14:textId="77777777" w:rsidR="008B6AFD" w:rsidRDefault="008B6AFD" w:rsidP="00E8386D">
      <w:pPr>
        <w:rPr>
          <w:rFonts w:ascii="Times New Roman" w:hAnsi="Times New Roman" w:cs="Times New Roman"/>
        </w:rPr>
      </w:pPr>
    </w:p>
    <w:p w14:paraId="26CFC292" w14:textId="2A2CD66E" w:rsidR="008B6AFD" w:rsidRDefault="008B6AFD" w:rsidP="00E8386D">
      <w:pPr>
        <w:rPr>
          <w:rFonts w:ascii="Times New Roman" w:hAnsi="Times New Roman" w:cs="Times New Roman"/>
        </w:rPr>
      </w:pPr>
      <w:r w:rsidRPr="00921F66">
        <w:rPr>
          <w:rFonts w:ascii="Times New Roman" w:hAnsi="Times New Roman" w:cs="Times New Roman"/>
        </w:rPr>
        <w:t xml:space="preserve">Table </w:t>
      </w:r>
      <w:r>
        <w:rPr>
          <w:rFonts w:ascii="Times New Roman" w:hAnsi="Times New Roman" w:cs="Times New Roman"/>
        </w:rPr>
        <w:t>S1</w:t>
      </w:r>
      <w:r w:rsidRPr="00921F66">
        <w:rPr>
          <w:rFonts w:ascii="Times New Roman" w:hAnsi="Times New Roman" w:cs="Times New Roman"/>
        </w:rPr>
        <w:t>. Test for residual autocorrelation before and after including the selected eigenvector.</w:t>
      </w:r>
    </w:p>
    <w:p w14:paraId="152AFBAD" w14:textId="2D05DACA" w:rsidR="008B6AFD" w:rsidRDefault="008B6AFD" w:rsidP="00E8386D">
      <w:pPr>
        <w:rPr>
          <w:rFonts w:ascii="Times New Roman" w:hAnsi="Times New Roman" w:cs="Times New Roman"/>
        </w:rPr>
      </w:pPr>
    </w:p>
    <w:p w14:paraId="54A74109" w14:textId="335D8EFC" w:rsidR="008B6AFD" w:rsidRDefault="008B6AFD" w:rsidP="00E8386D">
      <w:pPr>
        <w:rPr>
          <w:rFonts w:ascii="Times New Roman" w:hAnsi="Times New Roman" w:cs="Times New Roman"/>
        </w:rPr>
      </w:pPr>
      <w:r w:rsidRPr="00921F66">
        <w:rPr>
          <w:rFonts w:ascii="Times New Roman" w:hAnsi="Times New Roman" w:cs="Times New Roman"/>
        </w:rPr>
        <w:t xml:space="preserve">Table </w:t>
      </w:r>
      <w:r>
        <w:rPr>
          <w:rFonts w:ascii="Times New Roman" w:hAnsi="Times New Roman" w:cs="Times New Roman"/>
        </w:rPr>
        <w:t>S2</w:t>
      </w:r>
      <w:r w:rsidRPr="00921F66">
        <w:rPr>
          <w:rFonts w:ascii="Times New Roman" w:hAnsi="Times New Roman" w:cs="Times New Roman"/>
        </w:rPr>
        <w:t>. Coefficients and standard errors of the first 5 selected eigenvectors.</w:t>
      </w:r>
    </w:p>
    <w:p w14:paraId="7F480F3E" w14:textId="77777777" w:rsidR="008B6AFD" w:rsidRDefault="008B6AFD" w:rsidP="00E8386D">
      <w:pPr>
        <w:rPr>
          <w:rFonts w:ascii="Times New Roman" w:hAnsi="Times New Roman" w:cs="Times New Roman"/>
        </w:rPr>
      </w:pPr>
    </w:p>
    <w:p w14:paraId="560086B1" w14:textId="77777777" w:rsidR="008B6AFD" w:rsidRDefault="008B6AFD">
      <w:pPr>
        <w:rPr>
          <w:rFonts w:ascii="Times New Roman" w:hAnsi="Times New Roman" w:cs="Times New Roman"/>
        </w:rPr>
      </w:pPr>
      <w:r>
        <w:rPr>
          <w:rFonts w:ascii="Times New Roman" w:hAnsi="Times New Roman" w:cs="Times New Roman"/>
        </w:rPr>
        <w:br w:type="page"/>
      </w:r>
    </w:p>
    <w:p w14:paraId="0624F54C" w14:textId="27432573" w:rsidR="00E8386D" w:rsidRPr="00921F66" w:rsidRDefault="00E8386D" w:rsidP="00E8386D">
      <w:pPr>
        <w:rPr>
          <w:rFonts w:ascii="Times New Roman" w:hAnsi="Times New Roman" w:cs="Times New Roman"/>
        </w:rPr>
      </w:pPr>
      <w:r w:rsidRPr="00921F66">
        <w:rPr>
          <w:rFonts w:ascii="Times New Roman" w:hAnsi="Times New Roman" w:cs="Times New Roman"/>
        </w:rPr>
        <w:lastRenderedPageBreak/>
        <w:t xml:space="preserve">Table </w:t>
      </w:r>
      <w:r w:rsidR="008B6AFD">
        <w:rPr>
          <w:rFonts w:ascii="Times New Roman" w:hAnsi="Times New Roman" w:cs="Times New Roman"/>
        </w:rPr>
        <w:t>S1</w:t>
      </w:r>
      <w:r w:rsidRPr="00921F66">
        <w:rPr>
          <w:rFonts w:ascii="Times New Roman" w:hAnsi="Times New Roman" w:cs="Times New Roman"/>
        </w:rPr>
        <w:t xml:space="preserve">. Test for residual autocorrelation before and after including the selected eigenvector. P-value is included in the parenthesis after the Moran’s coefficient. Cliff and Ord’s formula is used in </w:t>
      </w:r>
      <w:proofErr w:type="spellStart"/>
      <w:r w:rsidRPr="00921F66">
        <w:rPr>
          <w:rFonts w:ascii="Times New Roman" w:hAnsi="Times New Roman" w:cs="Times New Roman"/>
          <w:color w:val="000000"/>
          <w:lang w:val="en-GB"/>
        </w:rPr>
        <w:t>spfilteR</w:t>
      </w:r>
      <w:proofErr w:type="spellEnd"/>
      <w:r w:rsidRPr="00921F66">
        <w:rPr>
          <w:rFonts w:ascii="Times New Roman" w:hAnsi="Times New Roman" w:cs="Times New Roman"/>
          <w:color w:val="000000"/>
          <w:lang w:val="en-GB"/>
        </w:rPr>
        <w:t xml:space="preserve"> </w:t>
      </w:r>
      <w:r w:rsidRPr="00921F66">
        <w:rPr>
          <w:rFonts w:ascii="Times New Roman" w:hAnsi="Times New Roman" w:cs="Times New Roman"/>
          <w:color w:val="000000"/>
          <w:lang w:val="en-GB"/>
        </w:rPr>
        <w:fldChar w:fldCharType="begin"/>
      </w:r>
      <w:r>
        <w:rPr>
          <w:rFonts w:ascii="Times New Roman" w:hAnsi="Times New Roman" w:cs="Times New Roman"/>
          <w:color w:val="000000"/>
          <w:lang w:val="en-GB"/>
        </w:rPr>
        <w:instrText xml:space="preserve"> ADDIN EN.CITE &lt;EndNote&gt;&lt;Cite&gt;&lt;Author&gt;Juhl&lt;/Author&gt;&lt;Year&gt;2021&lt;/Year&gt;&lt;RecNum&gt;11&lt;/RecNum&gt;&lt;DisplayText&gt;(8)&lt;/DisplayText&gt;&lt;record&gt;&lt;rec-number&gt;11&lt;/rec-number&gt;&lt;foreign-keys&gt;&lt;key app="EN" db-id="5x02fa2vlap0xue9dzopp5vizea0wrdadwp5" timestamp="1754970864"&gt;11&lt;/key&gt;&lt;/foreign-keys&gt;&lt;ref-type name="Journal Article"&gt;17&lt;/ref-type&gt;&lt;contributors&gt;&lt;authors&gt;&lt;author&gt;Juhl, S. &lt;/author&gt;&lt;/authors&gt;&lt;/contributors&gt;&lt;titles&gt;&lt;title&gt;spfilteR: An R Package for Semiparametric Spatial Filtering with Eigenvectors in (Generalized) Linear Models&lt;/title&gt;&lt;secondary-title&gt;The R Journal&lt;/secondary-title&gt;&lt;/titles&gt;&lt;periodical&gt;&lt;full-title&gt;The R Journal&lt;/full-title&gt;&lt;/periodical&gt;&lt;pages&gt;450-459&lt;/pages&gt;&lt;volume&gt;13&lt;/volume&gt;&lt;number&gt;2&lt;/number&gt;&lt;dates&gt;&lt;year&gt;2021&lt;/year&gt;&lt;/dates&gt;&lt;urls&gt;&lt;/urls&gt;&lt;/record&gt;&lt;/Cite&gt;&lt;/EndNote&gt;</w:instrText>
      </w:r>
      <w:r w:rsidRPr="00921F66">
        <w:rPr>
          <w:rFonts w:ascii="Times New Roman" w:hAnsi="Times New Roman" w:cs="Times New Roman"/>
          <w:color w:val="000000"/>
          <w:lang w:val="en-GB"/>
        </w:rPr>
        <w:fldChar w:fldCharType="separate"/>
      </w:r>
      <w:r>
        <w:rPr>
          <w:rFonts w:ascii="Times New Roman" w:hAnsi="Times New Roman" w:cs="Times New Roman"/>
          <w:noProof/>
          <w:color w:val="000000"/>
          <w:lang w:val="en-GB"/>
        </w:rPr>
        <w:t>(8)</w:t>
      </w:r>
      <w:r w:rsidRPr="00921F66">
        <w:rPr>
          <w:rFonts w:ascii="Times New Roman" w:hAnsi="Times New Roman" w:cs="Times New Roman"/>
          <w:color w:val="000000"/>
          <w:lang w:val="en-GB"/>
        </w:rPr>
        <w:fldChar w:fldCharType="end"/>
      </w:r>
      <w:r w:rsidRPr="00921F66">
        <w:rPr>
          <w:rFonts w:ascii="Times New Roman" w:hAnsi="Times New Roman" w:cs="Times New Roman"/>
          <w:color w:val="000000"/>
          <w:lang w:val="en-GB"/>
        </w:rPr>
        <w:t xml:space="preserve"> and </w:t>
      </w:r>
      <w:r w:rsidRPr="00921F66">
        <w:rPr>
          <w:rFonts w:ascii="Times New Roman" w:hAnsi="Times New Roman" w:cs="Times New Roman"/>
        </w:rPr>
        <w:t xml:space="preserve">described in </w:t>
      </w:r>
      <w:r w:rsidRPr="00921F66">
        <w:rPr>
          <w:rFonts w:ascii="Times New Roman" w:hAnsi="Times New Roman" w:cs="Times New Roman"/>
        </w:rPr>
        <w:fldChar w:fldCharType="begin"/>
      </w:r>
      <w:r>
        <w:rPr>
          <w:rFonts w:ascii="Times New Roman" w:hAnsi="Times New Roman" w:cs="Times New Roman"/>
        </w:rPr>
        <w:instrText xml:space="preserve"> ADDIN EN.CITE &lt;EndNote&gt;&lt;Cite&gt;&lt;Author&gt;Cliff&lt;/Author&gt;&lt;Year&gt;1981&lt;/Year&gt;&lt;RecNum&gt;6&lt;/RecNum&gt;&lt;DisplayText&gt;(11)&lt;/DisplayText&gt;&lt;record&gt;&lt;rec-number&gt;6&lt;/rec-number&gt;&lt;foreign-keys&gt;&lt;key app="EN" db-id="5x02fa2vlap0xue9dzopp5vizea0wrdadwp5" timestamp="1754966241"&gt;6&lt;/key&gt;&lt;/foreign-keys&gt;&lt;ref-type name="Book"&gt;6&lt;/ref-type&gt;&lt;contributors&gt;&lt;authors&gt;&lt;author&gt;Cliff, A.&lt;/author&gt;&lt;author&gt;Ord, J.&lt;/author&gt;&lt;/authors&gt;&lt;/contributors&gt;&lt;titles&gt;&lt;title&gt;Spatial Processes, Models and Applications &lt;/title&gt;&lt;/titles&gt;&lt;dates&gt;&lt;year&gt;1981&lt;/year&gt;&lt;/dates&gt;&lt;pub-location&gt;London&lt;/pub-location&gt;&lt;publisher&gt;Pion&lt;/publisher&gt;&lt;urls&gt;&lt;/urls&gt;&lt;/record&gt;&lt;/Cite&gt;&lt;/EndNote&gt;</w:instrText>
      </w:r>
      <w:r w:rsidRPr="00921F66">
        <w:rPr>
          <w:rFonts w:ascii="Times New Roman" w:hAnsi="Times New Roman" w:cs="Times New Roman"/>
        </w:rPr>
        <w:fldChar w:fldCharType="separate"/>
      </w:r>
      <w:r>
        <w:rPr>
          <w:rFonts w:ascii="Times New Roman" w:hAnsi="Times New Roman" w:cs="Times New Roman"/>
          <w:noProof/>
        </w:rPr>
        <w:t>(11)</w:t>
      </w:r>
      <w:r w:rsidRPr="00921F66">
        <w:rPr>
          <w:rFonts w:ascii="Times New Roman" w:hAnsi="Times New Roman" w:cs="Times New Roman"/>
        </w:rPr>
        <w:fldChar w:fldCharType="end"/>
      </w:r>
      <w:r w:rsidRPr="00921F66">
        <w:rPr>
          <w:rFonts w:ascii="Times New Roman" w:hAnsi="Times New Roman" w:cs="Times New Roman"/>
        </w:rPr>
        <w:t xml:space="preserve">. </w:t>
      </w:r>
    </w:p>
    <w:p w14:paraId="52E328B9" w14:textId="77777777" w:rsidR="00E8386D" w:rsidRPr="00921F66" w:rsidRDefault="00E8386D" w:rsidP="00E8386D">
      <w:pPr>
        <w:spacing w:line="360" w:lineRule="auto"/>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1537"/>
        <w:gridCol w:w="1082"/>
        <w:gridCol w:w="1473"/>
        <w:gridCol w:w="1082"/>
      </w:tblGrid>
      <w:tr w:rsidR="00E8386D" w:rsidRPr="00921F66" w14:paraId="026C92D6" w14:textId="77777777" w:rsidTr="0014576B">
        <w:tc>
          <w:tcPr>
            <w:tcW w:w="2819" w:type="dxa"/>
            <w:tcBorders>
              <w:bottom w:val="nil"/>
            </w:tcBorders>
          </w:tcPr>
          <w:p w14:paraId="6F9E0FF2" w14:textId="77777777" w:rsidR="00E8386D" w:rsidRPr="00921F66" w:rsidRDefault="00E8386D" w:rsidP="0014576B">
            <w:pPr>
              <w:spacing w:line="360" w:lineRule="auto"/>
              <w:rPr>
                <w:rFonts w:ascii="Times New Roman" w:hAnsi="Times New Roman" w:cs="Times New Roman"/>
              </w:rPr>
            </w:pPr>
          </w:p>
        </w:tc>
        <w:tc>
          <w:tcPr>
            <w:tcW w:w="2619" w:type="dxa"/>
            <w:gridSpan w:val="2"/>
            <w:tcBorders>
              <w:bottom w:val="nil"/>
            </w:tcBorders>
            <w:vAlign w:val="center"/>
          </w:tcPr>
          <w:p w14:paraId="1DD6A429" w14:textId="77777777" w:rsidR="00E8386D" w:rsidRPr="00921F66" w:rsidRDefault="00E8386D" w:rsidP="0014576B">
            <w:pPr>
              <w:spacing w:line="360" w:lineRule="auto"/>
              <w:jc w:val="center"/>
              <w:rPr>
                <w:rFonts w:ascii="Times New Roman" w:hAnsi="Times New Roman" w:cs="Times New Roman"/>
              </w:rPr>
            </w:pPr>
            <w:r w:rsidRPr="00921F66">
              <w:rPr>
                <w:rFonts w:ascii="Times New Roman" w:hAnsi="Times New Roman" w:cs="Times New Roman"/>
              </w:rPr>
              <w:t>Polysynthesis</w:t>
            </w:r>
          </w:p>
        </w:tc>
        <w:tc>
          <w:tcPr>
            <w:tcW w:w="2555" w:type="dxa"/>
            <w:gridSpan w:val="2"/>
            <w:tcBorders>
              <w:bottom w:val="nil"/>
            </w:tcBorders>
            <w:vAlign w:val="center"/>
          </w:tcPr>
          <w:p w14:paraId="4E648C70" w14:textId="77777777" w:rsidR="00E8386D" w:rsidRPr="00921F66" w:rsidRDefault="00E8386D" w:rsidP="0014576B">
            <w:pPr>
              <w:spacing w:line="360" w:lineRule="auto"/>
              <w:jc w:val="center"/>
              <w:rPr>
                <w:rFonts w:ascii="Times New Roman" w:hAnsi="Times New Roman" w:cs="Times New Roman"/>
              </w:rPr>
            </w:pPr>
            <w:r w:rsidRPr="00921F66">
              <w:rPr>
                <w:rFonts w:ascii="Times New Roman" w:hAnsi="Times New Roman" w:cs="Times New Roman"/>
              </w:rPr>
              <w:t>Extended</w:t>
            </w:r>
          </w:p>
        </w:tc>
      </w:tr>
      <w:tr w:rsidR="00E8386D" w:rsidRPr="00921F66" w14:paraId="1ED7AB8A" w14:textId="77777777" w:rsidTr="0014576B">
        <w:tc>
          <w:tcPr>
            <w:tcW w:w="2819" w:type="dxa"/>
            <w:tcBorders>
              <w:top w:val="nil"/>
              <w:bottom w:val="single" w:sz="4" w:space="0" w:color="auto"/>
            </w:tcBorders>
          </w:tcPr>
          <w:p w14:paraId="1A49CFAC" w14:textId="77777777" w:rsidR="00E8386D" w:rsidRPr="00921F66" w:rsidRDefault="00E8386D" w:rsidP="0014576B">
            <w:pPr>
              <w:spacing w:line="360" w:lineRule="auto"/>
              <w:rPr>
                <w:rFonts w:ascii="Times New Roman" w:hAnsi="Times New Roman" w:cs="Times New Roman"/>
              </w:rPr>
            </w:pPr>
          </w:p>
        </w:tc>
        <w:tc>
          <w:tcPr>
            <w:tcW w:w="1537" w:type="dxa"/>
            <w:tcBorders>
              <w:top w:val="nil"/>
              <w:bottom w:val="single" w:sz="4" w:space="0" w:color="auto"/>
            </w:tcBorders>
          </w:tcPr>
          <w:p w14:paraId="1CB0A83F"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 xml:space="preserve">Before </w:t>
            </w:r>
          </w:p>
        </w:tc>
        <w:tc>
          <w:tcPr>
            <w:tcW w:w="1082" w:type="dxa"/>
            <w:tcBorders>
              <w:top w:val="nil"/>
              <w:bottom w:val="single" w:sz="4" w:space="0" w:color="auto"/>
            </w:tcBorders>
          </w:tcPr>
          <w:p w14:paraId="40332A31"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After</w:t>
            </w:r>
          </w:p>
        </w:tc>
        <w:tc>
          <w:tcPr>
            <w:tcW w:w="1473" w:type="dxa"/>
            <w:tcBorders>
              <w:top w:val="nil"/>
              <w:bottom w:val="single" w:sz="4" w:space="0" w:color="auto"/>
            </w:tcBorders>
          </w:tcPr>
          <w:p w14:paraId="05E66136"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Before</w:t>
            </w:r>
          </w:p>
        </w:tc>
        <w:tc>
          <w:tcPr>
            <w:tcW w:w="1082" w:type="dxa"/>
            <w:tcBorders>
              <w:top w:val="nil"/>
              <w:bottom w:val="single" w:sz="4" w:space="0" w:color="auto"/>
              <w:right w:val="nil"/>
            </w:tcBorders>
          </w:tcPr>
          <w:p w14:paraId="722C0C10"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After</w:t>
            </w:r>
          </w:p>
        </w:tc>
      </w:tr>
      <w:tr w:rsidR="00E8386D" w:rsidRPr="00921F66" w14:paraId="2341CC40" w14:textId="77777777" w:rsidTr="0014576B">
        <w:tc>
          <w:tcPr>
            <w:tcW w:w="2819" w:type="dxa"/>
            <w:tcBorders>
              <w:top w:val="single" w:sz="4" w:space="0" w:color="auto"/>
            </w:tcBorders>
          </w:tcPr>
          <w:p w14:paraId="52DC8BFF"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General formula</w:t>
            </w:r>
          </w:p>
          <w:p w14:paraId="71F39EAF"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with extension</w:t>
            </w:r>
          </w:p>
        </w:tc>
        <w:tc>
          <w:tcPr>
            <w:tcW w:w="1537" w:type="dxa"/>
            <w:tcBorders>
              <w:top w:val="single" w:sz="4" w:space="0" w:color="auto"/>
            </w:tcBorders>
          </w:tcPr>
          <w:p w14:paraId="2A1B92BE" w14:textId="77777777" w:rsidR="00E8386D" w:rsidRPr="00921F66" w:rsidRDefault="00E8386D" w:rsidP="0014576B">
            <w:pPr>
              <w:spacing w:line="360" w:lineRule="auto"/>
              <w:rPr>
                <w:rFonts w:ascii="Times New Roman" w:hAnsi="Times New Roman" w:cs="Times New Roman"/>
                <w:lang w:val="en-GB"/>
              </w:rPr>
            </w:pPr>
            <w:r w:rsidRPr="00921F66">
              <w:rPr>
                <w:rFonts w:ascii="Times New Roman" w:hAnsi="Times New Roman" w:cs="Times New Roman"/>
                <w:lang w:val="en-GB"/>
              </w:rPr>
              <w:t>30128.8</w:t>
            </w:r>
          </w:p>
          <w:p w14:paraId="7ED93D8A"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(&lt;0.001)</w:t>
            </w:r>
          </w:p>
        </w:tc>
        <w:tc>
          <w:tcPr>
            <w:tcW w:w="1082" w:type="dxa"/>
            <w:tcBorders>
              <w:top w:val="single" w:sz="4" w:space="0" w:color="auto"/>
            </w:tcBorders>
          </w:tcPr>
          <w:p w14:paraId="6F1AD203" w14:textId="77777777" w:rsidR="00E8386D" w:rsidRPr="00921F66" w:rsidRDefault="00E8386D" w:rsidP="0014576B">
            <w:pPr>
              <w:spacing w:line="360" w:lineRule="auto"/>
              <w:rPr>
                <w:rFonts w:ascii="Times New Roman" w:hAnsi="Times New Roman" w:cs="Times New Roman"/>
                <w:lang w:val="en-GB"/>
              </w:rPr>
            </w:pPr>
            <w:r w:rsidRPr="00921F66">
              <w:rPr>
                <w:rFonts w:ascii="Times New Roman" w:hAnsi="Times New Roman" w:cs="Times New Roman"/>
                <w:lang w:val="en-GB"/>
              </w:rPr>
              <w:t>0.000</w:t>
            </w:r>
          </w:p>
          <w:p w14:paraId="72F7B918"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(&gt;0.999)</w:t>
            </w:r>
          </w:p>
        </w:tc>
        <w:tc>
          <w:tcPr>
            <w:tcW w:w="1473" w:type="dxa"/>
            <w:tcBorders>
              <w:top w:val="single" w:sz="4" w:space="0" w:color="auto"/>
            </w:tcBorders>
          </w:tcPr>
          <w:p w14:paraId="2484BF3D"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26303.03</w:t>
            </w:r>
          </w:p>
          <w:p w14:paraId="13A941D5"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(&lt;0.001)</w:t>
            </w:r>
          </w:p>
        </w:tc>
        <w:tc>
          <w:tcPr>
            <w:tcW w:w="1082" w:type="dxa"/>
            <w:tcBorders>
              <w:top w:val="single" w:sz="4" w:space="0" w:color="auto"/>
            </w:tcBorders>
          </w:tcPr>
          <w:p w14:paraId="5F4F4478"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0.000</w:t>
            </w:r>
          </w:p>
          <w:p w14:paraId="7F02A35B"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(&gt;0.999)</w:t>
            </w:r>
          </w:p>
        </w:tc>
      </w:tr>
      <w:tr w:rsidR="00E8386D" w:rsidRPr="00921F66" w14:paraId="7F3E6BE7" w14:textId="77777777" w:rsidTr="0014576B">
        <w:tc>
          <w:tcPr>
            <w:tcW w:w="2819" w:type="dxa"/>
          </w:tcPr>
          <w:p w14:paraId="2E458632" w14:textId="77777777" w:rsidR="00E8386D" w:rsidRPr="00921F66" w:rsidRDefault="00E8386D" w:rsidP="0014576B">
            <w:pPr>
              <w:spacing w:line="360" w:lineRule="auto"/>
              <w:rPr>
                <w:rFonts w:ascii="Times New Roman" w:hAnsi="Times New Roman" w:cs="Times New Roman"/>
              </w:rPr>
            </w:pPr>
          </w:p>
        </w:tc>
        <w:tc>
          <w:tcPr>
            <w:tcW w:w="1537" w:type="dxa"/>
          </w:tcPr>
          <w:p w14:paraId="3C3A08ED" w14:textId="77777777" w:rsidR="00E8386D" w:rsidRPr="00921F66" w:rsidRDefault="00E8386D" w:rsidP="0014576B">
            <w:pPr>
              <w:spacing w:line="360" w:lineRule="auto"/>
              <w:rPr>
                <w:rFonts w:ascii="Times New Roman" w:hAnsi="Times New Roman" w:cs="Times New Roman"/>
              </w:rPr>
            </w:pPr>
          </w:p>
        </w:tc>
        <w:tc>
          <w:tcPr>
            <w:tcW w:w="1082" w:type="dxa"/>
          </w:tcPr>
          <w:p w14:paraId="197540FE" w14:textId="77777777" w:rsidR="00E8386D" w:rsidRPr="00921F66" w:rsidRDefault="00E8386D" w:rsidP="0014576B">
            <w:pPr>
              <w:spacing w:line="360" w:lineRule="auto"/>
              <w:rPr>
                <w:rFonts w:ascii="Times New Roman" w:hAnsi="Times New Roman" w:cs="Times New Roman"/>
                <w:bCs/>
                <w:color w:val="000000"/>
              </w:rPr>
            </w:pPr>
          </w:p>
        </w:tc>
        <w:tc>
          <w:tcPr>
            <w:tcW w:w="1473" w:type="dxa"/>
          </w:tcPr>
          <w:p w14:paraId="424B2265" w14:textId="77777777" w:rsidR="00E8386D" w:rsidRPr="00921F66" w:rsidRDefault="00E8386D" w:rsidP="0014576B">
            <w:pPr>
              <w:spacing w:line="360" w:lineRule="auto"/>
              <w:rPr>
                <w:rFonts w:ascii="Times New Roman" w:hAnsi="Times New Roman" w:cs="Times New Roman"/>
              </w:rPr>
            </w:pPr>
          </w:p>
        </w:tc>
        <w:tc>
          <w:tcPr>
            <w:tcW w:w="1082" w:type="dxa"/>
          </w:tcPr>
          <w:p w14:paraId="57735987" w14:textId="77777777" w:rsidR="00E8386D" w:rsidRPr="00921F66" w:rsidRDefault="00E8386D" w:rsidP="0014576B">
            <w:pPr>
              <w:spacing w:line="360" w:lineRule="auto"/>
              <w:rPr>
                <w:rFonts w:ascii="Times New Roman" w:hAnsi="Times New Roman" w:cs="Times New Roman"/>
                <w:bCs/>
                <w:color w:val="000000"/>
              </w:rPr>
            </w:pPr>
          </w:p>
        </w:tc>
      </w:tr>
      <w:tr w:rsidR="00E8386D" w:rsidRPr="00921F66" w14:paraId="64484196" w14:textId="77777777" w:rsidTr="0014576B">
        <w:tc>
          <w:tcPr>
            <w:tcW w:w="2819" w:type="dxa"/>
          </w:tcPr>
          <w:p w14:paraId="18BE7149"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Cliff and Ord’s formula without extension</w:t>
            </w:r>
          </w:p>
        </w:tc>
        <w:tc>
          <w:tcPr>
            <w:tcW w:w="1537" w:type="dxa"/>
          </w:tcPr>
          <w:p w14:paraId="5D0CB471"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36059.3</w:t>
            </w:r>
          </w:p>
          <w:p w14:paraId="4B73325C"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(&lt;0.001)</w:t>
            </w:r>
          </w:p>
        </w:tc>
        <w:tc>
          <w:tcPr>
            <w:tcW w:w="1082" w:type="dxa"/>
          </w:tcPr>
          <w:p w14:paraId="1D5FCF10" w14:textId="77777777" w:rsidR="00E8386D" w:rsidRPr="00921F66" w:rsidRDefault="00E8386D" w:rsidP="0014576B">
            <w:pPr>
              <w:spacing w:line="360" w:lineRule="auto"/>
              <w:rPr>
                <w:rFonts w:ascii="Times New Roman" w:hAnsi="Times New Roman" w:cs="Times New Roman"/>
                <w:bCs/>
                <w:color w:val="000000"/>
              </w:rPr>
            </w:pPr>
            <w:r w:rsidRPr="00921F66">
              <w:rPr>
                <w:rFonts w:ascii="Times New Roman" w:hAnsi="Times New Roman" w:cs="Times New Roman"/>
                <w:bCs/>
                <w:color w:val="000000"/>
              </w:rPr>
              <w:t>0.006</w:t>
            </w:r>
          </w:p>
          <w:p w14:paraId="7F9751E8"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(&gt;0.999)</w:t>
            </w:r>
          </w:p>
        </w:tc>
        <w:tc>
          <w:tcPr>
            <w:tcW w:w="1473" w:type="dxa"/>
          </w:tcPr>
          <w:p w14:paraId="6B2E1ADA"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rPr>
              <w:t>31624.54</w:t>
            </w:r>
          </w:p>
          <w:p w14:paraId="62C91AD9"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(&lt;0.001)</w:t>
            </w:r>
          </w:p>
        </w:tc>
        <w:tc>
          <w:tcPr>
            <w:tcW w:w="1082" w:type="dxa"/>
          </w:tcPr>
          <w:p w14:paraId="5817E833" w14:textId="77777777" w:rsidR="00E8386D" w:rsidRPr="00921F66" w:rsidRDefault="00E8386D" w:rsidP="0014576B">
            <w:pPr>
              <w:spacing w:line="360" w:lineRule="auto"/>
              <w:rPr>
                <w:rFonts w:ascii="Times New Roman" w:hAnsi="Times New Roman" w:cs="Times New Roman"/>
                <w:bCs/>
                <w:color w:val="000000"/>
              </w:rPr>
            </w:pPr>
            <w:r w:rsidRPr="00921F66">
              <w:rPr>
                <w:rFonts w:ascii="Times New Roman" w:hAnsi="Times New Roman" w:cs="Times New Roman"/>
                <w:bCs/>
                <w:color w:val="000000"/>
              </w:rPr>
              <w:t>0.006</w:t>
            </w:r>
          </w:p>
          <w:p w14:paraId="2833BF8D" w14:textId="77777777" w:rsidR="00E8386D" w:rsidRPr="00921F66" w:rsidRDefault="00E8386D" w:rsidP="0014576B">
            <w:pPr>
              <w:spacing w:line="360" w:lineRule="auto"/>
              <w:rPr>
                <w:rFonts w:ascii="Times New Roman" w:hAnsi="Times New Roman" w:cs="Times New Roman"/>
              </w:rPr>
            </w:pPr>
            <w:r w:rsidRPr="00921F66">
              <w:rPr>
                <w:rFonts w:ascii="Times New Roman" w:hAnsi="Times New Roman" w:cs="Times New Roman"/>
                <w:lang w:val="en-GB"/>
              </w:rPr>
              <w:t>(&gt;0.999)</w:t>
            </w:r>
          </w:p>
        </w:tc>
      </w:tr>
    </w:tbl>
    <w:p w14:paraId="43090EA1" w14:textId="77777777" w:rsidR="00E8386D" w:rsidRPr="00921F66" w:rsidRDefault="00E8386D" w:rsidP="00E8386D">
      <w:pPr>
        <w:spacing w:line="360" w:lineRule="auto"/>
        <w:rPr>
          <w:rFonts w:ascii="Times New Roman" w:hAnsi="Times New Roman" w:cs="Times New Roman"/>
        </w:rPr>
      </w:pPr>
    </w:p>
    <w:p w14:paraId="4D8308FC" w14:textId="77777777" w:rsidR="00E8386D" w:rsidRPr="00921F66" w:rsidRDefault="00E8386D" w:rsidP="00E8386D">
      <w:pPr>
        <w:pStyle w:val="ListParagraph"/>
        <w:spacing w:line="360" w:lineRule="auto"/>
        <w:rPr>
          <w:rFonts w:ascii="Times New Roman" w:hAnsi="Times New Roman" w:cs="Times New Roman"/>
        </w:rPr>
      </w:pPr>
    </w:p>
    <w:p w14:paraId="36FC84DD" w14:textId="77777777" w:rsidR="00E8386D" w:rsidRPr="00921F66" w:rsidRDefault="00E8386D" w:rsidP="00E8386D">
      <w:pPr>
        <w:pStyle w:val="ListParagraph"/>
        <w:spacing w:line="360" w:lineRule="auto"/>
        <w:rPr>
          <w:rFonts w:ascii="Times New Roman" w:hAnsi="Times New Roman" w:cs="Times New Roman"/>
        </w:rPr>
      </w:pPr>
    </w:p>
    <w:p w14:paraId="1081D98C" w14:textId="77777777" w:rsidR="00E8386D" w:rsidRPr="00921F66" w:rsidRDefault="00E8386D" w:rsidP="00E8386D">
      <w:pPr>
        <w:pStyle w:val="ListParagraph"/>
        <w:spacing w:line="360" w:lineRule="auto"/>
        <w:rPr>
          <w:rFonts w:ascii="Times New Roman" w:hAnsi="Times New Roman" w:cs="Times New Roman"/>
        </w:rPr>
      </w:pPr>
    </w:p>
    <w:p w14:paraId="6083795E" w14:textId="77777777" w:rsidR="00E8386D" w:rsidRPr="00921F66" w:rsidRDefault="00E8386D" w:rsidP="00E8386D">
      <w:pPr>
        <w:pStyle w:val="ListParagraph"/>
        <w:spacing w:line="360" w:lineRule="auto"/>
        <w:rPr>
          <w:rFonts w:ascii="Times New Roman" w:hAnsi="Times New Roman" w:cs="Times New Roman"/>
        </w:rPr>
      </w:pPr>
    </w:p>
    <w:p w14:paraId="2ED3FD1E" w14:textId="77777777" w:rsidR="00E8386D" w:rsidRPr="00921F66" w:rsidRDefault="00E8386D" w:rsidP="00E8386D">
      <w:pPr>
        <w:pStyle w:val="ListParagraph"/>
        <w:spacing w:line="360" w:lineRule="auto"/>
        <w:rPr>
          <w:rFonts w:ascii="Times New Roman" w:hAnsi="Times New Roman" w:cs="Times New Roman"/>
        </w:rPr>
      </w:pPr>
    </w:p>
    <w:p w14:paraId="15A225F1" w14:textId="77777777" w:rsidR="00E8386D" w:rsidRPr="00921F66" w:rsidRDefault="00E8386D" w:rsidP="00E8386D">
      <w:pPr>
        <w:pStyle w:val="ListParagraph"/>
        <w:spacing w:line="360" w:lineRule="auto"/>
        <w:rPr>
          <w:rFonts w:ascii="Times New Roman" w:hAnsi="Times New Roman" w:cs="Times New Roman"/>
        </w:rPr>
      </w:pPr>
    </w:p>
    <w:p w14:paraId="08965151" w14:textId="77777777" w:rsidR="00E8386D" w:rsidRPr="00921F66" w:rsidRDefault="00E8386D" w:rsidP="00E8386D">
      <w:pPr>
        <w:pStyle w:val="ListParagraph"/>
        <w:spacing w:line="360" w:lineRule="auto"/>
        <w:rPr>
          <w:rFonts w:ascii="Times New Roman" w:hAnsi="Times New Roman" w:cs="Times New Roman"/>
        </w:rPr>
      </w:pPr>
    </w:p>
    <w:p w14:paraId="09BA3DD6" w14:textId="77777777" w:rsidR="00E8386D" w:rsidRPr="00921F66" w:rsidRDefault="00E8386D" w:rsidP="00E8386D">
      <w:pPr>
        <w:rPr>
          <w:rFonts w:ascii="Times New Roman" w:hAnsi="Times New Roman" w:cs="Times New Roman"/>
        </w:rPr>
      </w:pPr>
      <w:r w:rsidRPr="00921F66">
        <w:rPr>
          <w:rFonts w:ascii="Times New Roman" w:hAnsi="Times New Roman" w:cs="Times New Roman"/>
        </w:rPr>
        <w:br w:type="page"/>
      </w:r>
    </w:p>
    <w:p w14:paraId="48E2F111" w14:textId="0523D23B" w:rsidR="00E8386D" w:rsidRPr="00921F66" w:rsidRDefault="00E8386D" w:rsidP="00E8386D">
      <w:pPr>
        <w:spacing w:line="360" w:lineRule="auto"/>
        <w:rPr>
          <w:rFonts w:ascii="Times New Roman" w:hAnsi="Times New Roman" w:cs="Times New Roman"/>
        </w:rPr>
      </w:pPr>
      <w:r w:rsidRPr="00921F66">
        <w:rPr>
          <w:rFonts w:ascii="Times New Roman" w:hAnsi="Times New Roman" w:cs="Times New Roman"/>
        </w:rPr>
        <w:lastRenderedPageBreak/>
        <w:t xml:space="preserve">Table </w:t>
      </w:r>
      <w:r w:rsidR="008B6AFD">
        <w:rPr>
          <w:rFonts w:ascii="Times New Roman" w:hAnsi="Times New Roman" w:cs="Times New Roman"/>
        </w:rPr>
        <w:t>S2</w:t>
      </w:r>
      <w:r w:rsidRPr="00921F66">
        <w:rPr>
          <w:rFonts w:ascii="Times New Roman" w:hAnsi="Times New Roman" w:cs="Times New Roman"/>
        </w:rPr>
        <w:t>. Coefficients and standard errors of the first 5 selected eigenvectors. Including many predictors causes separation in probit or logistic regression, which happens when a combination of predictors can perfectly separate 0 from 1 in the response variable. Separation problem is identifiable by inflated standard errors of the coefficients of some eigenvectors. This will cause unreliable estimates and model convergence problem when we include these eigenvectors to test the significance of predictors.</w:t>
      </w:r>
    </w:p>
    <w:p w14:paraId="4546E71A" w14:textId="77777777" w:rsidR="00E8386D" w:rsidRPr="00921F66" w:rsidRDefault="00E8386D" w:rsidP="00E8386D">
      <w:pPr>
        <w:pStyle w:val="ListParagraph"/>
        <w:spacing w:line="360" w:lineRule="auto"/>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701"/>
        <w:gridCol w:w="1418"/>
      </w:tblGrid>
      <w:tr w:rsidR="00E8386D" w:rsidRPr="00921F66" w14:paraId="5FA18D4B" w14:textId="77777777" w:rsidTr="0014576B">
        <w:tc>
          <w:tcPr>
            <w:tcW w:w="1118" w:type="dxa"/>
            <w:tcBorders>
              <w:top w:val="single" w:sz="4" w:space="0" w:color="auto"/>
              <w:bottom w:val="single" w:sz="4" w:space="0" w:color="auto"/>
            </w:tcBorders>
          </w:tcPr>
          <w:p w14:paraId="4C1CA6B0" w14:textId="77777777" w:rsidR="00E8386D" w:rsidRPr="00921F66" w:rsidRDefault="00E8386D" w:rsidP="0014576B">
            <w:pPr>
              <w:pStyle w:val="ListParagraph"/>
              <w:spacing w:line="360" w:lineRule="auto"/>
              <w:ind w:left="0"/>
              <w:rPr>
                <w:rFonts w:ascii="Times New Roman" w:hAnsi="Times New Roman" w:cs="Times New Roman"/>
              </w:rPr>
            </w:pPr>
          </w:p>
        </w:tc>
        <w:tc>
          <w:tcPr>
            <w:tcW w:w="1701" w:type="dxa"/>
            <w:tcBorders>
              <w:top w:val="single" w:sz="4" w:space="0" w:color="auto"/>
              <w:bottom w:val="single" w:sz="4" w:space="0" w:color="auto"/>
            </w:tcBorders>
          </w:tcPr>
          <w:p w14:paraId="02338A67"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Coefficient</w:t>
            </w:r>
          </w:p>
        </w:tc>
        <w:tc>
          <w:tcPr>
            <w:tcW w:w="1418" w:type="dxa"/>
            <w:tcBorders>
              <w:top w:val="single" w:sz="4" w:space="0" w:color="auto"/>
              <w:bottom w:val="single" w:sz="4" w:space="0" w:color="auto"/>
            </w:tcBorders>
          </w:tcPr>
          <w:p w14:paraId="0E514A71"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S.E.</w:t>
            </w:r>
          </w:p>
        </w:tc>
      </w:tr>
      <w:tr w:rsidR="00E8386D" w:rsidRPr="00921F66" w14:paraId="27EA6E56" w14:textId="77777777" w:rsidTr="0014576B">
        <w:tc>
          <w:tcPr>
            <w:tcW w:w="1118" w:type="dxa"/>
            <w:tcBorders>
              <w:top w:val="single" w:sz="4" w:space="0" w:color="auto"/>
            </w:tcBorders>
          </w:tcPr>
          <w:p w14:paraId="53B66896"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EV 1</w:t>
            </w:r>
          </w:p>
        </w:tc>
        <w:tc>
          <w:tcPr>
            <w:tcW w:w="1701" w:type="dxa"/>
            <w:tcBorders>
              <w:top w:val="single" w:sz="4" w:space="0" w:color="auto"/>
            </w:tcBorders>
          </w:tcPr>
          <w:p w14:paraId="17D72361"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-2.7</w:t>
            </w:r>
          </w:p>
        </w:tc>
        <w:tc>
          <w:tcPr>
            <w:tcW w:w="1418" w:type="dxa"/>
            <w:tcBorders>
              <w:top w:val="single" w:sz="4" w:space="0" w:color="auto"/>
            </w:tcBorders>
          </w:tcPr>
          <w:p w14:paraId="3374EE65"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0.20</w:t>
            </w:r>
          </w:p>
        </w:tc>
      </w:tr>
      <w:tr w:rsidR="00E8386D" w:rsidRPr="00921F66" w14:paraId="6CA16B10" w14:textId="77777777" w:rsidTr="0014576B">
        <w:tc>
          <w:tcPr>
            <w:tcW w:w="1118" w:type="dxa"/>
          </w:tcPr>
          <w:p w14:paraId="6797A451"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EV 2</w:t>
            </w:r>
          </w:p>
        </w:tc>
        <w:tc>
          <w:tcPr>
            <w:tcW w:w="1701" w:type="dxa"/>
          </w:tcPr>
          <w:p w14:paraId="3F87B7C7"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7.7×10</w:t>
            </w:r>
            <w:r w:rsidRPr="00921F66">
              <w:rPr>
                <w:rFonts w:ascii="Times New Roman" w:hAnsi="Times New Roman" w:cs="Times New Roman"/>
                <w:color w:val="000000"/>
                <w:vertAlign w:val="superscript"/>
                <w:lang w:val="en-GB"/>
              </w:rPr>
              <w:t>5</w:t>
            </w:r>
          </w:p>
        </w:tc>
        <w:tc>
          <w:tcPr>
            <w:tcW w:w="1418" w:type="dxa"/>
          </w:tcPr>
          <w:p w14:paraId="54A22CE7"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2.02</w:t>
            </w:r>
            <w:r w:rsidRPr="00921F66">
              <w:rPr>
                <w:rFonts w:ascii="Times New Roman" w:hAnsi="Times New Roman" w:cs="Times New Roman"/>
                <w:color w:val="000000"/>
                <w:lang w:val="en-GB"/>
              </w:rPr>
              <w:t>×10</w:t>
            </w:r>
            <w:r w:rsidRPr="00921F66">
              <w:rPr>
                <w:rFonts w:ascii="Times New Roman" w:hAnsi="Times New Roman" w:cs="Times New Roman"/>
                <w:color w:val="000000"/>
                <w:vertAlign w:val="superscript"/>
                <w:lang w:val="en-GB"/>
              </w:rPr>
              <w:t>5</w:t>
            </w:r>
          </w:p>
        </w:tc>
      </w:tr>
      <w:tr w:rsidR="00E8386D" w:rsidRPr="00921F66" w14:paraId="2AA21B10" w14:textId="77777777" w:rsidTr="0014576B">
        <w:tc>
          <w:tcPr>
            <w:tcW w:w="1118" w:type="dxa"/>
          </w:tcPr>
          <w:p w14:paraId="07953A27"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EV 3</w:t>
            </w:r>
          </w:p>
        </w:tc>
        <w:tc>
          <w:tcPr>
            <w:tcW w:w="1701" w:type="dxa"/>
          </w:tcPr>
          <w:p w14:paraId="02E4AF08"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-2.0×10</w:t>
            </w:r>
            <w:r w:rsidRPr="00921F66">
              <w:rPr>
                <w:rFonts w:ascii="Times New Roman" w:hAnsi="Times New Roman" w:cs="Times New Roman"/>
                <w:color w:val="000000"/>
                <w:vertAlign w:val="superscript"/>
                <w:lang w:val="en-GB"/>
              </w:rPr>
              <w:t>2</w:t>
            </w:r>
          </w:p>
        </w:tc>
        <w:tc>
          <w:tcPr>
            <w:tcW w:w="1418" w:type="dxa"/>
          </w:tcPr>
          <w:p w14:paraId="1A1B769D"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42.23</w:t>
            </w:r>
          </w:p>
        </w:tc>
      </w:tr>
      <w:tr w:rsidR="00E8386D" w:rsidRPr="00921F66" w14:paraId="1647CF85" w14:textId="77777777" w:rsidTr="0014576B">
        <w:tc>
          <w:tcPr>
            <w:tcW w:w="1118" w:type="dxa"/>
          </w:tcPr>
          <w:p w14:paraId="27F4FDDF"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EV 4</w:t>
            </w:r>
          </w:p>
        </w:tc>
        <w:tc>
          <w:tcPr>
            <w:tcW w:w="1701" w:type="dxa"/>
          </w:tcPr>
          <w:p w14:paraId="7CBC0B4E"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1.6×10</w:t>
            </w:r>
            <w:r w:rsidRPr="00921F66">
              <w:rPr>
                <w:rFonts w:ascii="Times New Roman" w:hAnsi="Times New Roman" w:cs="Times New Roman"/>
                <w:color w:val="000000"/>
                <w:vertAlign w:val="superscript"/>
                <w:lang w:val="en-GB"/>
              </w:rPr>
              <w:t>2</w:t>
            </w:r>
          </w:p>
        </w:tc>
        <w:tc>
          <w:tcPr>
            <w:tcW w:w="1418" w:type="dxa"/>
          </w:tcPr>
          <w:p w14:paraId="550AB17C"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53.65</w:t>
            </w:r>
          </w:p>
        </w:tc>
      </w:tr>
      <w:tr w:rsidR="00E8386D" w:rsidRPr="00921F66" w14:paraId="2BF972B3" w14:textId="77777777" w:rsidTr="0014576B">
        <w:tc>
          <w:tcPr>
            <w:tcW w:w="1118" w:type="dxa"/>
          </w:tcPr>
          <w:p w14:paraId="5BF0E340"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EV 5</w:t>
            </w:r>
          </w:p>
        </w:tc>
        <w:tc>
          <w:tcPr>
            <w:tcW w:w="1701" w:type="dxa"/>
          </w:tcPr>
          <w:p w14:paraId="434B0875"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7.7×10</w:t>
            </w:r>
            <w:r w:rsidRPr="00921F66">
              <w:rPr>
                <w:rFonts w:ascii="Times New Roman" w:hAnsi="Times New Roman" w:cs="Times New Roman"/>
                <w:color w:val="000000"/>
                <w:vertAlign w:val="superscript"/>
                <w:lang w:val="en-GB"/>
              </w:rPr>
              <w:t>2</w:t>
            </w:r>
          </w:p>
        </w:tc>
        <w:tc>
          <w:tcPr>
            <w:tcW w:w="1418" w:type="dxa"/>
          </w:tcPr>
          <w:p w14:paraId="30905429"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color w:val="000000"/>
                <w:lang w:val="en-GB"/>
              </w:rPr>
              <w:t>2.52×10</w:t>
            </w:r>
            <w:r w:rsidRPr="00921F66">
              <w:rPr>
                <w:rFonts w:ascii="Times New Roman" w:hAnsi="Times New Roman" w:cs="Times New Roman"/>
                <w:color w:val="000000"/>
                <w:vertAlign w:val="superscript"/>
                <w:lang w:val="en-GB"/>
              </w:rPr>
              <w:t>2</w:t>
            </w:r>
          </w:p>
        </w:tc>
      </w:tr>
      <w:tr w:rsidR="00E8386D" w:rsidRPr="00921F66" w14:paraId="35ADA538" w14:textId="77777777" w:rsidTr="0014576B">
        <w:tc>
          <w:tcPr>
            <w:tcW w:w="1118" w:type="dxa"/>
          </w:tcPr>
          <w:p w14:paraId="1BB213A6"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w:t>
            </w:r>
          </w:p>
        </w:tc>
        <w:tc>
          <w:tcPr>
            <w:tcW w:w="1701" w:type="dxa"/>
          </w:tcPr>
          <w:p w14:paraId="19A879E2"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w:t>
            </w:r>
          </w:p>
        </w:tc>
        <w:tc>
          <w:tcPr>
            <w:tcW w:w="1418" w:type="dxa"/>
          </w:tcPr>
          <w:p w14:paraId="6F589DE1" w14:textId="77777777" w:rsidR="00E8386D" w:rsidRPr="00921F66" w:rsidRDefault="00E8386D" w:rsidP="0014576B">
            <w:pPr>
              <w:pStyle w:val="ListParagraph"/>
              <w:spacing w:line="360" w:lineRule="auto"/>
              <w:ind w:left="0"/>
              <w:rPr>
                <w:rFonts w:ascii="Times New Roman" w:hAnsi="Times New Roman" w:cs="Times New Roman"/>
              </w:rPr>
            </w:pPr>
            <w:r w:rsidRPr="00921F66">
              <w:rPr>
                <w:rFonts w:ascii="Times New Roman" w:hAnsi="Times New Roman" w:cs="Times New Roman"/>
              </w:rPr>
              <w:t>…</w:t>
            </w:r>
          </w:p>
        </w:tc>
      </w:tr>
    </w:tbl>
    <w:p w14:paraId="61A81F25" w14:textId="77777777" w:rsidR="00E8386D" w:rsidRPr="00921F66" w:rsidRDefault="00E8386D" w:rsidP="00E8386D">
      <w:pPr>
        <w:pStyle w:val="ListParagraph"/>
        <w:spacing w:line="360" w:lineRule="auto"/>
        <w:rPr>
          <w:rFonts w:ascii="Times New Roman" w:hAnsi="Times New Roman" w:cs="Times New Roman"/>
        </w:rPr>
      </w:pPr>
    </w:p>
    <w:p w14:paraId="48EAF9BE" w14:textId="77777777" w:rsidR="00C31F49" w:rsidRDefault="00C31F49"/>
    <w:sectPr w:rsidR="00C3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6D"/>
    <w:rsid w:val="0000740F"/>
    <w:rsid w:val="00012ACE"/>
    <w:rsid w:val="00016C65"/>
    <w:rsid w:val="000233AA"/>
    <w:rsid w:val="00027E86"/>
    <w:rsid w:val="00030434"/>
    <w:rsid w:val="000333C7"/>
    <w:rsid w:val="000428CC"/>
    <w:rsid w:val="0004553E"/>
    <w:rsid w:val="000526D3"/>
    <w:rsid w:val="00060F46"/>
    <w:rsid w:val="00062A4F"/>
    <w:rsid w:val="00071B82"/>
    <w:rsid w:val="00072918"/>
    <w:rsid w:val="000765B7"/>
    <w:rsid w:val="00083DF5"/>
    <w:rsid w:val="000A2965"/>
    <w:rsid w:val="000A3B05"/>
    <w:rsid w:val="000A5DBD"/>
    <w:rsid w:val="000C25A7"/>
    <w:rsid w:val="000F3FCF"/>
    <w:rsid w:val="000F6A19"/>
    <w:rsid w:val="00103BC0"/>
    <w:rsid w:val="00121FC5"/>
    <w:rsid w:val="00131C97"/>
    <w:rsid w:val="00155204"/>
    <w:rsid w:val="00156C27"/>
    <w:rsid w:val="001643A7"/>
    <w:rsid w:val="00174990"/>
    <w:rsid w:val="001865F5"/>
    <w:rsid w:val="00191C89"/>
    <w:rsid w:val="00192CC7"/>
    <w:rsid w:val="00195C1B"/>
    <w:rsid w:val="001A5A02"/>
    <w:rsid w:val="001B1D8B"/>
    <w:rsid w:val="001B6685"/>
    <w:rsid w:val="001C5D72"/>
    <w:rsid w:val="001C768D"/>
    <w:rsid w:val="001C769C"/>
    <w:rsid w:val="001D7E7E"/>
    <w:rsid w:val="001F5A7F"/>
    <w:rsid w:val="00201A7F"/>
    <w:rsid w:val="002125D6"/>
    <w:rsid w:val="00225AC6"/>
    <w:rsid w:val="00253FAE"/>
    <w:rsid w:val="00260D61"/>
    <w:rsid w:val="00261FC9"/>
    <w:rsid w:val="00287164"/>
    <w:rsid w:val="0029462C"/>
    <w:rsid w:val="002A0676"/>
    <w:rsid w:val="002A7CBF"/>
    <w:rsid w:val="002C04CF"/>
    <w:rsid w:val="002C2B2A"/>
    <w:rsid w:val="002C4FDA"/>
    <w:rsid w:val="002D03AA"/>
    <w:rsid w:val="002D5959"/>
    <w:rsid w:val="002D73A0"/>
    <w:rsid w:val="002F158B"/>
    <w:rsid w:val="00302C4C"/>
    <w:rsid w:val="00306072"/>
    <w:rsid w:val="003069DF"/>
    <w:rsid w:val="00311FD5"/>
    <w:rsid w:val="0031735E"/>
    <w:rsid w:val="003219B8"/>
    <w:rsid w:val="0034476F"/>
    <w:rsid w:val="00355B8B"/>
    <w:rsid w:val="0036392F"/>
    <w:rsid w:val="00380F48"/>
    <w:rsid w:val="003871B2"/>
    <w:rsid w:val="0039516F"/>
    <w:rsid w:val="003B229E"/>
    <w:rsid w:val="003C0AB5"/>
    <w:rsid w:val="003C10E7"/>
    <w:rsid w:val="003C1350"/>
    <w:rsid w:val="003C2E11"/>
    <w:rsid w:val="003C6A9F"/>
    <w:rsid w:val="003C77D5"/>
    <w:rsid w:val="003C7B5D"/>
    <w:rsid w:val="003D7734"/>
    <w:rsid w:val="003F08F2"/>
    <w:rsid w:val="003F3841"/>
    <w:rsid w:val="00400549"/>
    <w:rsid w:val="00400BB1"/>
    <w:rsid w:val="00401B59"/>
    <w:rsid w:val="00410F80"/>
    <w:rsid w:val="00411054"/>
    <w:rsid w:val="0041510C"/>
    <w:rsid w:val="00425718"/>
    <w:rsid w:val="00425B20"/>
    <w:rsid w:val="004402A9"/>
    <w:rsid w:val="00455C78"/>
    <w:rsid w:val="004564F5"/>
    <w:rsid w:val="00465638"/>
    <w:rsid w:val="00472137"/>
    <w:rsid w:val="004723F0"/>
    <w:rsid w:val="00472AC4"/>
    <w:rsid w:val="00482DCF"/>
    <w:rsid w:val="00485094"/>
    <w:rsid w:val="00485B47"/>
    <w:rsid w:val="00486C7B"/>
    <w:rsid w:val="004904B1"/>
    <w:rsid w:val="004918D1"/>
    <w:rsid w:val="00494E85"/>
    <w:rsid w:val="00495B3E"/>
    <w:rsid w:val="00495EE0"/>
    <w:rsid w:val="004A07E2"/>
    <w:rsid w:val="004A607F"/>
    <w:rsid w:val="004D3F63"/>
    <w:rsid w:val="004D5378"/>
    <w:rsid w:val="004E3A89"/>
    <w:rsid w:val="005048A6"/>
    <w:rsid w:val="0050526A"/>
    <w:rsid w:val="005106D2"/>
    <w:rsid w:val="0051629B"/>
    <w:rsid w:val="00524D7E"/>
    <w:rsid w:val="0053075B"/>
    <w:rsid w:val="00530D2E"/>
    <w:rsid w:val="005443C8"/>
    <w:rsid w:val="00546D97"/>
    <w:rsid w:val="0059576D"/>
    <w:rsid w:val="005A42C5"/>
    <w:rsid w:val="005A5EC8"/>
    <w:rsid w:val="005B00B1"/>
    <w:rsid w:val="005B240F"/>
    <w:rsid w:val="005B5A7A"/>
    <w:rsid w:val="005C2101"/>
    <w:rsid w:val="005F1596"/>
    <w:rsid w:val="005F2D22"/>
    <w:rsid w:val="005F5775"/>
    <w:rsid w:val="00600757"/>
    <w:rsid w:val="0061072B"/>
    <w:rsid w:val="00614AA0"/>
    <w:rsid w:val="00624A54"/>
    <w:rsid w:val="006269C7"/>
    <w:rsid w:val="006318F7"/>
    <w:rsid w:val="00635D68"/>
    <w:rsid w:val="006370D5"/>
    <w:rsid w:val="00647A5C"/>
    <w:rsid w:val="006529BA"/>
    <w:rsid w:val="00655600"/>
    <w:rsid w:val="00655812"/>
    <w:rsid w:val="00656A83"/>
    <w:rsid w:val="00683D88"/>
    <w:rsid w:val="006913E3"/>
    <w:rsid w:val="006A1318"/>
    <w:rsid w:val="006A24A8"/>
    <w:rsid w:val="006A6330"/>
    <w:rsid w:val="006B382C"/>
    <w:rsid w:val="006B79F9"/>
    <w:rsid w:val="006C0641"/>
    <w:rsid w:val="006C3E11"/>
    <w:rsid w:val="006D65A2"/>
    <w:rsid w:val="006F12F1"/>
    <w:rsid w:val="006F7173"/>
    <w:rsid w:val="00714F9D"/>
    <w:rsid w:val="00716F80"/>
    <w:rsid w:val="007210BD"/>
    <w:rsid w:val="00727480"/>
    <w:rsid w:val="007278CC"/>
    <w:rsid w:val="0073279D"/>
    <w:rsid w:val="007670A5"/>
    <w:rsid w:val="00780CD5"/>
    <w:rsid w:val="00782B8F"/>
    <w:rsid w:val="00783618"/>
    <w:rsid w:val="00794356"/>
    <w:rsid w:val="00794AF4"/>
    <w:rsid w:val="00795D92"/>
    <w:rsid w:val="007976F9"/>
    <w:rsid w:val="007979ED"/>
    <w:rsid w:val="007A1335"/>
    <w:rsid w:val="007B443F"/>
    <w:rsid w:val="007C68AE"/>
    <w:rsid w:val="007D1C18"/>
    <w:rsid w:val="007E2355"/>
    <w:rsid w:val="007E78A5"/>
    <w:rsid w:val="007F77E2"/>
    <w:rsid w:val="00805554"/>
    <w:rsid w:val="008059C4"/>
    <w:rsid w:val="00817222"/>
    <w:rsid w:val="00836139"/>
    <w:rsid w:val="0083750D"/>
    <w:rsid w:val="008402F1"/>
    <w:rsid w:val="008411CE"/>
    <w:rsid w:val="0086623B"/>
    <w:rsid w:val="008663AB"/>
    <w:rsid w:val="00873C49"/>
    <w:rsid w:val="0087634B"/>
    <w:rsid w:val="0089516F"/>
    <w:rsid w:val="0089526D"/>
    <w:rsid w:val="008B0DD8"/>
    <w:rsid w:val="008B3787"/>
    <w:rsid w:val="008B6AFD"/>
    <w:rsid w:val="008B7230"/>
    <w:rsid w:val="008C0835"/>
    <w:rsid w:val="008C120A"/>
    <w:rsid w:val="008C78E5"/>
    <w:rsid w:val="008D0B1F"/>
    <w:rsid w:val="008D1458"/>
    <w:rsid w:val="008D5617"/>
    <w:rsid w:val="008D5E7F"/>
    <w:rsid w:val="008D6784"/>
    <w:rsid w:val="008E2491"/>
    <w:rsid w:val="008E3524"/>
    <w:rsid w:val="00900382"/>
    <w:rsid w:val="009059F1"/>
    <w:rsid w:val="009060A5"/>
    <w:rsid w:val="00906623"/>
    <w:rsid w:val="00906830"/>
    <w:rsid w:val="00916677"/>
    <w:rsid w:val="009227CB"/>
    <w:rsid w:val="009258F6"/>
    <w:rsid w:val="00925E18"/>
    <w:rsid w:val="00932A7E"/>
    <w:rsid w:val="009372C7"/>
    <w:rsid w:val="00937D91"/>
    <w:rsid w:val="00950E71"/>
    <w:rsid w:val="009548F3"/>
    <w:rsid w:val="009618EE"/>
    <w:rsid w:val="00967FB5"/>
    <w:rsid w:val="00971A0F"/>
    <w:rsid w:val="00985791"/>
    <w:rsid w:val="009A25BD"/>
    <w:rsid w:val="009A77B9"/>
    <w:rsid w:val="009C2835"/>
    <w:rsid w:val="009D4CC1"/>
    <w:rsid w:val="009E071A"/>
    <w:rsid w:val="009E43A5"/>
    <w:rsid w:val="009E4CB8"/>
    <w:rsid w:val="009F1506"/>
    <w:rsid w:val="009F7675"/>
    <w:rsid w:val="00A02734"/>
    <w:rsid w:val="00A25404"/>
    <w:rsid w:val="00A26CD5"/>
    <w:rsid w:val="00A30A75"/>
    <w:rsid w:val="00A31340"/>
    <w:rsid w:val="00A340EB"/>
    <w:rsid w:val="00A36B62"/>
    <w:rsid w:val="00A51DEE"/>
    <w:rsid w:val="00A56817"/>
    <w:rsid w:val="00A60D75"/>
    <w:rsid w:val="00A72C0D"/>
    <w:rsid w:val="00A72D40"/>
    <w:rsid w:val="00A860DF"/>
    <w:rsid w:val="00AA01A1"/>
    <w:rsid w:val="00AA164D"/>
    <w:rsid w:val="00AB3D8E"/>
    <w:rsid w:val="00AC175F"/>
    <w:rsid w:val="00AC3055"/>
    <w:rsid w:val="00AC30AC"/>
    <w:rsid w:val="00AC31E5"/>
    <w:rsid w:val="00AD0ADD"/>
    <w:rsid w:val="00AE7B9E"/>
    <w:rsid w:val="00AF0D64"/>
    <w:rsid w:val="00AF27B2"/>
    <w:rsid w:val="00AF64AA"/>
    <w:rsid w:val="00B16B0C"/>
    <w:rsid w:val="00B3138C"/>
    <w:rsid w:val="00B46E55"/>
    <w:rsid w:val="00B501F7"/>
    <w:rsid w:val="00B60D7B"/>
    <w:rsid w:val="00B62163"/>
    <w:rsid w:val="00B63A75"/>
    <w:rsid w:val="00B92614"/>
    <w:rsid w:val="00BA088B"/>
    <w:rsid w:val="00BB79D3"/>
    <w:rsid w:val="00BD4823"/>
    <w:rsid w:val="00BD49DF"/>
    <w:rsid w:val="00BD5AAF"/>
    <w:rsid w:val="00BF3DAB"/>
    <w:rsid w:val="00BF400D"/>
    <w:rsid w:val="00BF67F8"/>
    <w:rsid w:val="00C2271A"/>
    <w:rsid w:val="00C31F49"/>
    <w:rsid w:val="00C37523"/>
    <w:rsid w:val="00C412B8"/>
    <w:rsid w:val="00C47041"/>
    <w:rsid w:val="00C504C9"/>
    <w:rsid w:val="00C51585"/>
    <w:rsid w:val="00C55317"/>
    <w:rsid w:val="00C56C40"/>
    <w:rsid w:val="00C671E3"/>
    <w:rsid w:val="00C672E7"/>
    <w:rsid w:val="00C83A3A"/>
    <w:rsid w:val="00C90024"/>
    <w:rsid w:val="00C912D2"/>
    <w:rsid w:val="00C9481E"/>
    <w:rsid w:val="00CC0726"/>
    <w:rsid w:val="00CC6E49"/>
    <w:rsid w:val="00CD6126"/>
    <w:rsid w:val="00CE7EF1"/>
    <w:rsid w:val="00CF200A"/>
    <w:rsid w:val="00D03A73"/>
    <w:rsid w:val="00D06CD3"/>
    <w:rsid w:val="00D10AD4"/>
    <w:rsid w:val="00D222D5"/>
    <w:rsid w:val="00D2715E"/>
    <w:rsid w:val="00D30569"/>
    <w:rsid w:val="00D30E23"/>
    <w:rsid w:val="00D44D2C"/>
    <w:rsid w:val="00D4609E"/>
    <w:rsid w:val="00D546D1"/>
    <w:rsid w:val="00D65460"/>
    <w:rsid w:val="00D77424"/>
    <w:rsid w:val="00D83D6B"/>
    <w:rsid w:val="00D85EDD"/>
    <w:rsid w:val="00D94D18"/>
    <w:rsid w:val="00D95539"/>
    <w:rsid w:val="00D97DD9"/>
    <w:rsid w:val="00DB0439"/>
    <w:rsid w:val="00DB17B7"/>
    <w:rsid w:val="00DC28FB"/>
    <w:rsid w:val="00DC4FBC"/>
    <w:rsid w:val="00DD4C19"/>
    <w:rsid w:val="00DE34AA"/>
    <w:rsid w:val="00DF2064"/>
    <w:rsid w:val="00DF254A"/>
    <w:rsid w:val="00DF7A9C"/>
    <w:rsid w:val="00E02CE4"/>
    <w:rsid w:val="00E042DC"/>
    <w:rsid w:val="00E06B5D"/>
    <w:rsid w:val="00E11318"/>
    <w:rsid w:val="00E1264C"/>
    <w:rsid w:val="00E16A9E"/>
    <w:rsid w:val="00E254F0"/>
    <w:rsid w:val="00E27F94"/>
    <w:rsid w:val="00E332B5"/>
    <w:rsid w:val="00E43A9C"/>
    <w:rsid w:val="00E5718F"/>
    <w:rsid w:val="00E720F0"/>
    <w:rsid w:val="00E80933"/>
    <w:rsid w:val="00E831F6"/>
    <w:rsid w:val="00E8386D"/>
    <w:rsid w:val="00EB2D5A"/>
    <w:rsid w:val="00EC3DCF"/>
    <w:rsid w:val="00EC4E54"/>
    <w:rsid w:val="00EC4F65"/>
    <w:rsid w:val="00ED3B3A"/>
    <w:rsid w:val="00ED5A2F"/>
    <w:rsid w:val="00EE0554"/>
    <w:rsid w:val="00EE69BE"/>
    <w:rsid w:val="00EE7EC9"/>
    <w:rsid w:val="00F076E8"/>
    <w:rsid w:val="00F10673"/>
    <w:rsid w:val="00F21A40"/>
    <w:rsid w:val="00F2396D"/>
    <w:rsid w:val="00F2444B"/>
    <w:rsid w:val="00F254A7"/>
    <w:rsid w:val="00F36F68"/>
    <w:rsid w:val="00F75A40"/>
    <w:rsid w:val="00F76DAF"/>
    <w:rsid w:val="00F77FE2"/>
    <w:rsid w:val="00F90553"/>
    <w:rsid w:val="00F93991"/>
    <w:rsid w:val="00FA439A"/>
    <w:rsid w:val="00FA64E7"/>
    <w:rsid w:val="00FB4234"/>
    <w:rsid w:val="00FC486E"/>
    <w:rsid w:val="00FD2958"/>
    <w:rsid w:val="00FE3FF5"/>
    <w:rsid w:val="00FE5C85"/>
    <w:rsid w:val="00FF0F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9F967"/>
  <w15:chartTrackingRefBased/>
  <w15:docId w15:val="{2CD41B70-F262-7043-99F5-A4B8BF3D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6D"/>
    <w:rPr>
      <w:rFonts w:eastAsiaTheme="minorEastAsia"/>
      <w:kern w:val="0"/>
      <w:lang w:eastAsia="zh-TW"/>
      <w14:ligatures w14:val="none"/>
    </w:rPr>
  </w:style>
  <w:style w:type="paragraph" w:styleId="Heading1">
    <w:name w:val="heading 1"/>
    <w:basedOn w:val="Normal"/>
    <w:next w:val="Normal"/>
    <w:link w:val="Heading1Char"/>
    <w:uiPriority w:val="9"/>
    <w:qFormat/>
    <w:rsid w:val="00E8386D"/>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8386D"/>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8386D"/>
    <w:pPr>
      <w:keepNext/>
      <w:keepLines/>
      <w:spacing w:before="160" w:after="8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8386D"/>
    <w:pPr>
      <w:keepNext/>
      <w:keepLines/>
      <w:spacing w:before="80" w:after="40"/>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8386D"/>
    <w:pPr>
      <w:keepNext/>
      <w:keepLines/>
      <w:spacing w:before="80" w:after="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8386D"/>
    <w:pPr>
      <w:keepNext/>
      <w:keepLines/>
      <w:spacing w:before="40"/>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8386D"/>
    <w:pPr>
      <w:keepNext/>
      <w:keepLines/>
      <w:spacing w:before="40"/>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8386D"/>
    <w:pPr>
      <w:keepNext/>
      <w:keepLines/>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8386D"/>
    <w:pPr>
      <w:keepNext/>
      <w:keepLines/>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86D"/>
    <w:rPr>
      <w:rFonts w:eastAsiaTheme="majorEastAsia" w:cstheme="majorBidi"/>
      <w:color w:val="272727" w:themeColor="text1" w:themeTint="D8"/>
    </w:rPr>
  </w:style>
  <w:style w:type="paragraph" w:styleId="Title">
    <w:name w:val="Title"/>
    <w:basedOn w:val="Normal"/>
    <w:next w:val="Normal"/>
    <w:link w:val="TitleChar"/>
    <w:uiPriority w:val="10"/>
    <w:qFormat/>
    <w:rsid w:val="00E8386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83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6D"/>
    <w:pPr>
      <w:numPr>
        <w:ilvl w:val="1"/>
      </w:numPr>
      <w:spacing w:after="160"/>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83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86D"/>
    <w:pPr>
      <w:spacing w:before="160" w:after="160"/>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8386D"/>
    <w:rPr>
      <w:i/>
      <w:iCs/>
      <w:color w:val="404040" w:themeColor="text1" w:themeTint="BF"/>
    </w:rPr>
  </w:style>
  <w:style w:type="paragraph" w:styleId="ListParagraph">
    <w:name w:val="List Paragraph"/>
    <w:basedOn w:val="Normal"/>
    <w:uiPriority w:val="34"/>
    <w:qFormat/>
    <w:rsid w:val="00E8386D"/>
    <w:pPr>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E8386D"/>
    <w:rPr>
      <w:i/>
      <w:iCs/>
      <w:color w:val="0F4761" w:themeColor="accent1" w:themeShade="BF"/>
    </w:rPr>
  </w:style>
  <w:style w:type="paragraph" w:styleId="IntenseQuote">
    <w:name w:val="Intense Quote"/>
    <w:basedOn w:val="Normal"/>
    <w:next w:val="Normal"/>
    <w:link w:val="IntenseQuoteChar"/>
    <w:uiPriority w:val="30"/>
    <w:qFormat/>
    <w:rsid w:val="00E8386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8386D"/>
    <w:rPr>
      <w:i/>
      <w:iCs/>
      <w:color w:val="0F4761" w:themeColor="accent1" w:themeShade="BF"/>
    </w:rPr>
  </w:style>
  <w:style w:type="character" w:styleId="IntenseReference">
    <w:name w:val="Intense Reference"/>
    <w:basedOn w:val="DefaultParagraphFont"/>
    <w:uiPriority w:val="32"/>
    <w:qFormat/>
    <w:rsid w:val="00E8386D"/>
    <w:rPr>
      <w:b/>
      <w:bCs/>
      <w:smallCaps/>
      <w:color w:val="0F4761" w:themeColor="accent1" w:themeShade="BF"/>
      <w:spacing w:val="5"/>
    </w:rPr>
  </w:style>
  <w:style w:type="table" w:styleId="TableGrid">
    <w:name w:val="Table Grid"/>
    <w:basedOn w:val="TableNormal"/>
    <w:uiPriority w:val="39"/>
    <w:rsid w:val="00E8386D"/>
    <w:rPr>
      <w:rFonts w:eastAsiaTheme="minorEastAsia"/>
      <w:kern w:val="0"/>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Lindell Bromham</dc:creator>
  <cp:keywords/>
  <dc:description/>
  <cp:lastModifiedBy>Xia Hua</cp:lastModifiedBy>
  <cp:revision>2</cp:revision>
  <dcterms:created xsi:type="dcterms:W3CDTF">2025-08-19T00:49:00Z</dcterms:created>
  <dcterms:modified xsi:type="dcterms:W3CDTF">2025-08-19T00:49:00Z</dcterms:modified>
</cp:coreProperties>
</file>