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http://www.redgamingtech.com/why-ps4-and-xbox-one-moved-to-x86-64/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MIPS Instruction Fields -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80.0" w:type="pct"/>
        <w:tblBorders>
          <w:top w:color="bdbdbd" w:space="0" w:sz="12" w:val="single"/>
          <w:left w:color="bdbdbd" w:space="0" w:sz="12" w:val="single"/>
          <w:bottom w:color="bdbdbd" w:space="0" w:sz="12" w:val="single"/>
          <w:right w:color="bdbdbd" w:space="0" w:sz="12" w:val="single"/>
          <w:insideH w:color="bdbdbd" w:space="0" w:sz="12" w:val="single"/>
          <w:insideV w:color="bdbdbd" w:space="0" w:sz="12" w:val="single"/>
        </w:tblBorders>
        <w:tblLayout w:type="fixed"/>
        <w:tblLook w:val="0600"/>
      </w:tblPr>
      <w:tblGrid>
        <w:gridCol w:w="1455"/>
        <w:gridCol w:w="1455"/>
        <w:gridCol w:w="2625"/>
        <w:gridCol w:w="2835"/>
        <w:gridCol w:w="2115"/>
        <w:tblGridChange w:id="0">
          <w:tblGrid>
            <w:gridCol w:w="1455"/>
            <w:gridCol w:w="1455"/>
            <w:gridCol w:w="2625"/>
            <w:gridCol w:w="2835"/>
            <w:gridCol w:w="2115"/>
          </w:tblGrid>
        </w:tblGridChange>
      </w:tblGrid>
      <w:tr>
        <w:trPr>
          <w:trHeight w:val="440" w:hRule="atLeast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Category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Instruction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Example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Meaning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Comments</w:t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color w:val="37474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highlight w:val="white"/>
                <w:rtl w:val="0"/>
              </w:rPr>
              <w:t xml:space="preserve">Arithmetic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highlight w:val="white"/>
                <w:rtl w:val="0"/>
              </w:rPr>
              <w:t xml:space="preserve">add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highlight w:val="white"/>
                <w:rtl w:val="0"/>
              </w:rPr>
              <w:t xml:space="preserve">add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highlight w:val="white"/>
                <w:rtl w:val="0"/>
              </w:rPr>
              <w:t xml:space="preserve">$s1 = $s2 +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highlight w:val="white"/>
                <w:rtl w:val="0"/>
              </w:rPr>
              <w:t xml:space="preserve">Three register operands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subtract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sub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$s2 -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Three register operands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add immediate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addi $s1, $s2,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+ 20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Used to add constants</w:t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Data transfer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word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lw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Word from memory to register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store word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sw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 =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Word from register to memory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half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lh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Halfword memory to register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half unsigned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lhu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Halfword memory to register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store half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sh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 =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Halfword register to memory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byte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lb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Byte from memory to register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byte unsigned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lbu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Byte from memory to register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store byte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sb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 =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Byte from register to memory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linked word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ll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word as 1st half of atomic swap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store condition. word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sc $s1, 20($s2)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Memory[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+ 20] =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0 or 1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Store word as 2nd half of atomic swap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 upper immed.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lui $s1,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20 * 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Loads constant in upper 16 bits</w:t>
            </w:r>
          </w:p>
        </w:tc>
      </w:tr>
      <w:tr>
        <w:trPr>
          <w:trHeight w:val="1360" w:hRule="atLeast"/>
        </w:trPr>
        <w:tc>
          <w:tcPr>
            <w:vMerge w:val="restart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Logical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and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and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&amp;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Three reg. operands; bit-by-bit AND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or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or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|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Three reg. operands; bit-by-bit OR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nor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nor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~($s2 | $s3)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Three reg. operands; bit-by-bit NOR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and immediate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andi $s1, $s2,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&amp;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Bit-by-bit AND reg with constant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or immediate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ori $s1, $s2,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|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Bit-by-bit OR reg with constant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shift left logical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sll $s1, $s2,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&lt;&lt;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Shift left by constant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shift right logical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srl $s1, $s2,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 $s2 &gt;&gt;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Shift right by constant</w:t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Conditional branch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branch on equal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beq $s1, $s2,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if(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== 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) go to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PC + 4 + 100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Equal test; PC-relative branch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branch on not equal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bne $s1, $s2,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if(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 != 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) go to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PC + 4 + 100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Not equal test; PC-relative branch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set on less than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slt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if(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$s3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Compare less than;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beq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bne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set on less than unsigned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sltu $s1, $s2,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if(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$s3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Compare less than unsigned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set less than immediate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slti $s1, $s2,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if(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&lt; 20)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Compare less than constant</w:t>
            </w:r>
          </w:p>
        </w:tc>
      </w:tr>
      <w:tr>
        <w:trPr>
          <w:trHeight w:val="136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set less than immediate unsigned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sltiu $s1, $s2,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if(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$s2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&lt; 20)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1;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$s1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Compare less than constant unsigned</w:t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Unconditional jump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jump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j 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go to 10000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Jump to target address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jump register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jr $ra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go to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For switch, procedure return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jump and link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jal 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rtl w:val="0"/>
              </w:rPr>
              <w:t xml:space="preserve">$ra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= PC + 4; go to 10000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For procedure call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edgamingtech.com/why-ps4-and-xbox-one-moved-to-x86-64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