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2878B5"/>
          <w:sz w:val="18"/>
        </w:rPr>
        <w:t>BUSINESS ANALYSIS PRD / PROJECT BRIEF</w:t>
      </w:r>
    </w:p>
    <w:p>
      <w:pPr>
        <w:spacing w:after="60"/>
      </w:pPr>
      <w:r>
        <w:rPr>
          <w:rFonts w:ascii="Calibri" w:hAnsi="Calibri" w:eastAsia="Microsoft YaHei"/>
          <w:b/>
          <w:color w:val="173F59"/>
          <w:sz w:val="44"/>
        </w:rPr>
        <w:t>重点商家经营异常诊断与治理决策支持</w:t>
      </w:r>
    </w:p>
    <w:p>
      <w:pPr>
        <w:spacing w:after="140"/>
      </w:pPr>
      <w:r>
        <w:rPr>
          <w:rFonts w:ascii="Calibri" w:hAnsi="Calibri" w:eastAsia="Microsoft YaHei"/>
          <w:color w:val="60717E"/>
          <w:sz w:val="20"/>
        </w:rPr>
        <w:t>项目立项说明｜分析对象 S-DA862｜主分析期 2018-04 至 2018-07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文档用途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说明启动原因、业务问题、范围与执行路径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当前状态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分析交付已完成，待业务审阅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证据级别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经营异常诊断，非因果证明</w:t>
            </w:r>
          </w:p>
        </w:tc>
      </w:tr>
    </w:tbl>
    <w:p>
      <w:pPr>
        <w:spacing w:after="60" w:line="254" w:lineRule="auto"/>
      </w:pPr>
      <w:r>
        <w:rPr>
          <w:rFonts w:ascii="Calibri" w:hAnsi="Calibri" w:eastAsia="Microsoft YaHei"/>
          <w:b/>
          <w:color w:val="173F59"/>
          <w:sz w:val="19"/>
        </w:rPr>
        <w:t>一、项目名称｜</w:t>
      </w:r>
      <w:r>
        <w:rPr>
          <w:rFonts w:ascii="Calibri" w:hAnsi="Calibri" w:eastAsia="Microsoft YaHei"/>
          <w:color w:val="1F2933"/>
          <w:sz w:val="19"/>
        </w:rPr>
        <w:t>电商平台重点商家经营异常诊断与治理决策支持项目</w:t>
      </w:r>
    </w:p>
    <w:p>
      <w:pPr>
        <w:pStyle w:val="Heading1"/>
      </w:pPr>
      <w:r>
        <w:t>二、项目背景 Business Context</w:t>
      </w:r>
    </w:p>
    <w:p>
      <w:pPr>
        <w:spacing w:after="60" w:line="259" w:lineRule="auto"/>
      </w:pPr>
      <w:r>
        <w:rPr>
          <w:rFonts w:ascii="Calibri" w:hAnsi="Calibri" w:eastAsia="Microsoft YaHei"/>
          <w:b w:val="0"/>
          <w:color w:val="1F2933"/>
          <w:sz w:val="19"/>
        </w:rPr>
        <w:t>平台需要对重点商家的持续经营异常进行及时识别，避免将商家自身问题误判为行业共同波动。公开数据表明，S-DA862在2018年4月至7月连续走弱，且降幅明显超过平台和主营品类，因此启动专项诊断。</w:t>
      </w:r>
    </w:p>
    <w:p>
      <w:pPr>
        <w:spacing w:after="40" w:line="254" w:lineRule="auto"/>
      </w:pPr>
      <w:r>
        <w:rPr>
          <w:rFonts w:ascii="Calibri" w:hAnsi="Calibri" w:eastAsia="Microsoft YaHei"/>
          <w:b/>
          <w:color w:val="173F59"/>
          <w:sz w:val="18"/>
        </w:rPr>
        <w:t>若不处理：</w:t>
      </w:r>
      <w:r>
        <w:rPr>
          <w:rFonts w:ascii="Calibri" w:hAnsi="Calibri" w:eastAsia="Microsoft YaHei"/>
          <w:color w:val="1F2933"/>
          <w:sz w:val="18"/>
        </w:rPr>
        <w:t>重点商家GMV可能继续流失；运营排查缺少抓手；资源可能投入到低优先级动作。</w:t>
      </w:r>
    </w:p>
    <w:p>
      <w:pPr>
        <w:pStyle w:val="Heading1"/>
      </w:pPr>
      <w:r>
        <w:t>三、核心业务问题 Business Problem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D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D8782D"/>
                <w:sz w:val="18"/>
              </w:rPr>
              <w:t>核心问题｜</w:t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S-DA862的GMV为何在完整月份内持续下滑，平台应优先核查哪些成交SKU，并如何以可验证方式设计恢复行动？</w:t>
            </w:r>
          </w:p>
        </w:tc>
      </w:tr>
    </w:tbl>
    <w:p>
      <w:pPr>
        <w:pStyle w:val="ListNumber"/>
        <w:spacing w:after="30" w:line="259" w:lineRule="auto"/>
      </w:pPr>
      <w:r>
        <w:rPr>
          <w:rFonts w:ascii="Calibri" w:hAnsi="Calibri" w:eastAsia="Microsoft YaHei"/>
          <w:color w:val="1F2933"/>
          <w:sz w:val="17"/>
        </w:rPr>
        <w:t>异常是否真实且显著，而非平台或品类共同波动？</w:t>
      </w:r>
    </w:p>
    <w:p>
      <w:pPr>
        <w:pStyle w:val="ListNumber"/>
        <w:spacing w:after="30" w:line="259" w:lineRule="auto"/>
      </w:pPr>
      <w:r>
        <w:rPr>
          <w:rFonts w:ascii="Calibri" w:hAnsi="Calibri" w:eastAsia="Microsoft YaHei"/>
          <w:color w:val="1F2933"/>
          <w:sz w:val="17"/>
        </w:rPr>
        <w:t>订单量与客单价分别贡献了多少GMV损失？</w:t>
      </w:r>
    </w:p>
    <w:p>
      <w:pPr>
        <w:pStyle w:val="ListNumber"/>
        <w:spacing w:after="30" w:line="259" w:lineRule="auto"/>
      </w:pPr>
      <w:r>
        <w:rPr>
          <w:rFonts w:ascii="Calibri" w:hAnsi="Calibri" w:eastAsia="Microsoft YaHei"/>
          <w:color w:val="1F2933"/>
          <w:sz w:val="17"/>
        </w:rPr>
        <w:t>哪些成交SKU应进入优先核查清单？</w:t>
      </w:r>
    </w:p>
    <w:p>
      <w:pPr>
        <w:pStyle w:val="ListNumber"/>
        <w:spacing w:after="30" w:line="259" w:lineRule="auto"/>
      </w:pPr>
      <w:r>
        <w:rPr>
          <w:rFonts w:ascii="Calibri" w:hAnsi="Calibri" w:eastAsia="Microsoft YaHei"/>
          <w:color w:val="1F2933"/>
          <w:sz w:val="17"/>
        </w:rPr>
        <w:t>平台应采取什么行动，并如何验证是否产生增量？</w:t>
      </w:r>
    </w:p>
    <w:p>
      <w:pPr>
        <w:pStyle w:val="Heading1"/>
      </w:pPr>
      <w:r>
        <w:t>四、项目目标 Business Objective</w:t>
      </w:r>
    </w:p>
    <w:p>
      <w:pPr>
        <w:spacing w:after="40" w:line="254" w:lineRule="auto"/>
      </w:pPr>
      <w:r>
        <w:rPr>
          <w:rFonts w:ascii="Calibri" w:hAnsi="Calibri" w:eastAsia="Microsoft YaHei"/>
          <w:b/>
          <w:color w:val="173F59"/>
          <w:sz w:val="18"/>
        </w:rPr>
        <w:t>分析目标｜</w:t>
      </w:r>
      <w:r>
        <w:rPr>
          <w:rFonts w:ascii="Calibri" w:hAnsi="Calibri" w:eastAsia="Microsoft YaHei"/>
          <w:color w:val="1F2933"/>
          <w:sz w:val="18"/>
        </w:rPr>
        <w:t>确认异常、量化GMV驱动、识别高贡献SKU核查对象，并明确证据边界。</w:t>
      </w:r>
    </w:p>
    <w:p>
      <w:pPr>
        <w:spacing w:after="40" w:line="254" w:lineRule="auto"/>
      </w:pPr>
      <w:r>
        <w:rPr>
          <w:rFonts w:ascii="Calibri" w:hAnsi="Calibri" w:eastAsia="Microsoft YaHei"/>
          <w:b/>
          <w:color w:val="173F59"/>
          <w:sz w:val="18"/>
        </w:rPr>
        <w:t>业务目标｜</w:t>
      </w:r>
      <w:r>
        <w:rPr>
          <w:rFonts w:ascii="Calibri" w:hAnsi="Calibri" w:eastAsia="Microsoft YaHei"/>
          <w:color w:val="1F2933"/>
          <w:sz w:val="18"/>
        </w:rPr>
        <w:t>支持业务决定是否启动专项核查、安排SKU恢复/替代试点，并建立重点商家异常监控。</w:t>
      </w:r>
    </w:p>
    <w:p>
      <w:pPr>
        <w:pStyle w:val="Heading1"/>
      </w:pPr>
      <w:r>
        <w:t>五、Stakeholder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40"/>
        <w:gridCol w:w="40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关注问题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需要的项目输出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业务负责人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异常严重性、资源优先级、行动顺序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Executive Summary、最终决策建议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商家/平台运营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先查哪些SKU、如何处置、如何跟踪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核查清单、行动与验证方案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品类负责人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品类共同波动还是商家偏离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品类与同类商家基准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经营分析/数据团队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口径、复现性、证据边界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Notebook、SQL、结果文件</w:t>
            </w:r>
          </w:p>
        </w:tc>
      </w:tr>
    </w:tbl>
    <w:p>
      <w:r>
        <w:br w:type="page"/>
      </w:r>
    </w:p>
    <w:p>
      <w:pPr>
        <w:pStyle w:val="Heading1"/>
      </w:pPr>
      <w:r>
        <w:t>六、分析范围 Scope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In Scope｜本项目覆盖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Out of Scope｜本项目不承诺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对象：S-DA862及平台、主营品类、同类商家基准</w:t>
              <w:br/>
              <w:t>时间：2018-04至2018-07完整月份</w:t>
              <w:br/>
              <w:t>指标：GMV、订单量、客单价、成交SKU结构</w:t>
              <w:br/>
              <w:t>数据：订单、订单商品、商品、品类翻译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库存与缺货记录</w:t>
              <w:br/>
              <w:t>流量、访问、曝光和搜索排名</w:t>
              <w:br/>
              <w:t>竞争价格、毛利与利润</w:t>
              <w:br/>
              <w:t>真实实验结果与上线收益</w:t>
              <w:br/>
              <w:t>库存/曝光等机制的直接因果证明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DE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D8782D"/>
                <w:sz w:val="18"/>
              </w:rPr>
              <w:t>证据边界｜</w:t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成交SKU只表示当月发生交易；成交SKU减少不等于供给收缩，也不能直接解释为缺货或下架。</w:t>
            </w:r>
          </w:p>
        </w:tc>
      </w:tr>
    </w:tbl>
    <w:p>
      <w:pPr>
        <w:pStyle w:val="Heading1"/>
      </w:pPr>
      <w:r>
        <w:t>七、KPI与判断框架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20"/>
        <w:gridCol w:w="35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指标/判断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业务用途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业务目标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支持重点商家治理决策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确定是否核查、试点及监控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核心结果指标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GMV（BRL）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衡量经营结果及损失规模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驱动指标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订单量 × 客单价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量化交易机会与金额结构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诊断指标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平台/品类/同类位置；成交SKU迁移；成交价格中位数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排除共同波动并定位核查对象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验证指标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增量GMV、订单量、客单价；核查覆盖率、预警命中率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判断行动是否值得扩大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护栏指标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毛利率、取消率、退款率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控制增长质量与试点风险；需补充数据</w:t>
            </w:r>
          </w:p>
        </w:tc>
      </w:tr>
    </w:tbl>
    <w:p>
      <w:pPr>
        <w:pStyle w:val="Heading2"/>
      </w:pPr>
      <w:r>
        <w:t>判断顺序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color w:val="1F2933"/>
          <w:sz w:val="18"/>
        </w:rPr>
        <w:t>先确认异常是否显著，再进行GMV拆解。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color w:val="1F2933"/>
          <w:sz w:val="18"/>
        </w:rPr>
        <w:t>先定位可核查对象，再提出行动；不从相关关系直接跳到原因。</w:t>
      </w:r>
    </w:p>
    <w:p>
      <w:pPr>
        <w:pStyle w:val="ListBullet"/>
        <w:spacing w:after="40" w:line="259" w:lineRule="auto"/>
      </w:pPr>
      <w:r>
        <w:rPr>
          <w:rFonts w:ascii="Calibri" w:hAnsi="Calibri" w:eastAsia="Microsoft YaHei"/>
          <w:color w:val="1F2933"/>
          <w:sz w:val="18"/>
        </w:rPr>
        <w:t>方案只有通过对照或试点验证后，才能讨论扩大投入。</w:t>
      </w:r>
    </w:p>
    <w:p>
      <w:r>
        <w:br w:type="page"/>
      </w:r>
    </w:p>
    <w:p>
      <w:pPr>
        <w:pStyle w:val="Heading1"/>
      </w:pPr>
      <w:r>
        <w:t>八、分析假设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2380"/>
        <w:gridCol w:w="25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假设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为什么值得验证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所需数据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当前可验证程度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H1 下滑主要来自平台或品类共同波动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决定是否需要商家专项治理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平台、品类、同类商家月度指标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可判断共同环境无法解释全部异常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H2 订单量和客单价共同驱动GMV下降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决定恢复交易还是调整交易结构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GMV、订单量、客单价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可量化两类效应；不能证明根因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H3 高贡献SKU未再成交形成主要缺口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形成具体核查清单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月度商品成交及GMV贡献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可定位SKU及贡献；不能判断库存/下架机制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H4 恢复或替代SKU可带来增量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决定是否扩大运营投入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库存、曝光、竞争价格、利润、对照组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4"/>
              </w:rPr>
              <w:t>当前仅能设计验证方案，不能确认效果</w:t>
            </w:r>
          </w:p>
        </w:tc>
      </w:tr>
    </w:tbl>
    <w:p>
      <w:pPr>
        <w:pStyle w:val="Heading1"/>
      </w:pPr>
      <w:r>
        <w:t>九、分析路径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要回答的问题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1 异常确认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异常是否真实且显著？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平台/品类/同类商家比较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异常强度与位置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 驱动拆解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GMV为何下降？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订单量×客单价中点分解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量化驱动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3 结构诊断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优先核查哪些对象？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成交SKU迁移与交易价格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SKU核查清单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4 行动设计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下一步采取什么行动？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影响×证据×可行性排序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P0-P2行动方案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 验证方案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怎样判断行动有效？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匹配对照、增量与护栏指标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试点设计</w:t>
            </w:r>
          </w:p>
        </w:tc>
      </w:tr>
    </w:tbl>
    <w:p>
      <w:pPr>
        <w:pStyle w:val="Heading1"/>
      </w:pPr>
      <w:r>
        <w:t>十、数据与口径</w:t>
      </w:r>
    </w:p>
    <w:p>
      <w:pPr>
        <w:pStyle w:val="ListBullet"/>
        <w:spacing w:after="34" w:line="259" w:lineRule="auto"/>
      </w:pPr>
      <w:r>
        <w:rPr>
          <w:rFonts w:ascii="Calibri" w:hAnsi="Calibri" w:eastAsia="Microsoft YaHei"/>
          <w:color w:val="1F2933"/>
          <w:sz w:val="17"/>
        </w:rPr>
        <w:t>数据来源：Olist公开匿名电商数据；总体观察期2017-01至2018-07，核心分析期2018-04至2018-07。</w:t>
      </w:r>
    </w:p>
    <w:p>
      <w:pPr>
        <w:pStyle w:val="ListBullet"/>
        <w:spacing w:after="34" w:line="259" w:lineRule="auto"/>
      </w:pPr>
      <w:r>
        <w:rPr>
          <w:rFonts w:ascii="Calibri" w:hAnsi="Calibri" w:eastAsia="Microsoft YaHei"/>
          <w:color w:val="1F2933"/>
          <w:sz w:val="17"/>
        </w:rPr>
        <w:t>有效订单：order_status = delivered；订单量按order_id去重。</w:t>
      </w:r>
    </w:p>
    <w:p>
      <w:pPr>
        <w:pStyle w:val="ListBullet"/>
        <w:spacing w:after="34" w:line="259" w:lineRule="auto"/>
      </w:pPr>
      <w:r>
        <w:rPr>
          <w:rFonts w:ascii="Calibri" w:hAnsi="Calibri" w:eastAsia="Microsoft YaHei"/>
          <w:color w:val="1F2933"/>
          <w:sz w:val="17"/>
        </w:rPr>
        <w:t>GMV：已交付订单商品price之和，不含运费；金额单位为BRL。</w:t>
      </w:r>
    </w:p>
    <w:p>
      <w:pPr>
        <w:pStyle w:val="ListBullet"/>
        <w:spacing w:after="34" w:line="259" w:lineRule="auto"/>
      </w:pPr>
      <w:r>
        <w:rPr>
          <w:rFonts w:ascii="Calibri" w:hAnsi="Calibri" w:eastAsia="Microsoft YaHei"/>
          <w:color w:val="1F2933"/>
          <w:sz w:val="17"/>
        </w:rPr>
        <w:t>异常月份处理：2018年8月末存在明显数据尾部，29日至31日仅记录19单，因此不进入核心结论。</w:t>
      </w:r>
    </w:p>
    <w:p>
      <w:pPr>
        <w:pStyle w:val="ListBullet"/>
        <w:spacing w:after="34" w:line="259" w:lineRule="auto"/>
      </w:pPr>
      <w:r>
        <w:rPr>
          <w:rFonts w:ascii="Calibri" w:hAnsi="Calibri" w:eastAsia="Microsoft YaHei"/>
          <w:color w:val="1F2933"/>
          <w:sz w:val="17"/>
        </w:rPr>
        <w:t>关键关联：order_id连接订单与订单商品；product_id连接商品；seller_id聚合商家；商品品类通过翻译表统一。</w:t>
      </w:r>
    </w:p>
    <w:p>
      <w:r>
        <w:br w:type="page"/>
      </w:r>
    </w:p>
    <w:p>
      <w:pPr>
        <w:pStyle w:val="Heading1"/>
      </w:pPr>
      <w:r>
        <w:t>十一、项目交付物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54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交付物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F59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Executive Summary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已完成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分析报告第2页，管理层一页纸摘要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Business Analysis Report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已完成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9页经营异常诊断PDF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Notebook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已完成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可复现分析，全部代码单元已运行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SQL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已完成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核心聚合与SKU迁移查询，已实际运行验证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Result File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已完成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分析摘要、月度指标、同类比较、SKU迁移文件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Data Dictionary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未单独制作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B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关键口径已写入Notebook与本PRD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Reflection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未完成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可在面试讲解稿阶段补充</w:t>
            </w:r>
          </w:p>
        </w:tc>
      </w:tr>
    </w:tbl>
    <w:p>
      <w:pPr>
        <w:pStyle w:val="Heading1"/>
      </w:pPr>
      <w:r>
        <w:t>十二、成功标准 Success Criteria</w:t>
      </w:r>
    </w:p>
    <w:p>
      <w:pPr>
        <w:pStyle w:val="ListBullet"/>
        <w:spacing w:after="28" w:line="259" w:lineRule="auto"/>
      </w:pPr>
      <w:r>
        <w:rPr>
          <w:rFonts w:ascii="Calibri" w:hAnsi="Calibri" w:eastAsia="Microsoft YaHei"/>
          <w:color w:val="1F2933"/>
          <w:sz w:val="17"/>
        </w:rPr>
        <w:t>确认商家异常是否成立，并说明其相对平台、品类和同类商家的位置。</w:t>
      </w:r>
    </w:p>
    <w:p>
      <w:pPr>
        <w:pStyle w:val="ListBullet"/>
        <w:spacing w:after="28" w:line="259" w:lineRule="auto"/>
      </w:pPr>
      <w:r>
        <w:rPr>
          <w:rFonts w:ascii="Calibri" w:hAnsi="Calibri" w:eastAsia="Microsoft YaHei"/>
          <w:color w:val="1F2933"/>
          <w:sz w:val="17"/>
        </w:rPr>
        <w:t>量化订单量与客单价对GMV损失的贡献。</w:t>
      </w:r>
    </w:p>
    <w:p>
      <w:pPr>
        <w:pStyle w:val="ListBullet"/>
        <w:spacing w:after="28" w:line="259" w:lineRule="auto"/>
      </w:pPr>
      <w:r>
        <w:rPr>
          <w:rFonts w:ascii="Calibri" w:hAnsi="Calibri" w:eastAsia="Microsoft YaHei"/>
          <w:color w:val="1F2933"/>
          <w:sz w:val="17"/>
        </w:rPr>
        <w:t>形成高贡献SKU优先核查清单，同时明确不能直接证明的机制。</w:t>
      </w:r>
    </w:p>
    <w:p>
      <w:pPr>
        <w:pStyle w:val="ListBullet"/>
        <w:spacing w:after="28" w:line="259" w:lineRule="auto"/>
      </w:pPr>
      <w:r>
        <w:rPr>
          <w:rFonts w:ascii="Calibri" w:hAnsi="Calibri" w:eastAsia="Microsoft YaHei"/>
          <w:color w:val="1F2933"/>
          <w:sz w:val="17"/>
        </w:rPr>
        <w:t>提出有优先级、可执行且带护栏指标的治理方案。</w:t>
      </w:r>
    </w:p>
    <w:p>
      <w:pPr>
        <w:pStyle w:val="ListBullet"/>
        <w:spacing w:after="28" w:line="259" w:lineRule="auto"/>
      </w:pPr>
      <w:r>
        <w:rPr>
          <w:rFonts w:ascii="Calibri" w:hAnsi="Calibri" w:eastAsia="Microsoft YaHei"/>
          <w:color w:val="1F2933"/>
          <w:sz w:val="17"/>
        </w:rPr>
        <w:t>设计可通过匹配对照或小范围试点验证的后续路径。</w:t>
      </w:r>
    </w:p>
    <w:p>
      <w:pPr>
        <w:pStyle w:val="Heading1"/>
      </w:pPr>
      <w:r>
        <w:t>十三、风险与限制</w:t>
      </w:r>
    </w:p>
    <w:p>
      <w:pPr>
        <w:pStyle w:val="ListBullet"/>
        <w:spacing w:after="26" w:line="259" w:lineRule="auto"/>
      </w:pPr>
      <w:r>
        <w:rPr>
          <w:rFonts w:ascii="Calibri" w:hAnsi="Calibri" w:eastAsia="Microsoft YaHei"/>
          <w:color w:val="1F2933"/>
          <w:sz w:val="17"/>
        </w:rPr>
        <w:t>公开数据不能直接证明库存、曝光、竞争价格、利润等经营机制。</w:t>
      </w:r>
    </w:p>
    <w:p>
      <w:pPr>
        <w:pStyle w:val="ListBullet"/>
        <w:spacing w:after="26" w:line="259" w:lineRule="auto"/>
      </w:pPr>
      <w:r>
        <w:rPr>
          <w:rFonts w:ascii="Calibri" w:hAnsi="Calibri" w:eastAsia="Microsoft YaHei"/>
          <w:color w:val="1F2933"/>
          <w:sz w:val="17"/>
        </w:rPr>
        <w:t>成交SKU减少不等于供给收缩；部分变化来自订单量减少。</w:t>
      </w:r>
    </w:p>
    <w:p>
      <w:pPr>
        <w:pStyle w:val="ListBullet"/>
        <w:spacing w:after="26" w:line="259" w:lineRule="auto"/>
      </w:pPr>
      <w:r>
        <w:rPr>
          <w:rFonts w:ascii="Calibri" w:hAnsi="Calibri" w:eastAsia="Microsoft YaHei"/>
          <w:color w:val="1F2933"/>
          <w:sz w:val="17"/>
        </w:rPr>
        <w:t>结论用于定位核查对象和安排验证，不构成严格因果识别。</w:t>
      </w:r>
    </w:p>
    <w:p>
      <w:pPr>
        <w:pStyle w:val="ListBullet"/>
        <w:spacing w:after="26" w:line="259" w:lineRule="auto"/>
      </w:pPr>
      <w:r>
        <w:rPr>
          <w:rFonts w:ascii="Calibri" w:hAnsi="Calibri" w:eastAsia="Microsoft YaHei"/>
          <w:color w:val="1F2933"/>
          <w:sz w:val="17"/>
        </w:rPr>
        <w:t>未经真实试点，不声称建议已经带来GMV或ROI提升。</w:t>
      </w:r>
    </w:p>
    <w:p>
      <w:pPr>
        <w:pStyle w:val="Heading1"/>
      </w:pPr>
      <w:r>
        <w:t>十四、最终决策问题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/>
                <w:color w:val="2878B5"/>
                <w:sz w:val="18"/>
              </w:rPr>
              <w:t>管理层决策句｜</w:t>
            </w:r>
            <w:r>
              <w:rPr>
                <w:rFonts w:ascii="Calibri" w:hAnsi="Calibri" w:eastAsia="Microsoft YaHei"/>
                <w:b/>
                <w:color w:val="1F2933"/>
                <w:sz w:val="18"/>
              </w:rPr>
              <w:t>是否立即启动高贡献SKU专项核查，并仅对确认可恢复或可替代的SKU开展小范围对照试点？</w:t>
            </w:r>
          </w:p>
        </w:tc>
      </w:tr>
    </w:tbl>
    <w:p>
      <w:pPr>
        <w:pStyle w:val="Heading1"/>
      </w:pPr>
      <w:r>
        <w:t>招聘方价值与人工确认</w:t>
      </w:r>
    </w:p>
    <w:p>
      <w:pPr>
        <w:spacing w:after="30" w:line="254" w:lineRule="auto"/>
      </w:pPr>
      <w:r>
        <w:rPr>
          <w:rFonts w:ascii="Calibri" w:hAnsi="Calibri" w:eastAsia="Microsoft YaHei"/>
          <w:b/>
          <w:color w:val="173F59"/>
          <w:sz w:val="17"/>
        </w:rPr>
        <w:t>最值得关注的3项能力｜</w:t>
      </w:r>
      <w:r>
        <w:rPr>
          <w:rFonts w:ascii="Calibri" w:hAnsi="Calibri" w:eastAsia="Microsoft YaHei"/>
          <w:color w:val="1F2933"/>
          <w:sz w:val="17"/>
        </w:rPr>
        <w:t>业务问题定义与Stakeholder对齐；KPI拆解与证据边界管理；可复现分析到行动验证闭环。</w:t>
      </w:r>
    </w:p>
    <w:p>
      <w:pPr>
        <w:spacing w:after="30" w:line="254" w:lineRule="auto"/>
      </w:pPr>
      <w:r>
        <w:rPr>
          <w:rFonts w:ascii="Calibri" w:hAnsi="Calibri" w:eastAsia="Microsoft YaHei"/>
          <w:b/>
          <w:color w:val="173F59"/>
          <w:sz w:val="17"/>
        </w:rPr>
        <w:t>可直接用于BA/BI投递｜</w:t>
      </w:r>
      <w:r>
        <w:rPr>
          <w:rFonts w:ascii="Calibri" w:hAnsi="Calibri" w:eastAsia="Microsoft YaHei"/>
          <w:color w:val="1F2933"/>
          <w:sz w:val="17"/>
        </w:rPr>
        <w:t>项目背景、业务问题、Scope、Stakeholder、KPI树、分析路径、SQL/Notebook及Executive Summary。</w:t>
      </w:r>
    </w:p>
    <w:p>
      <w:pPr>
        <w:spacing w:after="30" w:line="254" w:lineRule="auto"/>
      </w:pPr>
      <w:r>
        <w:rPr>
          <w:rFonts w:ascii="Calibri" w:hAnsi="Calibri" w:eastAsia="Microsoft YaHei"/>
          <w:b/>
          <w:color w:val="173F59"/>
          <w:sz w:val="17"/>
        </w:rPr>
        <w:t>仍需人工确认｜</w:t>
      </w:r>
      <w:r>
        <w:rPr>
          <w:rFonts w:ascii="Calibri" w:hAnsi="Calibri" w:eastAsia="Microsoft YaHei"/>
          <w:color w:val="1F2933"/>
          <w:sz w:val="17"/>
        </w:rPr>
        <w:t>目标岗位偏好；作品集署名与时间；企业真实负责人和资源约束；库存/流量/利润数据可得性；试点分组与上线可行性。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50" w:left="144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Calibri" w:hAnsi="Calibri" w:eastAsia="Microsoft YaHei"/>
        <w:color w:val="60717E"/>
        <w:sz w:val="16"/>
      </w:rPr>
      <w:t xml:space="preserve">公开匿名数据｜项目立项说明｜Page </w:t>
    </w:r>
    <w:r>
      <w:rPr>
        <w:rFonts w:ascii="Calibri" w:hAnsi="Calibri" w:eastAsia="Microsoft YaHei"/>
        <w:color w:val="60717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60717E"/>
        <w:sz w:val="16"/>
      </w:rPr>
      <w:t>BUSINESS ANALYSIS PRD / PROJECT BRIEF</w:t>
    </w:r>
    <w:r>
      <w:tab/>
    </w:r>
    <w:r>
      <w:rPr>
        <w:rFonts w:ascii="Calibri" w:hAnsi="Calibri" w:eastAsia="Microsoft YaHei"/>
        <w:color w:val="60717E"/>
        <w:sz w:val="16"/>
      </w:rPr>
      <w:t>S-DA862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878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F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Microsoft YaHe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