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F3864"/>
          <w:sz w:val="56"/>
        </w:rPr>
        <w:t>Fiestaflare 跨境电商独立站</w:t>
      </w:r>
    </w:p>
    <w:p>
      <w:pPr>
        <w:jc w:val="center"/>
      </w:pPr>
      <w:r>
        <w:rPr>
          <w:rFonts w:ascii="Calibri" w:hAnsi="Calibri"/>
          <w:b/>
          <w:color w:val="1F3864"/>
          <w:sz w:val="48"/>
        </w:rPr>
        <w:t>运营方案 2026·V2</w:t>
      </w:r>
    </w:p>
    <w:p/>
    <w:p/>
    <w:p>
      <w:pPr>
        <w:jc w:val="center"/>
      </w:pPr>
      <w:r>
        <w:rPr>
          <w:color w:val="595959"/>
          <w:sz w:val="28"/>
        </w:rPr>
        <w:t>—— 义乌产业带 × 自建站 × CJDropshipping 海外仓 × DDP 合规清关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E8EDF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适用市场</w:t>
            </w:r>
          </w:p>
        </w:tc>
        <w:tc>
          <w:tcPr>
            <w:tcW w:type="dxa" w:w="4323"/>
            <w:shd w:val="clear" w:color="auto" w:fill="E8EDF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美国（海外仓）/ 欧盟 / 土耳其 / 中东（冷启动后）</w:t>
            </w:r>
          </w:p>
        </w:tc>
      </w:tr>
      <w:tr>
        <w:tc>
          <w:tcPr>
            <w:tcW w:type="dxa" w:w="4323"/>
            <w:shd w:val="clear" w:color="auto" w:fill="E8EDF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商业模式</w:t>
            </w:r>
          </w:p>
        </w:tc>
        <w:tc>
          <w:tcPr>
            <w:tcW w:type="dxa" w:w="4323"/>
            <w:shd w:val="clear" w:color="auto" w:fill="E8EDF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独立站直销（CJDropshipping + 中国直发 DDP）</w:t>
            </w:r>
          </w:p>
        </w:tc>
      </w:tr>
      <w:tr>
        <w:tc>
          <w:tcPr>
            <w:tcW w:type="dxa" w:w="4323"/>
            <w:shd w:val="clear" w:color="auto" w:fill="E8EDF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团队规模</w:t>
            </w:r>
          </w:p>
        </w:tc>
        <w:tc>
          <w:tcPr>
            <w:tcW w:type="dxa" w:w="4323"/>
            <w:shd w:val="clear" w:color="auto" w:fill="E8EDF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1-2 人（义乌创业团队）</w:t>
            </w:r>
          </w:p>
        </w:tc>
      </w:tr>
      <w:tr>
        <w:tc>
          <w:tcPr>
            <w:tcW w:type="dxa" w:w="4323"/>
            <w:shd w:val="clear" w:color="auto" w:fill="E8EDF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合规资质</w:t>
            </w:r>
          </w:p>
        </w:tc>
        <w:tc>
          <w:tcPr>
            <w:tcW w:type="dxa" w:w="4323"/>
            <w:shd w:val="clear" w:color="auto" w:fill="E8EDF5"/>
          </w:tcPr>
          <w:p>
            <w:pPr>
              <w:jc w:val="center"/>
            </w:pPr>
            <w:r>
              <w:rPr>
                <w:rFonts w:ascii="Calibri" w:hAnsi="Calibri"/>
                <w:sz w:val="22"/>
              </w:rPr>
              <w:t>欧代（GPSR）/ 土代备案 / 德国包装法（LUCID）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执行摘要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Fiestaflare 是一家根植于义乌产业带的跨境电商独立站品牌，聚焦时尚饰品、发饰、节庆派对用品及家居收纳四大品类，面向美国、欧盟（含德国）、土耳其及中东消费者提供"小批量、高频次、设计感"的供应链出海服务。团队 1-2 人运作，以轻资产模式运营，依托 CJDropshipping 美国仓实现本土化配送，同时以燕文/递四方 DDP 双清包税专线覆盖欧盟与土耳其市场，最大限度降低跨境合规门槛与资金占用。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本方案以"低成本合规启动→精细化测款迭代→数据驱动扩品"为核心路径，设计了从市场调研、选品策略、建站系统、流量获取到财务测算的完整运营框架。</w:t>
      </w:r>
    </w:p>
    <w:p/>
    <w:p>
      <w:r>
        <w:rPr>
          <w:b/>
          <w:sz w:val="24"/>
        </w:rPr>
        <w:t>核心运营指标目标（冷启动 6 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月均 GMV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$5,000 - $12,000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冷启动期保守估算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毛利率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45% - 65%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含平台手续费、物流成本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净利润率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15% - 25%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扣除退款、广告、运营成本后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广告 ROI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≥ 3.0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sz w:val="20"/>
              </w:rPr>
              <w:t>Facebook/Meta 主投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第一章 市场分析与目标市场</w:t>
      </w:r>
    </w:p>
    <w:p>
      <w:pPr>
        <w:pStyle w:val="Heading2"/>
        <w:jc w:val="left"/>
      </w:pPr>
      <w:r>
        <w:rPr>
          <w:color w:val="1F3864"/>
        </w:rPr>
        <w:t>1.1 全球电商市场机遇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义乌是全球最大的小商品供应链基地，时尚饰品、发饰、节庆派对用品及家居收纳的原材料成本比欧美市场低 60%-80%，具备极强的价格竞争力。近年来全球电商渗透率持续提升，美国电商规模突破 $1.1 万亿，欧盟电商用户超过 3.5 亿，土耳其互联网用户 6,700 万且电商增速位居全球前列，为义乌出海品牌提供了广阔的增长空间。</w:t>
      </w:r>
    </w:p>
    <w:p>
      <w:pPr>
        <w:pStyle w:val="Heading2"/>
        <w:jc w:val="left"/>
      </w:pPr>
      <w:r>
        <w:rPr>
          <w:color w:val="1F3864"/>
        </w:rPr>
        <w:t>1.2 目标市场选择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市场</w:t>
            </w:r>
          </w:p>
        </w:tc>
        <w:tc>
          <w:tcPr>
            <w:tcW w:type="dxa" w:w="172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物流模式</w:t>
            </w:r>
          </w:p>
        </w:tc>
        <w:tc>
          <w:tcPr>
            <w:tcW w:type="dxa" w:w="172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合规要求</w:t>
            </w:r>
          </w:p>
        </w:tc>
        <w:tc>
          <w:tcPr>
            <w:tcW w:type="dxa" w:w="172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税务处理</w:t>
            </w:r>
          </w:p>
        </w:tc>
        <w:tc>
          <w:tcPr>
            <w:tcW w:type="dxa" w:w="1729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启动优先级</w:t>
            </w:r>
          </w:p>
        </w:tc>
      </w:tr>
      <w:tr>
        <w:tc>
          <w:tcPr>
            <w:tcW w:type="dxa" w:w="1729"/>
            <w:shd w:val="clear" w:color="auto" w:fill="F2F5FA"/>
          </w:tcPr>
          <w:p>
            <w:r>
              <w:rPr>
                <w:sz w:val="19"/>
              </w:rPr>
              <w:t>美国</w:t>
            </w:r>
          </w:p>
        </w:tc>
        <w:tc>
          <w:tcPr>
            <w:tcW w:type="dxa" w:w="1729"/>
            <w:shd w:val="clear" w:color="auto" w:fill="F2F5FA"/>
          </w:tcPr>
          <w:p>
            <w:r>
              <w:rPr>
                <w:sz w:val="19"/>
              </w:rPr>
              <w:t>CJDropshipping 海外仓（2-4 工作日配送）</w:t>
            </w:r>
          </w:p>
        </w:tc>
        <w:tc>
          <w:tcPr>
            <w:tcW w:type="dxa" w:w="1729"/>
            <w:shd w:val="clear" w:color="auto" w:fill="F2F5FA"/>
          </w:tcPr>
          <w:p>
            <w:r>
              <w:rPr>
                <w:sz w:val="19"/>
              </w:rPr>
              <w:t>Economic Nexus（年销≥$100,000 或 200 笔触发）</w:t>
            </w:r>
          </w:p>
        </w:tc>
        <w:tc>
          <w:tcPr>
            <w:tcW w:type="dxa" w:w="1729"/>
            <w:shd w:val="clear" w:color="auto" w:fill="F2F5FA"/>
          </w:tcPr>
          <w:p>
            <w:r>
              <w:rPr>
                <w:sz w:val="19"/>
              </w:rPr>
              <w:t>TaxJar/Stripe Tax 代收代缴</w:t>
            </w:r>
          </w:p>
        </w:tc>
        <w:tc>
          <w:tcPr>
            <w:tcW w:type="dxa" w:w="1729"/>
            <w:shd w:val="clear" w:color="auto" w:fill="F2F5FA"/>
          </w:tcPr>
          <w:p>
            <w:r>
              <w:rPr>
                <w:sz w:val="19"/>
              </w:rPr>
              <w:t>★★★ 高</w:t>
            </w:r>
          </w:p>
        </w:tc>
      </w:tr>
      <w:tr>
        <w:tc>
          <w:tcPr>
            <w:tcW w:type="dxa" w:w="1729"/>
          </w:tcPr>
          <w:p>
            <w:r>
              <w:rPr>
                <w:sz w:val="19"/>
              </w:rPr>
              <w:t>欧盟（含德国）</w:t>
            </w:r>
          </w:p>
        </w:tc>
        <w:tc>
          <w:tcPr>
            <w:tcW w:type="dxa" w:w="1729"/>
          </w:tcPr>
          <w:p>
            <w:r>
              <w:rPr>
                <w:sz w:val="19"/>
              </w:rPr>
              <w:t>燕文/递四方 DDP</w:t>
            </w:r>
          </w:p>
        </w:tc>
        <w:tc>
          <w:tcPr>
            <w:tcW w:type="dxa" w:w="1729"/>
          </w:tcPr>
          <w:p>
            <w:r>
              <w:rPr>
                <w:sz w:val="19"/>
              </w:rPr>
              <w:t>GPSR 欧代 + 德国包装法（LUCID）</w:t>
            </w:r>
          </w:p>
        </w:tc>
        <w:tc>
          <w:tcPr>
            <w:tcW w:type="dxa" w:w="1729"/>
          </w:tcPr>
          <w:p>
            <w:r>
              <w:rPr>
                <w:sz w:val="19"/>
              </w:rPr>
              <w:t>DDP 专线代缴（低申报有追溯风险）</w:t>
            </w:r>
          </w:p>
        </w:tc>
        <w:tc>
          <w:tcPr>
            <w:tcW w:type="dxa" w:w="1729"/>
          </w:tcPr>
          <w:p>
            <w:r>
              <w:rPr>
                <w:sz w:val="19"/>
              </w:rPr>
              <w:t>★★★ 高</w:t>
            </w:r>
          </w:p>
        </w:tc>
      </w:tr>
      <w:tr>
        <w:tc>
          <w:tcPr>
            <w:tcW w:type="dxa" w:w="1729"/>
            <w:shd w:val="clear" w:color="auto" w:fill="F2F5FA"/>
          </w:tcPr>
          <w:p>
            <w:r>
              <w:rPr>
                <w:sz w:val="19"/>
              </w:rPr>
              <w:t>土耳其</w:t>
            </w:r>
          </w:p>
        </w:tc>
        <w:tc>
          <w:tcPr>
            <w:tcW w:type="dxa" w:w="1729"/>
            <w:shd w:val="clear" w:color="auto" w:fill="F2F5FA"/>
          </w:tcPr>
          <w:p>
            <w:r>
              <w:rPr>
                <w:sz w:val="19"/>
              </w:rPr>
              <w:t>燕文/递四方 DDP</w:t>
            </w:r>
          </w:p>
        </w:tc>
        <w:tc>
          <w:tcPr>
            <w:tcW w:type="dxa" w:w="1729"/>
            <w:shd w:val="clear" w:color="auto" w:fill="F2F5FA"/>
          </w:tcPr>
          <w:p>
            <w:r>
              <w:rPr>
                <w:sz w:val="19"/>
              </w:rPr>
              <w:t>土代备案（特定品类）+ 2026 年 2 月后取消免税</w:t>
            </w:r>
          </w:p>
        </w:tc>
        <w:tc>
          <w:tcPr>
            <w:tcW w:type="dxa" w:w="1729"/>
            <w:shd w:val="clear" w:color="auto" w:fill="F2F5FA"/>
          </w:tcPr>
          <w:p>
            <w:r>
              <w:rPr>
                <w:sz w:val="19"/>
              </w:rPr>
              <w:t>DDP 包税（2026 新规影响，需重新评估）</w:t>
            </w:r>
          </w:p>
        </w:tc>
        <w:tc>
          <w:tcPr>
            <w:tcW w:type="dxa" w:w="1729"/>
            <w:shd w:val="clear" w:color="auto" w:fill="F2F5FA"/>
          </w:tcPr>
          <w:p>
            <w:r>
              <w:rPr>
                <w:sz w:val="19"/>
              </w:rPr>
              <w:t>★★ 中</w:t>
            </w:r>
          </w:p>
        </w:tc>
      </w:tr>
      <w:tr>
        <w:tc>
          <w:tcPr>
            <w:tcW w:type="dxa" w:w="1729"/>
          </w:tcPr>
          <w:p>
            <w:r>
              <w:rPr>
                <w:sz w:val="19"/>
              </w:rPr>
              <w:t>中东（COD）</w:t>
            </w:r>
          </w:p>
        </w:tc>
        <w:tc>
          <w:tcPr>
            <w:tcW w:type="dxa" w:w="1729"/>
          </w:tcPr>
          <w:p>
            <w:r>
              <w:rPr>
                <w:sz w:val="19"/>
              </w:rPr>
              <w:t>暂缓开启</w:t>
            </w:r>
          </w:p>
        </w:tc>
        <w:tc>
          <w:tcPr>
            <w:tcW w:type="dxa" w:w="1729"/>
          </w:tcPr>
          <w:p>
            <w:r>
              <w:rPr>
                <w:sz w:val="19"/>
              </w:rPr>
              <w:t>COD 拒收率 15%-30%</w:t>
            </w:r>
          </w:p>
        </w:tc>
        <w:tc>
          <w:tcPr>
            <w:tcW w:type="dxa" w:w="1729"/>
          </w:tcPr>
          <w:p>
            <w:r>
              <w:rPr>
                <w:sz w:val="19"/>
              </w:rPr>
              <w:t>冷启动 GMV 稳定 $10,000+ 再评估</w:t>
            </w:r>
          </w:p>
        </w:tc>
        <w:tc>
          <w:tcPr>
            <w:tcW w:type="dxa" w:w="1729"/>
          </w:tcPr>
          <w:p>
            <w:r>
              <w:rPr>
                <w:sz w:val="19"/>
              </w:rPr>
              <w:t>★ 低（冷启动后）</w:t>
            </w:r>
          </w:p>
        </w:tc>
      </w:tr>
    </w:tbl>
    <w:p/>
    <w:p>
      <w:pPr>
        <w:pStyle w:val="Heading1"/>
        <w:jc w:val="left"/>
      </w:pPr>
      <w:r>
        <w:rPr>
          <w:color w:val="1F3864"/>
        </w:rPr>
        <w:t>第二章 产品线规划与选品策略</w:t>
      </w:r>
    </w:p>
    <w:p>
      <w:pPr>
        <w:pStyle w:val="Heading2"/>
        <w:jc w:val="left"/>
      </w:pPr>
      <w:r>
        <w:rPr>
          <w:color w:val="1F3864"/>
        </w:rPr>
        <w:t>2.1 四大核心品类</w:t>
      </w:r>
    </w:p>
    <w:p>
      <w:r>
        <w:rPr>
          <w:b/>
          <w:sz w:val="22"/>
        </w:rPr>
        <w:t>• 时尚饰品：</w:t>
      </w:r>
      <w:r>
        <w:rPr>
          <w:sz w:val="22"/>
        </w:rPr>
        <w:t>耳环、项链、手链、胸针等，以合金/贝母/醋酸材质为主，轻便低关税，适合空运与海外仓备货。</w:t>
      </w:r>
    </w:p>
    <w:p>
      <w:r>
        <w:rPr>
          <w:b/>
          <w:sz w:val="22"/>
        </w:rPr>
        <w:t>• 发饰：</w:t>
      </w:r>
      <w:r>
        <w:rPr>
          <w:sz w:val="22"/>
        </w:rPr>
        <w:t>发夹、发圈、发带、抓夹，义乌优势品类，SKU 丰富，节庆款季节性强，圣诞/万圣节提前 60-90 天备货。</w:t>
      </w:r>
    </w:p>
    <w:p>
      <w:r>
        <w:rPr>
          <w:b/>
          <w:sz w:val="22"/>
        </w:rPr>
        <w:t>• 节庆派对：</w:t>
      </w:r>
      <w:r>
        <w:rPr>
          <w:sz w:val="22"/>
        </w:rPr>
        <w:t>派对帽、生日装饰、节日灯串、派对道具。节庆类需提前规划：圣诞节点提前 60-90 天下单，提前 45-60 天入仓。</w:t>
      </w:r>
    </w:p>
    <w:p>
      <w:r>
        <w:rPr>
          <w:b/>
          <w:sz w:val="22"/>
        </w:rPr>
        <w:t>• 家居收纳：</w:t>
      </w:r>
      <w:r>
        <w:rPr>
          <w:sz w:val="22"/>
        </w:rPr>
        <w:t>桌面收纳盒、首饰收纳包、厨房收纳，标准化程度高，重量相对较大，适合 DDP 海运专线。</w:t>
      </w:r>
    </w:p>
    <w:p>
      <w:pPr>
        <w:pStyle w:val="Heading2"/>
        <w:jc w:val="left"/>
      </w:pPr>
      <w:r>
        <w:rPr>
          <w:color w:val="1F3864"/>
        </w:rPr>
        <w:t>2.2 选品原则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重量 &lt; 500g：控制物流成本，提升利润空间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客单价 $15-$50：中等价位，决策门槛低，复购潜力大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季节性强/节庆属性：便于营销节点运营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标准化程度高：降低退货率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义乌产业带直接采购：降低采购成本 60%+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避开液体/带电池/纯化妆品：高海关门槛品类</w:t>
      </w:r>
    </w:p>
    <w:p>
      <w:pPr>
        <w:pStyle w:val="Heading2"/>
        <w:jc w:val="left"/>
      </w:pPr>
      <w:r>
        <w:rPr>
          <w:color w:val="1F3864"/>
        </w:rPr>
        <w:t>2.3 欧盟关税合规说明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欧盟自 2026 年 7 月起对单票价值低于 €150 的 B2C 进口包裹统一征收 €3/件固定关税（原低价值包裹免税政策全面取消）。此前，€22 以下小包裹免税时代终结。该 €3/件关税由物流商通过 DDP 模式代缴，卖家需将此成本纳入产品定价的"到岸成本"核算中，不得低价申报规避，否则面临清关延误及补税追溯风险。</w:t>
      </w:r>
    </w:p>
    <w:p>
      <w:pPr>
        <w:pStyle w:val="Heading1"/>
        <w:jc w:val="left"/>
      </w:pPr>
      <w:r>
        <w:rPr>
          <w:color w:val="1F3864"/>
        </w:rPr>
        <w:t>第三章 独立站建站与系统架构</w:t>
      </w:r>
    </w:p>
    <w:p>
      <w:pPr>
        <w:pStyle w:val="Heading2"/>
        <w:jc w:val="left"/>
      </w:pPr>
      <w:r>
        <w:rPr>
          <w:color w:val="1F3864"/>
        </w:rPr>
        <w:t>3.1 建站系统推荐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1-2 人团队建议优先选择 Shopify 或 Shopline，具备以下优势：SaaS 托管降低技术门槛，App 生态完善（选品分析、邮件营销、ERP 同步），Payment gateway 直连（Stripe HK/Paddle/PayPal）。 WooCommerce 自建对技术能力要求较高，冷启动期不推荐。</w:t>
      </w:r>
    </w:p>
    <w:p>
      <w:pPr>
        <w:pStyle w:val="Heading2"/>
        <w:jc w:val="left"/>
      </w:pPr>
      <w:r>
        <w:rPr>
          <w:color w:val="1F3864"/>
        </w:rPr>
        <w:t>3.2 支付网关配置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注册主体要求</w:t>
            </w:r>
          </w:p>
        </w:tc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手续费</w:t>
            </w:r>
          </w:p>
        </w:tc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适用场景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Stripe HK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香港公司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约 3.4% + HK$2.35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美国/欧盟/土耳其主力收款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Paddle（MoR 模式）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中国大陆主体可用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约 5% 含税务服务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替代 Stripe 的合规收款方案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PayPal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个人/企业均可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约 3.5% + $0.3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买家信任度高，搭配 Stripe 使用</w:t>
            </w:r>
          </w:p>
        </w:tc>
      </w:tr>
    </w:tbl>
    <w:p/>
    <w:p>
      <w:pPr>
        <w:spacing w:before="0" w:after="120"/>
      </w:pPr>
      <w:r>
        <w:rPr>
          <w:rFonts w:ascii="Calibri" w:hAnsi="Calibri" w:eastAsia="宋体"/>
          <w:b w:val="0"/>
          <w:sz w:val="21"/>
        </w:rPr>
        <w:t>⚠️ 注意：中国大陆主体无法注册 Stripe 账户，需通过注册香港公司（Stripe HK）或美国公司来申请；Paddle 采用 Merchant of Record（MoR）模式，可合规覆盖更多国家且无需自有 Stripe 主体。Airwallex 不能替代 Stripe 作为支付网关主体使用。</w:t>
      </w:r>
    </w:p>
    <w:p>
      <w:pPr>
        <w:pStyle w:val="Heading2"/>
        <w:jc w:val="left"/>
      </w:pPr>
      <w:r>
        <w:rPr>
          <w:color w:val="1F3864"/>
        </w:rPr>
        <w:t>3.3 支付安全与风控（高风险）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PayPal 风控等级已升级为"高"。2026 年规则：买家投诉率超过 3% 即触发账户限制；永久封禁后资金冻结 180 天。必须严格执行：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发货后 48 小时内上传有效追踪号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账户余额不超过 2 周 GMV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保持投诉率 &lt; 2%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每日核查 PayPal Dashboard 风险指标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准备备用收款通道（Stripe/Paddle）以防主账户被封</w:t>
      </w:r>
    </w:p>
    <w:p>
      <w:pPr>
        <w:pStyle w:val="Heading1"/>
        <w:jc w:val="left"/>
      </w:pPr>
      <w:r>
        <w:rPr>
          <w:color w:val="1F3864"/>
        </w:rPr>
        <w:t>第四章 合规体系与税务架构</w:t>
      </w:r>
    </w:p>
    <w:p>
      <w:pPr>
        <w:pStyle w:val="Heading2"/>
        <w:jc w:val="left"/>
      </w:pPr>
      <w:r>
        <w:rPr>
          <w:color w:val="1F3864"/>
        </w:rPr>
        <w:t>4.1 已注册合规资质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2E74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资质</w:t>
            </w:r>
          </w:p>
        </w:tc>
        <w:tc>
          <w:tcPr>
            <w:tcW w:type="dxa" w:w="2161"/>
            <w:shd w:val="clear" w:color="auto" w:fill="2E74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适用市场</w:t>
            </w:r>
          </w:p>
        </w:tc>
        <w:tc>
          <w:tcPr>
            <w:tcW w:type="dxa" w:w="2161"/>
            <w:shd w:val="clear" w:color="auto" w:fill="2E74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年度费用（欧元）</w:t>
            </w:r>
          </w:p>
        </w:tc>
        <w:tc>
          <w:tcPr>
            <w:tcW w:type="dxa" w:w="2161"/>
            <w:shd w:val="clear" w:color="auto" w:fill="2E743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核心要点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欧代（GPSR）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欧盟全部 27 国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€200 - €500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必须包含真实技术文档托管 + 10 天内应答监管问询，不接受纯地址挂靠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土代备案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土耳其（特定品类）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€100 - €300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2025 年 4 月新规要求特定品类强制备案，2026 年 2 月取消小包裹免税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德国包装法（LUCID）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德国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€50 - €200（回收处理费）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年度回收处理费 €50-€200，非 $50，需在 LUCID 系统注册并申报包装数量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4.2 GPSR 欧代：技术文档要求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通用产品安全法规（GPSR, EU General Product Safety Regulation）要求在欧盟市场销售的所有消费品必须指定一名欧盟授权代表。欧代服务必须包含：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产品技术文档（产品规格、材料成分、使用说明）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CE 标志合规声明（若适用）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事故报告记录保存（10 年）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监管机构问询应答（10 个工作日内）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在欧盟境内设立实体或指定合规服务商（非仅邮政信箱）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选型建议：优先选择提供全套 GPSR 文档托管 + 监管应答服务的综合合规服务商，年度费用约 €300-€500，义乌本地有服务商提供该服务。前置成本：每市场合规预算 ≤ $100（欧代 + 土代 + 德国包装法均在已注册状态，续费年度内不再产生额外前置成本）。</w:t>
      </w:r>
    </w:p>
    <w:p>
      <w:pPr>
        <w:pStyle w:val="Heading2"/>
        <w:jc w:val="left"/>
      </w:pPr>
      <w:r>
        <w:rPr>
          <w:color w:val="1F3864"/>
        </w:rPr>
        <w:t>4.3 DDP 税务责任澄清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重要澄清：DDP（完税后交付）模式并不意味着卖家"转移"了税务责任。具体说明如下：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DDP 专线由物流商代缴进口关税及目的地国家 VAT，物流商向卖家收取含税报价。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卖家需确认物流商使用的是合规清关渠道，若物流商低报货值，卖家作为进口收货人仍面临海关追溯风险。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欧盟 2026 年 7 月起对 €150 以下 B2C 包裹统一征收 €3/件固定关税，无论是否使用 DDP，该费用均需由物流商代缴，并体现在卖家物流成本中。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土耳其 2026 年 2 月取消小包裹免税政策后，DDP 包税策略的性价比将受影响，需重新评估物流方案成本。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建议每季度核查 DDP 专线报价的关税结构，确保成本透明。</w:t>
      </w:r>
    </w:p>
    <w:p>
      <w:pPr>
        <w:pStyle w:val="Heading2"/>
        <w:jc w:val="left"/>
      </w:pPr>
      <w:r>
        <w:rPr>
          <w:color w:val="1F3864"/>
        </w:rPr>
        <w:t>4.4 美国 Economic Nexus 税务（2026 新动态）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截至 2026 年，美国 41 个州已实施 Economic Nexus 规定，卖家满足以下任一条件即触发税务关联义务：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年销售额 ≥ $100,000（该州内）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或年度交易笔数 ≥ 200 笔（该州内）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触发后须在该州注册卖家许可证（Seller's Permit）并代收代缴州销售税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推荐工具 TaxJar 或 Stripe Tax：自动计算消费者所在州税率并在结账时代收销售税，减少手动申报负担。初始注册可自行在州政府网站完成，无需聘请 CPA。</w:t>
      </w:r>
    </w:p>
    <w:p>
      <w:pPr>
        <w:pStyle w:val="Heading1"/>
        <w:jc w:val="left"/>
      </w:pPr>
      <w:r>
        <w:rPr>
          <w:color w:val="1F3864"/>
        </w:rPr>
        <w:t>第五章 物流体系与仓储方案</w:t>
      </w:r>
    </w:p>
    <w:p>
      <w:pPr>
        <w:pStyle w:val="Heading2"/>
        <w:jc w:val="left"/>
      </w:pPr>
      <w:r>
        <w:rPr>
          <w:color w:val="1F3864"/>
        </w:rPr>
        <w:t>5.1 美国市场：CJDropshipping 海外仓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美国市场采用 CJDropshipping 美国本地仓，具体参数如下：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color="auto" w:fill="E8F0FE"/>
          </w:tcPr>
          <w:p>
            <w:r>
              <w:rPr>
                <w:sz w:val="21"/>
              </w:rPr>
              <w:t>配送时效</w:t>
            </w:r>
          </w:p>
        </w:tc>
        <w:tc>
          <w:tcPr>
            <w:tcW w:type="dxa" w:w="4323"/>
          </w:tcPr>
          <w:p>
            <w:r>
              <w:rPr>
                <w:sz w:val="21"/>
              </w:rPr>
              <w:t>美国国内配送 2-4 个工作日</w:t>
            </w:r>
          </w:p>
        </w:tc>
      </w:tr>
      <w:tr>
        <w:tc>
          <w:tcPr>
            <w:tcW w:type="dxa" w:w="4323"/>
            <w:shd w:val="clear" w:color="auto" w:fill="E8F0FE"/>
          </w:tcPr>
          <w:p>
            <w:r>
              <w:rPr>
                <w:sz w:val="21"/>
              </w:rPr>
              <w:t>履约费用</w:t>
            </w:r>
          </w:p>
        </w:tc>
        <w:tc>
          <w:tcPr>
            <w:tcW w:type="dxa" w:w="4323"/>
          </w:tcPr>
          <w:p>
            <w:r>
              <w:rPr>
                <w:sz w:val="21"/>
              </w:rPr>
              <w:t>$3.00 - $4.50 / 单（1 磅以下，标准品类）</w:t>
            </w:r>
          </w:p>
        </w:tc>
      </w:tr>
      <w:tr>
        <w:tc>
          <w:tcPr>
            <w:tcW w:type="dxa" w:w="4323"/>
            <w:shd w:val="clear" w:color="auto" w:fill="E8F0FE"/>
          </w:tcPr>
          <w:p>
            <w:r>
              <w:rPr>
                <w:sz w:val="21"/>
              </w:rPr>
              <w:t>仓储费用</w:t>
            </w:r>
          </w:p>
        </w:tc>
        <w:tc>
          <w:tcPr>
            <w:tcW w:type="dxa" w:w="4323"/>
          </w:tcPr>
          <w:p>
            <w:r>
              <w:rPr>
                <w:sz w:val="21"/>
              </w:rPr>
              <w:t>前 30 天免费，超期按 $0.50/天/件收费</w:t>
            </w:r>
          </w:p>
        </w:tc>
      </w:tr>
      <w:tr>
        <w:tc>
          <w:tcPr>
            <w:tcW w:type="dxa" w:w="4323"/>
            <w:shd w:val="clear" w:color="auto" w:fill="E8F0FE"/>
          </w:tcPr>
          <w:p>
            <w:r>
              <w:rPr>
                <w:sz w:val="21"/>
              </w:rPr>
              <w:t>适用品类</w:t>
            </w:r>
          </w:p>
        </w:tc>
        <w:tc>
          <w:tcPr>
            <w:tcW w:type="dxa" w:w="4323"/>
          </w:tcPr>
          <w:p>
            <w:r>
              <w:rPr>
                <w:sz w:val="21"/>
              </w:rPr>
              <w:t>时尚饰品、发饰、节庆派对单品（轻便低重）</w:t>
            </w:r>
          </w:p>
        </w:tc>
      </w:tr>
      <w:tr>
        <w:tc>
          <w:tcPr>
            <w:tcW w:type="dxa" w:w="4323"/>
            <w:shd w:val="clear" w:color="auto" w:fill="E8F0FE"/>
          </w:tcPr>
          <w:p>
            <w:r>
              <w:rPr>
                <w:sz w:val="21"/>
              </w:rPr>
              <w:t>备货建议</w:t>
            </w:r>
          </w:p>
        </w:tc>
        <w:tc>
          <w:tcPr>
            <w:tcW w:type="dxa" w:w="4323"/>
          </w:tcPr>
          <w:p>
            <w:r>
              <w:rPr>
                <w:sz w:val="21"/>
              </w:rPr>
              <w:t>首批 50-100 件测款，旺季提前 30 天入仓</w:t>
            </w:r>
          </w:p>
        </w:tc>
      </w:tr>
      <w:tr>
        <w:tc>
          <w:tcPr>
            <w:tcW w:type="dxa" w:w="4323"/>
            <w:shd w:val="clear" w:color="auto" w:fill="E8F0FE"/>
          </w:tcPr>
          <w:p>
            <w:r>
              <w:rPr>
                <w:sz w:val="21"/>
              </w:rPr>
              <w:t>追踪率要求</w:t>
            </w:r>
          </w:p>
        </w:tc>
        <w:tc>
          <w:tcPr>
            <w:tcW w:type="dxa" w:w="4323"/>
          </w:tcPr>
          <w:p>
            <w:r>
              <w:rPr>
                <w:sz w:val="21"/>
              </w:rPr>
              <w:t>CJD 自动上传追踪号，需确保订单 48 小时内推送到 CJD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5.2 欧盟/土耳其市场：燕文/递四方 DDP 专线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欧盟和土耳其市场采用 DDP（Delivered Duty Paid）双清包税专线，物流商统一负责出口清关与目的国进口清关，并代缴关税及 VAT。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时效：欧盟 10-18 个工作日（土耳其 12-20 个工作日）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计费方式：按克重或件计费，具体报价待确认（联系燕文/递四方义乌揽收点获取实时报价）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关税备注：欧盟 €3/件固定关税（2026 年 7 月生效）及具体目的国税率均须纳入报价，待确认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土耳其：2026 年 2 月取消小包裹免税政策，DDP 包税策略成本上升，需重新评估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低申报风险：必须使用合规申报价值，保留采购凭证应对海关审查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数据核实：以上报价及政策参数建议直接联系燕文/递四方义乌揽收点确认，获取最新报价表</w:t>
      </w:r>
    </w:p>
    <w:p>
      <w:pPr>
        <w:spacing w:before="0" w:after="120"/>
      </w:pPr>
      <w:r>
        <w:rPr>
          <w:rFonts w:ascii="Calibri" w:hAnsi="Calibri" w:eastAsia="宋体"/>
          <w:b w:val="0"/>
          <w:sz w:val="20"/>
        </w:rPr>
        <w:t>⚠️ 数据说明：本方案中涉及的燕文 DDP 报价信息为参考市场行情，确切价格须联系燕文/递四方义乌揽收点实时确认。</w:t>
      </w:r>
    </w:p>
    <w:p>
      <w:pPr>
        <w:pStyle w:val="Heading2"/>
        <w:jc w:val="left"/>
      </w:pPr>
      <w:r>
        <w:rPr>
          <w:color w:val="1F3864"/>
        </w:rPr>
        <w:t>5.3 土耳其市场特殊说明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土耳其电商市场存在以下新规变化，须重点关注：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2025 年 4 月：特定品类（土耳其标准局强制目录产品）须完成土代备案，否则无法清关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2026 年 2 月：全面取消 €30 以下小包裹免税政策，DDP 包税性价比下降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物流建议：重新评估 DDP 专线报价，若成本上涨超过 20%，考虑提高免邮门槛或暂停土耳其市场</w:t>
      </w:r>
    </w:p>
    <w:p>
      <w:pPr>
        <w:pStyle w:val="Heading2"/>
        <w:jc w:val="left"/>
      </w:pPr>
      <w:r>
        <w:rPr>
          <w:color w:val="1F3864"/>
        </w:rPr>
        <w:t>5.4 中东 COD 模式（冷启动后评估）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中东市场 Cash on Delivery（COD）模式拒收率高达 15%-30%，对资金周转和运营效率影响极大。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冷启动阶段（月 GMV &lt; $10,000）不建议开启中东 COD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等月 GMV 稳定 $10,000+ 后，再评估是否开启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开启前需评估：物流商是否有中东 COD 专线支持、是否有本地退货处理能力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建议在土耳其和欧盟市场稳定后再考虑中东扩张</w:t>
      </w:r>
    </w:p>
    <w:p>
      <w:pPr>
        <w:pStyle w:val="Heading1"/>
        <w:jc w:val="left"/>
      </w:pPr>
      <w:r>
        <w:rPr>
          <w:color w:val="1F3864"/>
        </w:rPr>
        <w:t>第六章 流量获取与社交媒体运营</w:t>
      </w:r>
    </w:p>
    <w:p>
      <w:pPr>
        <w:pStyle w:val="Heading2"/>
        <w:jc w:val="left"/>
      </w:pPr>
      <w:r>
        <w:rPr>
          <w:color w:val="1F3864"/>
        </w:rPr>
        <w:t>6.1 流量渠道矩阵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流量类型</w:t>
            </w:r>
          </w:p>
        </w:tc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预算占比</w:t>
            </w:r>
          </w:p>
        </w:tc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核心指标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Facebook/Meta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社交广告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ROAS ≥ 3.0，CPA &lt; $15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Instagram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内容种草 + 广告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互动率 &gt; 3%，转化率 &gt; 1.5%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TikTok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短视频带货（Smart Performance Campaign）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视频完播率 &gt; 30%，点击率 &gt; 2%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Pinterest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自然流量（节庆/家居）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月引流 &gt; 500，转化率 &gt; 2%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6.2 Facebook/Meta 广告策略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商品目录广告（DPA）：上传完整商品目录，实现全品类自动化再营销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节庆专题广告：感恩节、圣诞、万圣节提前 30 天启动，配合节庆装饰素材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受众再营销：弃购用户（Cart Abandoners）投放专门的 15% OFF 折扣码广告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A/B 测试：每周测试 2-3 组创意素材和文案，保留 CTR &gt; 2% 的素材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Pixel 安装：确认网站安装 Meta Pixel，正确配置标准事件（ViewContent、AddToCart、Purchase）</w:t>
      </w:r>
    </w:p>
    <w:p>
      <w:pPr>
        <w:pStyle w:val="Heading2"/>
        <w:jc w:val="left"/>
      </w:pPr>
      <w:r>
        <w:rPr>
          <w:color w:val="1F3864"/>
        </w:rPr>
        <w:t>6.3 TikTok 广告（Smart Performance Campaign）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TikTok 广告产品对应的是 Smart Performance Campaign（智能效果广告），并非 Google 的 PMAX。TikTok Smart Performance Campaign 通过算法自动优化投放，实现：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自动选品：根据转化数据自动优先展示高转化商品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跨创意组合：AI 自动拼接素材，找到最优广告组合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简化操作：只需设置预算和优化目标，系统自动出价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适用场景：冷启动期快速测款，预算 $20-50/天</w:t>
      </w:r>
    </w:p>
    <w:p>
      <w:pPr>
        <w:pStyle w:val="Heading2"/>
        <w:jc w:val="left"/>
      </w:pPr>
      <w:r>
        <w:rPr>
          <w:color w:val="1F3864"/>
        </w:rPr>
        <w:t>6.4 季节性营销日历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节日</w:t>
            </w:r>
          </w:p>
        </w:tc>
        <w:tc>
          <w:tcPr>
            <w:tcW w:type="dxa" w:w="2161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营销节点</w:t>
            </w:r>
          </w:p>
        </w:tc>
        <w:tc>
          <w:tcPr>
            <w:tcW w:type="dxa" w:w="2161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提前备货下单</w:t>
            </w:r>
          </w:p>
        </w:tc>
        <w:tc>
          <w:tcPr>
            <w:tcW w:type="dxa" w:w="2161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提前入仓时间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情人节（2/14）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1月中旬-2月上旬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前一年12月中旬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1月中旬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母亲节（5月）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4月中旬-5月上旬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2月下旬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4月上旬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万圣节（10/31）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9月中旬-10月下旬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7月下旬-8月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9月中旬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感恩节（11月）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11月上旬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9月上旬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10月中旬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圣诞/新年（12月）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11月中旬-12月中旬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9月中旬-10月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10月下旬-11月中旬</w:t>
            </w:r>
          </w:p>
        </w:tc>
      </w:tr>
      <w:tr>
        <w:tc>
          <w:tcPr>
            <w:tcW w:type="dxa" w:w="2161"/>
          </w:tcPr>
          <w:p>
            <w:r>
              <w:rPr>
                <w:b/>
                <w:sz w:val="19"/>
              </w:rPr>
              <w:t>节庆备货周期说明</w:t>
            </w:r>
          </w:p>
        </w:tc>
        <w:tc>
          <w:tcPr>
            <w:tcW w:type="dxa" w:w="2161"/>
          </w:tcPr>
          <w:p>
            <w:r>
              <w:rPr>
                <w:b/>
                <w:sz w:val="19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b/>
                <w:sz w:val="19"/>
              </w:rPr>
              <w:t>至少提前60-90天下单</w:t>
            </w:r>
          </w:p>
        </w:tc>
        <w:tc>
          <w:tcPr>
            <w:tcW w:type="dxa" w:w="2161"/>
          </w:tcPr>
          <w:p>
            <w:r>
              <w:rPr>
                <w:b/>
                <w:sz w:val="19"/>
              </w:rPr>
              <w:t>提前45-60天入仓（不是45天）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节庆选品建议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节庆派对/圣诞装饰/礼品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提前规划节庆专属 SKU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提前 60 天完成选品确认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第七章 定价策略与财务模型</w:t>
      </w:r>
    </w:p>
    <w:p>
      <w:pPr>
        <w:pStyle w:val="Heading2"/>
        <w:jc w:val="left"/>
      </w:pPr>
      <w:r>
        <w:rPr>
          <w:color w:val="1F3864"/>
        </w:rPr>
        <w:t>7.1 定价原则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CIF 到岸成本定价：售价 ≥ 产品成本 + 国内物流 + 国际运费 + 关税（DDP） + 平台手续费 + 广告费用 + 预期利润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竞品对标定价：参考 Etsy、Amazon、eBay 同类商品价格带，确保价格竞争力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差异化溢价：节庆限定款、设计师联名款可溢价 20%-40%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免邮门槛设置：美国市场满 $35 免运费，欧盟满 €30 免运费（覆盖 DDP 成本）</w:t>
      </w:r>
    </w:p>
    <w:p>
      <w:pPr>
        <w:pStyle w:val="Heading2"/>
        <w:jc w:val="left"/>
      </w:pPr>
      <w:r>
        <w:rPr>
          <w:color w:val="1F3864"/>
        </w:rPr>
        <w:t>7.2 成本结构拆解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⚠️ 本节严格区分毛利率与净利润率，这是两个不同的财务指标：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• 毛利率 =（售价 - 产品成本 - 国内物流 - 国际运费 - 关税 - 平台手续费）/ 售价，反映核心商业模式的盈利能力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• 净利润率 =（净 GMV - 全部成本）/ 净 GMV，反映扣除所有运营成本后的最终收益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例：欧盟市场发饰产品，售价 $25：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成本项</w:t>
            </w:r>
          </w:p>
        </w:tc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金额</w:t>
            </w:r>
          </w:p>
        </w:tc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占售价比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产品成本（义乌采购）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$4.00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16%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国内物流（义务发国内）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$0.50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2%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DDP 国际运费 + 关税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$5.50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22%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平台手续费（Stripe/Paddle）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$0.88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3.5%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广告费用（GMV 的 15%）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$3.75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退款准备（净 GMV 端扣减）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按退款率 8% 估算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净利润（参考值）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$5.37 - $7.37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约 21%-29%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7.3 退款处理逻辑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退款不应在成本端额外列举，而应在收入端体现为净 GMV 的扣减：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净 GMV = GMV × (1 - 退款率)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退款率按行业均值 5%-10% 估算（时尚饰品退货率约 8%）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退款处理成本（退货物流）按 $1.50/单估算，计入净利润率计算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广告费用以实际净 GMV 为基数计算（避免退款订单浪费广告费）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退款率若超过 15%，须立即分析原因（尺码问题/描述不符/质量问题）并优化</w:t>
      </w:r>
    </w:p>
    <w:p>
      <w:pPr>
        <w:pStyle w:val="Heading2"/>
        <w:jc w:val="left"/>
      </w:pPr>
      <w:r>
        <w:rPr>
          <w:color w:val="1F3864"/>
        </w:rPr>
        <w:t>7.4 财务目标（冷启动 6 个月）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月份</w:t>
            </w:r>
          </w:p>
        </w:tc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 GMV</w:t>
            </w:r>
          </w:p>
        </w:tc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毛利率目标</w:t>
            </w:r>
          </w:p>
        </w:tc>
        <w:tc>
          <w:tcPr>
            <w:tcW w:type="dxa" w:w="216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净利润率目标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第 1-2 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$1,500 - $3,000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35% - 45%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5% - 10%（测款期）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第 3-4 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$3,000 - $6,000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45% - 55%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15% - 20%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第 5-6 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$6,000 - $12,000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55% - 65%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20% - 25%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第 7-12 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$10,000 - $20,000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55% - 65%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20% - 28%</w:t>
            </w:r>
          </w:p>
        </w:tc>
      </w:tr>
      <w:tr>
        <w:tc>
          <w:tcPr>
            <w:tcW w:type="dxa" w:w="2161"/>
          </w:tcPr>
          <w:p>
            <w:r>
              <w:rPr>
                <w:sz w:val="20"/>
              </w:rPr>
              <w:t>稳定期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$15,000+/月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55% - 65%</w:t>
            </w:r>
          </w:p>
        </w:tc>
        <w:tc>
          <w:tcPr>
            <w:tcW w:type="dxa" w:w="2161"/>
          </w:tcPr>
          <w:p>
            <w:r>
              <w:rPr>
                <w:sz w:val="20"/>
              </w:rPr>
              <w:t>22% - 30%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3864"/>
        </w:rPr>
        <w:t>第八章 客服与售后服务体系</w:t>
      </w:r>
    </w:p>
    <w:p>
      <w:pPr>
        <w:pStyle w:val="Heading2"/>
        <w:jc w:val="left"/>
      </w:pPr>
      <w:r>
        <w:rPr>
          <w:color w:val="1F3864"/>
        </w:rPr>
        <w:t>8.1 客服渠道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邮件支持：support@fiestaflare.com，响应时间 &lt; 24 小时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Facebook Messenger 聊天插件：实时响应，提升转化率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Instagram DM：配合社媒运营，统一在 Meta Business Suite 处理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WhatsApp（美国/中东）：可选，接入成本低</w:t>
      </w:r>
    </w:p>
    <w:p>
      <w:pPr>
        <w:pStyle w:val="Heading2"/>
        <w:jc w:val="left"/>
      </w:pPr>
      <w:r>
        <w:rPr>
          <w:color w:val="1F3864"/>
        </w:rPr>
        <w:t>8.2 退款政策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美国市场：30 天无理由退货，由 CJD 仓库处理，美国本地退回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欧盟/土耳其：14 天退货权（欧盟消费者法规定），提供预付费退件标签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退款处理时效：收到退货后 5 个工作日内退款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退款率监控：超过 10% 立即启动根因分析</w:t>
      </w:r>
    </w:p>
    <w:p>
      <w:pPr>
        <w:pStyle w:val="Heading2"/>
        <w:jc w:val="left"/>
      </w:pPr>
      <w:r>
        <w:rPr>
          <w:color w:val="1F3864"/>
        </w:rPr>
        <w:t>8.3 差评预防与管理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每笔订单发货后自动发送感谢邮件，附带"如何留下好评"引导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差评出现 24 小时内联系客户，争取修改评价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建立差评台账，每月分析差评原因并优化产品/描述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PayPal 投诉率严格控制在 3% 以下，避免账户风控</w:t>
      </w:r>
    </w:p>
    <w:p>
      <w:pPr>
        <w:pStyle w:val="Heading1"/>
        <w:jc w:val="left"/>
      </w:pPr>
      <w:r>
        <w:rPr>
          <w:color w:val="1F3864"/>
        </w:rPr>
        <w:t>第九章 团队分工与工作流程</w:t>
      </w:r>
    </w:p>
    <w:p>
      <w:pPr>
        <w:pStyle w:val="Heading2"/>
        <w:jc w:val="left"/>
      </w:pPr>
      <w:r>
        <w:rPr>
          <w:color w:val="1F3864"/>
        </w:rPr>
        <w:t>9.1 1-2 人团队分工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核心职责</w:t>
            </w:r>
          </w:p>
        </w:tc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创始人 A（主运营）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选品、采购、广告投放、客服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Shopify、Meta Ads Manager、Keepa、Jungle Scout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创始人 B（支持）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社媒内容、图文素材、订单管理、售后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Canva、Later、Pinterest Business、TikTok Creator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9.2 每日工作流程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上午：核查昨日订单，处理 PayPal/Stripe 到账，回复客服邮件（&lt; 24h SLA）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下午：Meta 广告数据复盘，调整当日广告预算和受众，执行选品调研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晚间：社媒内容发布（Instagram/TikTok），Pinterest 引流 pinning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每周：周一核查周 GMV，更新库存，周五完成广告周报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每月：1 日进行月度复盘，更新月度 GMV/净利润率目标，调整选品方向</w:t>
      </w:r>
    </w:p>
    <w:p>
      <w:pPr>
        <w:pStyle w:val="Heading2"/>
        <w:jc w:val="left"/>
      </w:pPr>
      <w:r>
        <w:rPr>
          <w:color w:val="1F3864"/>
        </w:rPr>
        <w:t>9.3 爆款生命周期管理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测款期（1-2 周）：$30-50/天广告费，快速收集 CTR 和转化数据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放量期（3-4 周）：广告 ROI &gt; 2.5 即可追加预算至 $80-150/天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稳定期：维持广告投放，同步开发同类 SKU，建立护城河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衰退期：CTR 下降超过 30%，立即暂停广告，开始清库存（降价或组合销售）</w:t>
      </w:r>
    </w:p>
    <w:p>
      <w:pPr>
        <w:pStyle w:val="Heading1"/>
        <w:jc w:val="left"/>
      </w:pPr>
      <w:r>
        <w:rPr>
          <w:color w:val="1F3864"/>
        </w:rPr>
        <w:t>第十章 风险管理与应急预案</w:t>
      </w:r>
    </w:p>
    <w:p>
      <w:pPr>
        <w:pStyle w:val="Heading2"/>
        <w:jc w:val="left"/>
      </w:pPr>
      <w:r>
        <w:rPr>
          <w:color w:val="1F3864"/>
        </w:rPr>
        <w:t>10.1 主要风险清单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风险类别</w:t>
            </w:r>
          </w:p>
        </w:tc>
        <w:tc>
          <w:tcPr>
            <w:tcW w:type="dxa" w:w="2161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具体风险</w:t>
            </w:r>
          </w:p>
        </w:tc>
        <w:tc>
          <w:tcPr>
            <w:tcW w:type="dxa" w:w="2161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发生概率</w:t>
            </w:r>
          </w:p>
        </w:tc>
        <w:tc>
          <w:tcPr>
            <w:tcW w:type="dxa" w:w="2161"/>
            <w:shd w:val="clear" w:color="auto" w:fill="C0000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合规风险</w:t>
            </w:r>
          </w:p>
        </w:tc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欧代服务商跑路/不合规</w:t>
            </w:r>
          </w:p>
        </w:tc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选择有实体办公地点的服务商，保留合同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物流风险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DDP 清关延误/补税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保留采购凭证，使用合规申报价值</w:t>
            </w:r>
          </w:p>
        </w:tc>
      </w:tr>
      <w:tr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支付风险</w:t>
            </w:r>
          </w:p>
        </w:tc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PayPal 账户被封（高风险）</w:t>
            </w:r>
          </w:p>
        </w:tc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高</w:t>
            </w:r>
          </w:p>
        </w:tc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备用 Stripe/Paddle，余额不超过 2 周 GMV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市场风险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土耳其 2026 新规影响 DDP 成本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重新评估土耳其市场报价，及时调整</w:t>
            </w:r>
          </w:p>
        </w:tc>
      </w:tr>
      <w:tr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产品风险</w:t>
            </w:r>
          </w:p>
        </w:tc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节庆款滞销/库存积压</w:t>
            </w:r>
          </w:p>
        </w:tc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161"/>
            <w:shd w:val="clear" w:color="auto" w:fill="FFF2F2"/>
          </w:tcPr>
          <w:p>
            <w:r>
              <w:rPr>
                <w:sz w:val="19"/>
              </w:rPr>
              <w:t>提前 60-90 天备货，首批量 50-100 件测款</w:t>
            </w:r>
          </w:p>
        </w:tc>
      </w:tr>
      <w:tr>
        <w:tc>
          <w:tcPr>
            <w:tcW w:type="dxa" w:w="2161"/>
          </w:tcPr>
          <w:p>
            <w:r>
              <w:rPr>
                <w:sz w:val="19"/>
              </w:rPr>
              <w:t>汇率风险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美元/欧元汇率波动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161"/>
          </w:tcPr>
          <w:p>
            <w:r>
              <w:rPr>
                <w:sz w:val="19"/>
              </w:rPr>
              <w:t>对冲工具：保持 $5,000 美元账户缓冲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10.2 PayPal 风控应急预案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鉴于 PayPal 风控等级已升级为"高"，建议按以下步骤准备应急预案：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备用收款：提前注册 Stripe HK（香港公司）或 Paddle 账户，作为紧急备用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余额控制：PayPal 账户余额始终不超过 2 周 GMV（建议不超过 $3,000）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每日监控：每日检查 PayPal Dashboard 投诉率和风险指标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资金分流：每日将 PayPal 余额提现至银行，避免大量资金在账户停留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申诉准备：账户若被限制，保留订单记录、发货证明、追踪号截图，第一时间提交申诉</w:t>
      </w:r>
    </w:p>
    <w:p>
      <w:pPr>
        <w:pStyle w:val="Heading2"/>
        <w:jc w:val="left"/>
      </w:pPr>
      <w:r>
        <w:rPr>
          <w:color w:val="1F3864"/>
        </w:rPr>
        <w:t>10.3 库存风险管理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CJD 美国仓首批备货不超过 100 件/ SKU，热销款再追加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节庆款：提前 60-90 天下单，提前 45-60 天入仓，滞销款及时降价清仓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义乌国内库存：保持 2 周销量 Buffer，避免断货影响广告投放</w:t>
      </w:r>
    </w:p>
    <w:p>
      <w:pPr>
        <w:pStyle w:val="Heading1"/>
        <w:jc w:val="left"/>
      </w:pPr>
      <w:r>
        <w:rPr>
          <w:color w:val="1F3864"/>
        </w:rPr>
        <w:t>附录</w:t>
      </w:r>
    </w:p>
    <w:p>
      <w:pPr>
        <w:pStyle w:val="Heading2"/>
        <w:jc w:val="left"/>
      </w:pPr>
      <w:r>
        <w:rPr>
          <w:color w:val="1F3864"/>
        </w:rPr>
        <w:t>附录 A：冷启动合规检查清单</w:t>
      </w:r>
    </w:p>
    <w:p>
      <w:r>
        <w:rPr>
          <w:rFonts w:ascii="Calibri" w:hAnsi="Calibri"/>
          <w:sz w:val="21"/>
        </w:rPr>
        <w:t>☐ 欧代（GPSR）：确认欧代服务包含技术文档托管 + 10 天内应答监管问询，不接受纯地址挂靠</w:t>
      </w:r>
    </w:p>
    <w:p>
      <w:r>
        <w:rPr>
          <w:rFonts w:ascii="Calibri" w:hAnsi="Calibri"/>
          <w:sz w:val="21"/>
        </w:rPr>
        <w:t>☐ 土代备案（特定品类）：已在土耳其标准局完成备案登记</w:t>
      </w:r>
    </w:p>
    <w:p>
      <w:r>
        <w:rPr>
          <w:rFonts w:ascii="Calibri" w:hAnsi="Calibri"/>
          <w:sz w:val="21"/>
        </w:rPr>
        <w:t>☐ 德国包装法（LUCID）：已在 LUCID 系统注册并完成年度申报，年度回收处理费 €50-€200 已缴纳</w:t>
      </w:r>
    </w:p>
    <w:p>
      <w:r>
        <w:rPr>
          <w:rFonts w:ascii="Calibri" w:hAnsi="Calibri"/>
          <w:sz w:val="21"/>
        </w:rPr>
        <w:t>☐ 支付网关：已注册 Stripe HK（香港公司）或 Paddle 账户</w:t>
      </w:r>
    </w:p>
    <w:p>
      <w:r>
        <w:rPr>
          <w:rFonts w:ascii="Calibri" w:hAnsi="Calibri"/>
          <w:sz w:val="21"/>
        </w:rPr>
        <w:t>☐ PayPal：已完成企业账户升级，风控规则已告知团队</w:t>
      </w:r>
    </w:p>
    <w:p>
      <w:r>
        <w:rPr>
          <w:rFonts w:ascii="Calibri" w:hAnsi="Calibri"/>
          <w:sz w:val="21"/>
        </w:rPr>
        <w:t>☐ Meta Business Suite：已创建广告账户，Pixel 已安装并验证</w:t>
      </w:r>
    </w:p>
    <w:p>
      <w:r>
        <w:rPr>
          <w:rFonts w:ascii="Calibri" w:hAnsi="Calibri"/>
          <w:sz w:val="21"/>
        </w:rPr>
        <w:t>☐ TikTok For Business：已注册账户，Smart Performance Campaign 已创建</w:t>
      </w:r>
    </w:p>
    <w:p>
      <w:r>
        <w:rPr>
          <w:rFonts w:ascii="Calibri" w:hAnsi="Calibri"/>
          <w:sz w:val="21"/>
        </w:rPr>
        <w:t>☐ CJDropshipping：已完成账号注册、商品同步、履约费确认</w:t>
      </w:r>
    </w:p>
    <w:p>
      <w:r>
        <w:rPr>
          <w:rFonts w:ascii="Calibri" w:hAnsi="Calibri"/>
          <w:sz w:val="21"/>
        </w:rPr>
        <w:t>☐ 燕文/递四方：已联系义乌揽收点，确认 DDP 报价（含欧盟 €3/件关税）</w:t>
      </w:r>
    </w:p>
    <w:p>
      <w:r>
        <w:rPr>
          <w:rFonts w:ascii="Calibri" w:hAnsi="Calibri"/>
          <w:sz w:val="21"/>
        </w:rPr>
        <w:t>☐ TaxJar/Stripe Tax：美国 Economic Nexus 州销售税注册已完成（触发条件前可先注册）</w:t>
      </w:r>
    </w:p>
    <w:p>
      <w:pPr>
        <w:pStyle w:val="Heading2"/>
        <w:jc w:val="left"/>
      </w:pPr>
      <w:r>
        <w:rPr>
          <w:color w:val="1F3864"/>
        </w:rPr>
        <w:t>附录 B：推荐工具清单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工具类别</w:t>
            </w:r>
          </w:p>
        </w:tc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推荐工具</w:t>
            </w:r>
          </w:p>
        </w:tc>
        <w:tc>
          <w:tcPr>
            <w:tcW w:type="dxa" w:w="288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建站系统</w:t>
            </w:r>
          </w:p>
        </w:tc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Shopify / Shopline</w:t>
            </w:r>
          </w:p>
        </w:tc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独立站搭建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支付网关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Stripe HK / Paddle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跨境收款</w:t>
            </w:r>
          </w:p>
        </w:tc>
      </w:tr>
      <w:tr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广告分析</w:t>
            </w:r>
          </w:p>
        </w:tc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Meta Ads Manager</w:t>
            </w:r>
          </w:p>
        </w:tc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Facebook/Instagram 广告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TikTok 广告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TikTok For Business（Smart Performance Campaign）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短视频带货</w:t>
            </w:r>
          </w:p>
        </w:tc>
      </w:tr>
      <w:tr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选品调研</w:t>
            </w:r>
          </w:p>
        </w:tc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Jungle Scout / Keepa</w:t>
            </w:r>
          </w:p>
        </w:tc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竞品数据分析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社媒管理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Later / Meta Business Suite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内容排期发布</w:t>
            </w:r>
          </w:p>
        </w:tc>
      </w:tr>
      <w:tr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图文设计</w:t>
            </w:r>
          </w:p>
        </w:tc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Canva</w:t>
            </w:r>
          </w:p>
        </w:tc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社媒图文素材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邮件营销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Klaviyo（Shopify App）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自动化邮件</w:t>
            </w:r>
          </w:p>
        </w:tc>
      </w:tr>
      <w:tr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美国税务</w:t>
            </w:r>
          </w:p>
        </w:tc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TaxJar / Stripe Tax</w:t>
            </w:r>
          </w:p>
        </w:tc>
        <w:tc>
          <w:tcPr>
            <w:tcW w:type="dxa" w:w="2882"/>
            <w:shd w:val="clear" w:color="auto" w:fill="F2F5FA"/>
          </w:tcPr>
          <w:p>
            <w:r>
              <w:rPr>
                <w:sz w:val="20"/>
              </w:rPr>
              <w:t>州销售税自动计算</w:t>
            </w:r>
          </w:p>
        </w:tc>
      </w:tr>
      <w:tr>
        <w:tc>
          <w:tcPr>
            <w:tcW w:type="dxa" w:w="2882"/>
          </w:tcPr>
          <w:p>
            <w:r>
              <w:rPr>
                <w:sz w:val="20"/>
              </w:rPr>
              <w:t>ERP 管理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店小秘 / 马帮</w:t>
            </w:r>
          </w:p>
        </w:tc>
        <w:tc>
          <w:tcPr>
            <w:tcW w:type="dxa" w:w="2882"/>
          </w:tcPr>
          <w:p>
            <w:r>
              <w:rPr>
                <w:sz w:val="20"/>
              </w:rPr>
              <w:t>订单/库存管理</w:t>
            </w:r>
          </w:p>
        </w:tc>
      </w:tr>
    </w:tbl>
    <w:p/>
    <w:p>
      <w:pPr>
        <w:pStyle w:val="Heading2"/>
        <w:jc w:val="left"/>
      </w:pPr>
      <w:r>
        <w:rPr>
          <w:color w:val="1F3864"/>
        </w:rPr>
        <w:t>附录 C：选品调研框架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冷启动期选品建议按以下框架筛选：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1. 义乌供应链匹配度：是否有现成供应商，MOQ ≤ 50 件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2. 重量体积：重量 &lt; 500g，体积小，降低国际运费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3. 竞品价格带：Etsy/Amazon 同款售价 $15-$45，义乌采购成本 &lt; $6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4. 广告素材可塑性：产品图片/视频是否适合社交媒体展示（高颜值/仪式感）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5. 季节性：优先选择全年可售 + 节庆属性兼备的品类，平滑季节波动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6. 专利/版权：避开仿牌和 IP 侵权产品（迪士尼、漫威等），选择原创设计或公版款式</w:t>
      </w:r>
    </w:p>
    <w:p>
      <w:pPr>
        <w:pStyle w:val="Heading2"/>
        <w:jc w:val="left"/>
      </w:pPr>
      <w:r>
        <w:rPr>
          <w:color w:val="1F3864"/>
        </w:rPr>
        <w:t>附录 D：关键指标仪表盘</w:t>
      </w:r>
    </w:p>
    <w:p>
      <w:pPr>
        <w:spacing w:before="0" w:after="120"/>
      </w:pPr>
      <w:r>
        <w:rPr>
          <w:rFonts w:ascii="Calibri" w:hAnsi="Calibri" w:eastAsia="宋体"/>
          <w:b w:val="0"/>
          <w:sz w:val="22"/>
        </w:rPr>
        <w:t>建议使用 Shopify Analytics 或 Google Sheets 建立关键指标追踪仪表盘，每周更新：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GMV（周/日）、净 GMV（扣除退款）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毛利率 vs 净利润率（区分清楚，不能混用）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广告 ROAS / CPA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退款率（目标 &lt; 8%）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PayPal 投诉率（目标 &lt; 3%）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CJD 库存周转天数</w:t>
      </w:r>
    </w:p>
    <w:p>
      <w:pPr>
        <w:pStyle w:val="ListBullet"/>
        <w:spacing w:after="60"/>
        <w:ind w:left="432"/>
      </w:pPr>
      <w:r>
        <w:rPr>
          <w:rFonts w:ascii="Calibri" w:hAnsi="Calibri" w:eastAsia="宋体"/>
          <w:sz w:val="21"/>
        </w:rPr>
        <w:t>客户复购率（月复购 &gt; 5%）</w:t>
      </w:r>
    </w:p>
    <w:p/>
    <w:p>
      <w:pPr>
        <w:pStyle w:val="Heading2"/>
        <w:jc w:val="left"/>
      </w:pPr>
      <w:r>
        <w:rPr>
          <w:color w:val="1F3864"/>
        </w:rPr>
        <w:t>附录 E：术语表</w:t>
      </w:r>
    </w:p>
    <w:p>
      <w:pPr>
        <w:spacing w:after="80"/>
      </w:pPr>
      <w:r>
        <w:rPr>
          <w:b/>
          <w:sz w:val="21"/>
        </w:rPr>
        <w:t>CIF：</w:t>
      </w:r>
      <w:r>
        <w:rPr>
          <w:sz w:val="21"/>
        </w:rPr>
        <w:t>Cost, Insurance and Freight，到岸价，包含成本、保险和运费</w:t>
      </w:r>
    </w:p>
    <w:p>
      <w:pPr>
        <w:spacing w:after="80"/>
      </w:pPr>
      <w:r>
        <w:rPr>
          <w:b/>
          <w:sz w:val="21"/>
        </w:rPr>
        <w:t>DDP：</w:t>
      </w:r>
      <w:r>
        <w:rPr>
          <w:sz w:val="21"/>
        </w:rPr>
        <w:t>Delivered Duty Paid，完税后交付，物流商代缴关税及VAT</w:t>
      </w:r>
    </w:p>
    <w:p>
      <w:pPr>
        <w:spacing w:after="80"/>
      </w:pPr>
      <w:r>
        <w:rPr>
          <w:b/>
          <w:sz w:val="21"/>
        </w:rPr>
        <w:t>Economic Nexus：</w:t>
      </w:r>
      <w:r>
        <w:rPr>
          <w:sz w:val="21"/>
        </w:rPr>
        <w:t>经济关联，美国各州对跨境卖家设定的销售税注册门槛</w:t>
      </w:r>
    </w:p>
    <w:p>
      <w:pPr>
        <w:spacing w:after="80"/>
      </w:pPr>
      <w:r>
        <w:rPr>
          <w:b/>
          <w:sz w:val="21"/>
        </w:rPr>
        <w:t>GPSR：</w:t>
      </w:r>
      <w:r>
        <w:rPr>
          <w:sz w:val="21"/>
        </w:rPr>
        <w:t>EU General Product Safety Regulation，欧盟通用产品安全法规</w:t>
      </w:r>
    </w:p>
    <w:p>
      <w:pPr>
        <w:spacing w:after="80"/>
      </w:pPr>
      <w:r>
        <w:rPr>
          <w:b/>
          <w:sz w:val="21"/>
        </w:rPr>
        <w:t>ROAS：</w:t>
      </w:r>
      <w:r>
        <w:rPr>
          <w:sz w:val="21"/>
        </w:rPr>
        <w:t>Return on Ad Spend，广告支出回报率</w:t>
      </w:r>
    </w:p>
    <w:p>
      <w:pPr>
        <w:spacing w:after="80"/>
      </w:pPr>
      <w:r>
        <w:rPr>
          <w:b/>
          <w:sz w:val="21"/>
        </w:rPr>
        <w:t>CPA：</w:t>
      </w:r>
      <w:r>
        <w:rPr>
          <w:sz w:val="21"/>
        </w:rPr>
        <w:t>Cost per Acquisition，单次获客成本</w:t>
      </w:r>
    </w:p>
    <w:p>
      <w:pPr>
        <w:spacing w:after="80"/>
      </w:pPr>
      <w:r>
        <w:rPr>
          <w:b/>
          <w:sz w:val="21"/>
        </w:rPr>
        <w:t>COD：</w:t>
      </w:r>
      <w:r>
        <w:rPr>
          <w:sz w:val="21"/>
        </w:rPr>
        <w:t>Cash on Delivery，货到付款</w:t>
      </w:r>
    </w:p>
    <w:p>
      <w:pPr>
        <w:spacing w:after="80"/>
      </w:pPr>
      <w:r>
        <w:rPr>
          <w:b/>
          <w:sz w:val="21"/>
        </w:rPr>
        <w:t>MoR：</w:t>
      </w:r>
      <w:r>
        <w:rPr>
          <w:sz w:val="21"/>
        </w:rPr>
        <w:t>Merchant of Record，商户记录模式，第三方代缴税款</w:t>
      </w:r>
    </w:p>
    <w:p>
      <w:pPr>
        <w:spacing w:after="80"/>
      </w:pPr>
      <w:r>
        <w:rPr>
          <w:b/>
          <w:sz w:val="21"/>
        </w:rPr>
        <w:t>PMAX：</w:t>
      </w:r>
      <w:r>
        <w:rPr>
          <w:sz w:val="21"/>
        </w:rPr>
        <w:t>Performance Max，Google广告产品（注意TikTok对应产品为Smart Performance Campaign）</w:t>
      </w:r>
    </w:p>
    <w:p/>
    <w:p>
      <w:pPr>
        <w:jc w:val="center"/>
      </w:pPr>
      <w:r>
        <w:rPr>
          <w:color w:val="808080"/>
          <w:sz w:val="18"/>
        </w:rPr>
        <w:t>Fiestaflare 独立站运营方案 2026·V2 | 机密文件 | 请勿外传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