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</w:pPr>
      <w:r>
        <w:t>航旅数字画像项目实施指南</w:t>
      </w:r>
    </w:p>
    <w:p>
      <w:r>
        <w:rPr>
          <w:rFonts w:ascii="宋体" w:hAnsi="宋体" w:eastAsia="宋体"/>
          <w:b w:val="0"/>
          <w:color w:val="000000"/>
          <w:sz w:val="22"/>
        </w:rPr>
        <w:t>中国研究生企业管理创新大赛数字技术应用专项</w:t>
      </w:r>
    </w:p>
    <w:p>
      <w:r>
        <w:rPr>
          <w:rFonts w:ascii="宋体" w:hAnsi="宋体" w:eastAsia="宋体"/>
          <w:b w:val="0"/>
          <w:color w:val="000000"/>
          <w:sz w:val="22"/>
        </w:rPr>
        <w:t>钻石命题2 东航研发航旅数字画像</w:t>
      </w:r>
    </w:p>
    <w:p>
      <w:r>
        <w:rPr>
          <w:rFonts w:ascii="宋体" w:hAnsi="宋体" w:eastAsia="宋体"/>
          <w:b w:val="0"/>
          <w:color w:val="000000"/>
          <w:sz w:val="22"/>
        </w:rPr>
        <w:t>版本 1.0　2026年9月27日</w:t>
      </w:r>
    </w:p>
    <w:p>
      <w:r>
        <w:rPr>
          <w:rFonts w:ascii="宋体" w:hAnsi="宋体" w:eastAsia="宋体"/>
          <w:b w:val="0"/>
          <w:color w:val="000000"/>
          <w:sz w:val="22"/>
        </w:rPr>
        <w:t>本指南用于安排参赛项目的研究、方案设计、验证和报告写作。项目要回答的核心问题是：如何利用节假日前的公开出行需求信号，发现潜在客群，将需求与航空产品匹配，并通过个性化内容和渠道协同形成可评估的营销方案。</w:t>
      </w:r>
    </w:p>
    <w:p>
      <w:r>
        <w:rPr>
          <w:rFonts w:ascii="宋体" w:hAnsi="宋体" w:eastAsia="宋体"/>
          <w:b w:val="0"/>
          <w:color w:val="000000"/>
          <w:sz w:val="22"/>
        </w:rPr>
      </w:r>
      <w:r>
        <w:rPr>
          <w:rFonts w:ascii="宋体" w:hAnsi="宋体" w:eastAsia="宋体"/>
          <w:b/>
          <w:color w:val="000000"/>
          <w:sz w:val="22"/>
        </w:rPr>
        <w:t>当前阶段先形成完整思路和实施框架。</w:t>
      </w:r>
      <w:r>
        <w:rPr>
          <w:rFonts w:ascii="宋体" w:hAnsi="宋体" w:eastAsia="宋体"/>
          <w:b w:val="0"/>
          <w:color w:val="000000"/>
          <w:sz w:val="22"/>
        </w:rPr>
        <w:t xml:space="preserve"> 建议以一个节假日窗口和少量旅游航线作为试点，先做公开信息研究及规则基线，再决定是否开发原型。仓库中已有的合成数据演示可作参考，不作为本阶段必须继续开发的任务。</w:t>
      </w:r>
    </w:p>
    <w:p>
      <w:r>
        <w:rPr>
          <w:rFonts w:ascii="宋体" w:hAnsi="宋体" w:eastAsia="宋体"/>
          <w:b w:val="0"/>
          <w:color w:val="000000"/>
          <w:sz w:val="22"/>
        </w:rPr>
        <w:t>补充攻略提出企业无法提供真实数据。本计划因此采用“公开聚合信息用于市场洞察，沙盒数据用于个人画像与流程验证”的路线。公开搜索指数或内容热度不能直接还原具体旅客身份，也不能自动获得营销触达授权。</w:t>
      </w:r>
    </w:p>
    <w:p>
      <w:pPr>
        <w:pStyle w:val="Heading2"/>
      </w:pPr>
      <w:r>
        <w:t>阅读路线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64"/>
        <w:gridCol w:w="5647"/>
      </w:tblGrid>
      <w:tr>
        <w:trPr>
          <w:cantSplit/>
          <w:tblHeader/>
        </w:trPr>
        <w:tc>
          <w:tcPr>
            <w:tcW w:type="dxa" w:w="3764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团队要解决的问题</w:t>
            </w:r>
          </w:p>
        </w:tc>
        <w:tc>
          <w:tcPr>
            <w:tcW w:type="dxa" w:w="5647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阅读位置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项目要做成什么 为什么值得做</w:t>
            </w:r>
          </w:p>
        </w:tc>
        <w:tc>
          <w:tcPr>
            <w:tcW w:type="dxa" w:w="564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第一章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没有企业数据怎样开展研究</w:t>
            </w:r>
          </w:p>
        </w:tc>
        <w:tc>
          <w:tcPr>
            <w:tcW w:type="dxa" w:w="5647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第二章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画像 推荐 AIGC和渠道如何衔接</w:t>
            </w:r>
          </w:p>
        </w:tc>
        <w:tc>
          <w:tcPr>
            <w:tcW w:type="dxa" w:w="564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第三至六章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怎样证明方案有效 算经济账</w:t>
            </w:r>
          </w:p>
        </w:tc>
        <w:tc>
          <w:tcPr>
            <w:tcW w:type="dxa" w:w="5647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第七至八章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怎样分工 在GitHub组织工作</w:t>
            </w:r>
          </w:p>
        </w:tc>
        <w:tc>
          <w:tcPr>
            <w:tcW w:type="dxa" w:w="564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第九章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报告怎么写 交付前检查什么</w:t>
            </w:r>
          </w:p>
        </w:tc>
        <w:tc>
          <w:tcPr>
            <w:tcW w:type="dxa" w:w="5647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第十章</w:t>
            </w:r>
          </w:p>
        </w:tc>
      </w:tr>
    </w:tbl>
    <w:p>
      <w:pPr>
        <w:spacing w:after="40" w:before="0"/>
      </w:pPr>
      <w:r>
        <w:rPr>
          <w:rFonts w:ascii="宋体" w:hAnsi="宋体" w:eastAsia="宋体"/>
          <w:b w:val="0"/>
          <w:color w:val="000000"/>
          <w:sz w:val="6"/>
        </w:rPr>
      </w:r>
    </w:p>
    <w:p>
      <w:r>
        <w:rPr>
          <w:rFonts w:ascii="宋体" w:hAnsi="宋体" w:eastAsia="宋体"/>
          <w:b w:val="0"/>
          <w:color w:val="000000"/>
          <w:sz w:val="22"/>
        </w:rPr>
        <w:t>完整主线为：公开需求信号 → 需求识别 → 市场客群与沙盒画像 → 航空产品匹配 → 内容生成 → 渠道及推送时机 → 效果反馈。</w:t>
      </w:r>
    </w:p>
    <w:p>
      <w:pPr>
        <w:pStyle w:val="Heading1"/>
        <w:pageBreakBefore/>
      </w:pPr>
      <w:r>
        <w:t>第一章 明确项目问题和研究范围</w:t>
      </w:r>
    </w:p>
    <w:p>
      <w:pPr>
        <w:pStyle w:val="Heading2"/>
      </w:pPr>
      <w:r>
        <w:t>先选一个可以完成的场景</w:t>
      </w:r>
    </w:p>
    <w:p>
      <w:r>
        <w:rPr>
          <w:rFonts w:ascii="宋体" w:hAnsi="宋体" w:eastAsia="宋体"/>
          <w:b w:val="0"/>
          <w:color w:val="000000"/>
          <w:sz w:val="22"/>
        </w:rPr>
        <w:t>建议先确定一个节假日、一个主要出发区域和三至五个目的地。例如可用“国庆前的旅游航线营销”作为研究场景，但具体航线、节日年份、价格和供给信息必须从可核验资料中确定。已有演示航线及票价仅为虚构示例。</w:t>
      </w:r>
    </w:p>
    <w:p>
      <w:r>
        <w:rPr>
          <w:rFonts w:ascii="宋体" w:hAnsi="宋体" w:eastAsia="宋体"/>
          <w:b w:val="0"/>
          <w:color w:val="000000"/>
          <w:sz w:val="22"/>
        </w:rPr>
        <w:t>以“尚未购票但表现出出游兴趣的客群”为研究对象，分析传统历史订单和会员标签难以及时捕捉的需求变化。把市场洞察、产品匹配和营销运营放在同一链路中，避免只研究单独的画像工具或文案生成工具。</w:t>
      </w:r>
    </w:p>
    <w:p>
      <w:pPr>
        <w:pStyle w:val="Heading2"/>
      </w:pPr>
      <w:r>
        <w:t>形成三个研究问题</w:t>
      </w:r>
    </w:p>
    <w:p>
      <w:r>
        <w:rPr>
          <w:rFonts w:ascii="宋体" w:hAnsi="宋体" w:eastAsia="宋体"/>
          <w:b w:val="0"/>
          <w:color w:val="000000"/>
          <w:sz w:val="22"/>
        </w:rPr>
        <w:t>1. 公开的目的地搜索与内容热度，能否提供比静态热门榜更及时的旅游需求信号。</w:t>
      </w:r>
    </w:p>
    <w:p>
      <w:r>
        <w:rPr>
          <w:rFonts w:ascii="宋体" w:hAnsi="宋体" w:eastAsia="宋体"/>
          <w:b w:val="0"/>
          <w:color w:val="000000"/>
          <w:sz w:val="22"/>
        </w:rPr>
        <w:t>2. 将地区、节日窗口、兴趣主题和预算情景结合，怎样匹配可售航空产品并解释推荐理由。</w:t>
      </w:r>
    </w:p>
    <w:p>
      <w:r>
        <w:rPr>
          <w:rFonts w:ascii="宋体" w:hAnsi="宋体" w:eastAsia="宋体"/>
          <w:b w:val="0"/>
          <w:color w:val="000000"/>
          <w:sz w:val="22"/>
        </w:rPr>
        <w:t>3. 按客群设计内容、渠道与时机，怎样减少无效打扰，并用一致口径验证价值。</w:t>
      </w:r>
    </w:p>
    <w:p>
      <w:pPr>
        <w:pStyle w:val="Heading2"/>
      </w:pPr>
      <w:r>
        <w:t>写出一页项目定义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64"/>
        <w:gridCol w:w="5647"/>
      </w:tblGrid>
      <w:tr>
        <w:trPr>
          <w:cantSplit/>
          <w:tblHeader/>
        </w:trPr>
        <w:tc>
          <w:tcPr>
            <w:tcW w:type="dxa" w:w="3764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项目要素</w:t>
            </w:r>
          </w:p>
        </w:tc>
        <w:tc>
          <w:tcPr>
            <w:tcW w:type="dxa" w:w="5647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具体写法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服务对象</w:t>
            </w:r>
          </w:p>
        </w:tc>
        <w:tc>
          <w:tcPr>
            <w:tcW w:type="dxa" w:w="564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航司节假日营销团队及产品运营团队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目标场景</w:t>
            </w:r>
          </w:p>
        </w:tc>
        <w:tc>
          <w:tcPr>
            <w:tcW w:type="dxa" w:w="5647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指定节日 指定客源区域 指定目的地集合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核心决策</w:t>
            </w:r>
          </w:p>
        </w:tc>
        <w:tc>
          <w:tcPr>
            <w:tcW w:type="dxa" w:w="564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推什么产品 对什么客群 用什么内容 何时经何渠道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数据边界</w:t>
            </w:r>
          </w:p>
        </w:tc>
        <w:tc>
          <w:tcPr>
            <w:tcW w:type="dxa" w:w="5647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公开聚合信号与沙盒数据 不依赖未获许可的个人轨迹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当前交付</w:t>
            </w:r>
          </w:p>
        </w:tc>
        <w:tc>
          <w:tcPr>
            <w:tcW w:type="dxa" w:w="564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研究方案 数据计划 技术路线 管理建议 验证设计 报告骨架</w:t>
            </w:r>
          </w:p>
        </w:tc>
      </w:tr>
    </w:tbl>
    <w:p>
      <w:pPr>
        <w:spacing w:after="40" w:before="0"/>
      </w:pPr>
      <w:r>
        <w:rPr>
          <w:rFonts w:ascii="宋体" w:hAnsi="宋体" w:eastAsia="宋体"/>
          <w:b w:val="0"/>
          <w:color w:val="000000"/>
          <w:sz w:val="6"/>
        </w:rPr>
      </w:r>
    </w:p>
    <w:p>
      <w:r>
        <w:rPr>
          <w:rFonts w:ascii="宋体" w:hAnsi="宋体" w:eastAsia="宋体"/>
          <w:b w:val="0"/>
          <w:color w:val="000000"/>
          <w:sz w:val="22"/>
        </w:rPr>
      </w:r>
      <w:r>
        <w:rPr>
          <w:rFonts w:ascii="宋体" w:hAnsi="宋体" w:eastAsia="宋体"/>
          <w:b/>
          <w:color w:val="000000"/>
          <w:sz w:val="22"/>
        </w:rPr>
        <w:t>交付物</w:t>
      </w:r>
      <w:r>
        <w:rPr>
          <w:rFonts w:ascii="宋体" w:hAnsi="宋体" w:eastAsia="宋体"/>
          <w:b w:val="0"/>
          <w:color w:val="000000"/>
          <w:sz w:val="22"/>
        </w:rPr>
        <w:t>：项目定义页、研究问题清单、需求流程图。</w:t>
      </w:r>
      <w:r>
        <w:rPr>
          <w:rFonts w:ascii="宋体" w:hAnsi="宋体" w:eastAsia="宋体"/>
          <w:b/>
          <w:color w:val="000000"/>
          <w:sz w:val="22"/>
        </w:rPr>
        <w:t>验收</w:t>
      </w:r>
      <w:r>
        <w:rPr>
          <w:rFonts w:ascii="宋体" w:hAnsi="宋体" w:eastAsia="宋体"/>
          <w:b w:val="0"/>
          <w:color w:val="000000"/>
          <w:sz w:val="22"/>
        </w:rPr>
        <w:t>：每个模块能说明服务哪项业务决策；范围足够小，团队可以在比赛期限内完成。</w:t>
      </w:r>
    </w:p>
    <w:p>
      <w:pPr>
        <w:pStyle w:val="Heading1"/>
        <w:pageBreakBefore/>
      </w:pPr>
      <w:r>
        <w:t>第二章 建立公开信息和沙盒数据路线</w:t>
      </w:r>
    </w:p>
    <w:p>
      <w:pPr>
        <w:pStyle w:val="Heading2"/>
      </w:pPr>
      <w:r>
        <w:t>第一步 建立数据来源台账</w:t>
      </w:r>
    </w:p>
    <w:p>
      <w:r>
        <w:rPr>
          <w:rFonts w:ascii="宋体" w:hAnsi="宋体" w:eastAsia="宋体"/>
          <w:b w:val="0"/>
          <w:color w:val="000000"/>
          <w:sz w:val="22"/>
        </w:rPr>
        <w:t>优先选择可以访问、用途清楚且可引用的数据，不预设平台一定开放个人搜索、收藏或订单记录。旅游平台、内容社区和生活服务平台可以列入调研候选，但其个人行为不是默认可获取的数据。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59"/>
        <w:gridCol w:w="3764"/>
        <w:gridCol w:w="3388"/>
      </w:tblGrid>
      <w:tr>
        <w:trPr>
          <w:cantSplit/>
          <w:tblHeader/>
        </w:trPr>
        <w:tc>
          <w:tcPr>
            <w:tcW w:type="dxa" w:w="2259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信息类别</w:t>
            </w:r>
          </w:p>
        </w:tc>
        <w:tc>
          <w:tcPr>
            <w:tcW w:type="dxa" w:w="3764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用途</w:t>
            </w:r>
          </w:p>
        </w:tc>
        <w:tc>
          <w:tcPr>
            <w:tcW w:type="dxa" w:w="3388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记录要点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公开搜索指数或趋势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目的地需求变化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来源地区 时间粒度 查询词 授权条件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公开攻略和话题统计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兴趣主题与市场热点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样本范围 采样方法 去重规则 来源链接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公开旅游统计和行业资料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企业诊断与背景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发布时间 统计口径 原文页码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官方产品和航线信息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需求与供给匹配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查询日期 航线 价格条件 有效期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沙盒旅客和反馈数据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演示个人画像及闭环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生成规则 随机种子 假设与合成标识</w:t>
            </w:r>
          </w:p>
        </w:tc>
      </w:tr>
    </w:tbl>
    <w:p>
      <w:pPr>
        <w:spacing w:after="40" w:before="0"/>
      </w:pPr>
      <w:r>
        <w:rPr>
          <w:rFonts w:ascii="宋体" w:hAnsi="宋体" w:eastAsia="宋体"/>
          <w:b w:val="0"/>
          <w:color w:val="000000"/>
          <w:sz w:val="6"/>
        </w:rPr>
      </w:r>
    </w:p>
    <w:p>
      <w:r>
        <w:rPr>
          <w:rFonts w:ascii="宋体" w:hAnsi="宋体" w:eastAsia="宋体"/>
          <w:b w:val="0"/>
          <w:color w:val="000000"/>
          <w:sz w:val="22"/>
        </w:rPr>
        <w:t>可选来源尚未确认可得性。先用少量样本检验覆盖、时间跨度和可复现性；无法取得的信息应调整研究问题，不能编造平台用户行为。</w:t>
      </w:r>
    </w:p>
    <w:p>
      <w:pPr>
        <w:pStyle w:val="Heading2"/>
      </w:pPr>
      <w:r>
        <w:t>第二步 分开两类数据</w:t>
      </w:r>
    </w:p>
    <w:p>
      <w:r>
        <w:rPr>
          <w:rFonts w:ascii="宋体" w:hAnsi="宋体" w:eastAsia="宋体"/>
          <w:b w:val="0"/>
          <w:color w:val="000000"/>
          <w:sz w:val="22"/>
        </w:rPr>
        <w:t>公开聚合数据形成“地区—时间—目的地—主题”的需求面板，用于群体洞察。沙盒数据生成虚拟旅客、兴趣事件、预算情景和授权状态，用于演示个人画像及活动流程。两者分别存储、分别标注；不能声称公开热度与某位虚拟旅客是实际身份映射。</w:t>
      </w:r>
    </w:p>
    <w:p>
      <w:pPr>
        <w:pStyle w:val="Heading2"/>
      </w:pPr>
      <w:r>
        <w:t>第三步 检查质量并保存证据</w:t>
      </w:r>
    </w:p>
    <w:p>
      <w:r>
        <w:rPr>
          <w:rFonts w:ascii="宋体" w:hAnsi="宋体" w:eastAsia="宋体"/>
          <w:b w:val="0"/>
          <w:color w:val="000000"/>
          <w:sz w:val="22"/>
        </w:rPr>
        <w:t>统一城市、日期和主题词；记录缺失、重复、样本偏差与采集方式；保留来源及用途说明。每条报告结论关联来源ID。原始材料和不可公开数据留在受控目录，GitHub只保存代码、字典、合成样例及可公开的汇总。</w:t>
      </w:r>
    </w:p>
    <w:p>
      <w:r>
        <w:rPr>
          <w:rFonts w:ascii="宋体" w:hAnsi="宋体" w:eastAsia="宋体"/>
          <w:b w:val="0"/>
          <w:color w:val="000000"/>
          <w:sz w:val="22"/>
        </w:rPr>
      </w:r>
      <w:r>
        <w:rPr>
          <w:rFonts w:ascii="宋体" w:hAnsi="宋体" w:eastAsia="宋体"/>
          <w:b/>
          <w:color w:val="000000"/>
          <w:sz w:val="22"/>
        </w:rPr>
        <w:t>交付物</w:t>
      </w:r>
      <w:r>
        <w:rPr>
          <w:rFonts w:ascii="宋体" w:hAnsi="宋体" w:eastAsia="宋体"/>
          <w:b w:val="0"/>
          <w:color w:val="000000"/>
          <w:sz w:val="22"/>
        </w:rPr>
        <w:t>：来源台账、数据字典、需求面板、沙盒生成说明。</w:t>
      </w:r>
      <w:r>
        <w:rPr>
          <w:rFonts w:ascii="宋体" w:hAnsi="宋体" w:eastAsia="宋体"/>
          <w:b/>
          <w:color w:val="000000"/>
          <w:sz w:val="22"/>
        </w:rPr>
        <w:t>验收</w:t>
      </w:r>
      <w:r>
        <w:rPr>
          <w:rFonts w:ascii="宋体" w:hAnsi="宋体" w:eastAsia="宋体"/>
          <w:b w:val="0"/>
          <w:color w:val="000000"/>
          <w:sz w:val="22"/>
        </w:rPr>
        <w:t>：每张图都能回答数据来自哪里、时间是什么、能支持什么结论。</w:t>
      </w:r>
    </w:p>
    <w:p>
      <w:pPr>
        <w:pStyle w:val="Heading1"/>
        <w:pageBreakBefore/>
      </w:pPr>
      <w:r>
        <w:t>第三章 构建需求识别和旅客画像方法</w:t>
      </w:r>
    </w:p>
    <w:p>
      <w:pPr>
        <w:pStyle w:val="Heading2"/>
      </w:pPr>
      <w:r>
        <w:t>先做市场需求识别</w:t>
      </w:r>
    </w:p>
    <w:p>
      <w:r>
        <w:rPr>
          <w:rFonts w:ascii="宋体" w:hAnsi="宋体" w:eastAsia="宋体"/>
          <w:b w:val="0"/>
          <w:color w:val="000000"/>
          <w:sz w:val="22"/>
        </w:rPr>
        <w:t>按地区和目的地汇总搜索、攻略与酒店关注等可用信号，观察节日前的变化。先采用标准化指数、环比或趋势规则，比较统一热门榜基线，再根据样本质量决定是否引入预测模型。不同平台指标口径不一致，应先标准化并做权重敏感性分析。</w:t>
      </w:r>
    </w:p>
    <w:p>
      <w:r>
        <w:rPr>
          <w:rFonts w:ascii="宋体" w:hAnsi="宋体" w:eastAsia="宋体"/>
          <w:b w:val="0"/>
          <w:color w:val="000000"/>
          <w:sz w:val="22"/>
        </w:rPr>
        <w:t>宏观信号描述的是市场兴趣，不能直接证明某人会买机票。如果没有个人真实标签，就不报告真实旅客购票预测准确率；可通过历史节日回测或趋势一致性验证市场层面的信号。</w:t>
      </w:r>
    </w:p>
    <w:p>
      <w:pPr>
        <w:pStyle w:val="Heading2"/>
      </w:pPr>
      <w:r>
        <w:t>再设计沙盒画像标签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59"/>
        <w:gridCol w:w="3764"/>
        <w:gridCol w:w="3388"/>
      </w:tblGrid>
      <w:tr>
        <w:trPr>
          <w:cantSplit/>
          <w:tblHeader/>
        </w:trPr>
        <w:tc>
          <w:tcPr>
            <w:tcW w:type="dxa" w:w="2259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标签层</w:t>
            </w:r>
          </w:p>
        </w:tc>
        <w:tc>
          <w:tcPr>
            <w:tcW w:type="dxa" w:w="3764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建议字段</w:t>
            </w:r>
          </w:p>
        </w:tc>
        <w:tc>
          <w:tcPr>
            <w:tcW w:type="dxa" w:w="3388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使用边界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场景标签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出发地区 节日窗口 目的地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来源有记录 不推断真实身份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兴趣标签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海滨 美食 自然 文化等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公开主题归纳或沙盒事件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意向标签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兴趣新近性 近期频次 热点变化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明确计算窗口 不使用未来数据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价格情景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预算范围 价格关注比例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属于情景假设 不是实际消费能力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运营标签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渠道偏好 授权 频控 已购票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沙盒演示 实投需合法来源</w:t>
            </w:r>
          </w:p>
        </w:tc>
      </w:tr>
    </w:tbl>
    <w:p>
      <w:pPr>
        <w:spacing w:after="40" w:before="0"/>
      </w:pPr>
      <w:r>
        <w:rPr>
          <w:rFonts w:ascii="宋体" w:hAnsi="宋体" w:eastAsia="宋体"/>
          <w:b w:val="0"/>
          <w:color w:val="000000"/>
          <w:sz w:val="6"/>
        </w:rPr>
      </w:r>
    </w:p>
    <w:p>
      <w:r>
        <w:rPr>
          <w:rFonts w:ascii="宋体" w:hAnsi="宋体" w:eastAsia="宋体"/>
          <w:b w:val="0"/>
          <w:color w:val="000000"/>
          <w:sz w:val="22"/>
        </w:rPr>
        <w:t>可先定义高意向探索型、价格关注型、主题体验型等客群；客群是否有业务意义需要内容样例和运营访谈验证。标签必须可解释，不为显得复杂而堆叠维度。</w:t>
      </w:r>
    </w:p>
    <w:p>
      <w:pPr>
        <w:pStyle w:val="Heading2"/>
      </w:pPr>
      <w:r>
        <w:t>动态更新怎么做</w:t>
      </w:r>
    </w:p>
    <w:p>
      <w:r>
        <w:rPr>
          <w:rFonts w:ascii="宋体" w:hAnsi="宋体" w:eastAsia="宋体"/>
          <w:b w:val="0"/>
          <w:color w:val="000000"/>
          <w:sz w:val="22"/>
        </w:rPr>
        <w:t>设定画像截点，取此前7天、14天或30天行为，近期信号权重较高。仓库示例采用30天窗口、7天指数衰减和规则意向分，这些参数仅是可替换基线。新增兴趣时重算标签，过期事件退出窗口；未来事件不能作为当前画像依据。</w:t>
      </w:r>
    </w:p>
    <w:p>
      <w:r>
        <w:rPr>
          <w:rFonts w:ascii="宋体" w:hAnsi="宋体" w:eastAsia="宋体"/>
          <w:b w:val="0"/>
          <w:color w:val="000000"/>
          <w:sz w:val="22"/>
        </w:rPr>
      </w:r>
      <w:r>
        <w:rPr>
          <w:rFonts w:ascii="宋体" w:hAnsi="宋体" w:eastAsia="宋体"/>
          <w:b/>
          <w:color w:val="000000"/>
          <w:sz w:val="22"/>
        </w:rPr>
        <w:t>交付物</w:t>
      </w:r>
      <w:r>
        <w:rPr>
          <w:rFonts w:ascii="宋体" w:hAnsi="宋体" w:eastAsia="宋体"/>
          <w:b w:val="0"/>
          <w:color w:val="000000"/>
          <w:sz w:val="22"/>
        </w:rPr>
        <w:t>：标签字典、更新公式、分群规则、三至五个客群样例、参数敏感性结果。</w:t>
      </w:r>
      <w:r>
        <w:rPr>
          <w:rFonts w:ascii="宋体" w:hAnsi="宋体" w:eastAsia="宋体"/>
          <w:b/>
          <w:color w:val="000000"/>
          <w:sz w:val="22"/>
        </w:rPr>
        <w:t>验收</w:t>
      </w:r>
      <w:r>
        <w:rPr>
          <w:rFonts w:ascii="宋体" w:hAnsi="宋体" w:eastAsia="宋体"/>
          <w:b w:val="0"/>
          <w:color w:val="000000"/>
          <w:sz w:val="22"/>
        </w:rPr>
        <w:t>：每个标签有来源、时间和业务用途；市场分析与个人沙盒结果分开陈述。</w:t>
      </w:r>
    </w:p>
    <w:p>
      <w:pPr>
        <w:pStyle w:val="Heading1"/>
        <w:pageBreakBefore/>
      </w:pPr>
      <w:r>
        <w:t>第四章 将需求与航空产品匹配</w:t>
      </w:r>
    </w:p>
    <w:p>
      <w:pPr>
        <w:pStyle w:val="Heading2"/>
      </w:pPr>
      <w:r>
        <w:t>先筛可用产品 再排序</w:t>
      </w:r>
    </w:p>
    <w:p>
      <w:r>
        <w:rPr>
          <w:rFonts w:ascii="宋体" w:hAnsi="宋体" w:eastAsia="宋体"/>
          <w:b w:val="0"/>
          <w:color w:val="000000"/>
          <w:sz w:val="22"/>
        </w:rPr>
        <w:t>产品匹配不是只找热门目的地。先按出发区域、节日时间、航线存在性、可售条件和产品有效期筛选；有库存接口时再校验实时余位。没有实时库存时只能做规划推荐，不能宣称能够即时订票。</w:t>
      </w:r>
    </w:p>
    <w:p>
      <w:r>
        <w:rPr>
          <w:rFonts w:ascii="宋体" w:hAnsi="宋体" w:eastAsia="宋体"/>
          <w:b w:val="0"/>
          <w:color w:val="000000"/>
          <w:sz w:val="22"/>
        </w:rPr>
        <w:t>建议按目的地兴趣、主题适配、预算情景和供给约束排序。先做加权规则基线，再与“所有客群统一推热门航线”比较。排序理由应清楚说明哪些因素影响了结果。</w:t>
      </w:r>
    </w:p>
    <w:p>
      <w:pPr>
        <w:pStyle w:val="Heading2"/>
      </w:pPr>
      <w:r>
        <w:t>推荐策略设计表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59"/>
        <w:gridCol w:w="3764"/>
        <w:gridCol w:w="3388"/>
      </w:tblGrid>
      <w:tr>
        <w:trPr>
          <w:cantSplit/>
          <w:tblHeader/>
        </w:trPr>
        <w:tc>
          <w:tcPr>
            <w:tcW w:type="dxa" w:w="2259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决策因素</w:t>
            </w:r>
          </w:p>
        </w:tc>
        <w:tc>
          <w:tcPr>
            <w:tcW w:type="dxa" w:w="3764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如何使用</w:t>
            </w:r>
          </w:p>
        </w:tc>
        <w:tc>
          <w:tcPr>
            <w:tcW w:type="dxa" w:w="3388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需要补充的依据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地区和时间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筛选可服务的旅行方案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航线及出行窗口信息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目的地兴趣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计算群体或沙盒画像匹配分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趋势面板或沙盒事件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主题偏好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调整产品表达和内容主题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主题词典及客群定义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预算情景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标出适配与不足 不隐性差异定价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价格来源及预算假设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供给和商业价值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在可售约束下合理排序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库存与毛利数据 未获得时不虚构</w:t>
            </w:r>
          </w:p>
        </w:tc>
      </w:tr>
    </w:tbl>
    <w:p>
      <w:pPr>
        <w:spacing w:after="40" w:before="0"/>
      </w:pPr>
      <w:r>
        <w:rPr>
          <w:rFonts w:ascii="宋体" w:hAnsi="宋体" w:eastAsia="宋体"/>
          <w:b w:val="0"/>
          <w:color w:val="000000"/>
          <w:sz w:val="6"/>
        </w:rPr>
      </w:r>
    </w:p>
    <w:p>
      <w:r>
        <w:rPr>
          <w:rFonts w:ascii="宋体" w:hAnsi="宋体" w:eastAsia="宋体"/>
          <w:b w:val="0"/>
          <w:color w:val="000000"/>
          <w:sz w:val="22"/>
        </w:rPr>
        <w:t>例如对一个“成都美食兴趣较高、预算情景为1000元”的虚拟旅客，生成相应航线推荐及理由。示例要说明身份、预算和事件均为合成；真实报价必须带查询时点和适用条件。</w:t>
      </w:r>
    </w:p>
    <w:p>
      <w:pPr>
        <w:pStyle w:val="Heading2"/>
      </w:pPr>
      <w:r>
        <w:t>检查失败场景</w:t>
      </w:r>
    </w:p>
    <w:p>
      <w:r>
        <w:rPr>
          <w:rFonts w:ascii="宋体" w:hAnsi="宋体" w:eastAsia="宋体"/>
          <w:b w:val="0"/>
          <w:color w:val="000000"/>
          <w:sz w:val="22"/>
        </w:rPr>
        <w:t>检查无匹配航线、价格超过预算、促销过期、库存不足和目的地兴趣冲突。没有可用产品就返回原因，不让模型编造航班、舱位、酒店权益或优惠。</w:t>
      </w:r>
    </w:p>
    <w:p>
      <w:r>
        <w:rPr>
          <w:rFonts w:ascii="宋体" w:hAnsi="宋体" w:eastAsia="宋体"/>
          <w:b w:val="0"/>
          <w:color w:val="000000"/>
          <w:sz w:val="22"/>
        </w:rPr>
      </w:r>
      <w:r>
        <w:rPr>
          <w:rFonts w:ascii="宋体" w:hAnsi="宋体" w:eastAsia="宋体"/>
          <w:b/>
          <w:color w:val="000000"/>
          <w:sz w:val="22"/>
        </w:rPr>
        <w:t>交付物</w:t>
      </w:r>
      <w:r>
        <w:rPr>
          <w:rFonts w:ascii="宋体" w:hAnsi="宋体" w:eastAsia="宋体"/>
          <w:b w:val="0"/>
          <w:color w:val="000000"/>
          <w:sz w:val="22"/>
        </w:rPr>
        <w:t>：候选产品表、筛选约束、排序公式、推荐样例及失败案例。</w:t>
      </w:r>
      <w:r>
        <w:rPr>
          <w:rFonts w:ascii="宋体" w:hAnsi="宋体" w:eastAsia="宋体"/>
          <w:b/>
          <w:color w:val="000000"/>
          <w:sz w:val="22"/>
        </w:rPr>
        <w:t>验收</w:t>
      </w:r>
      <w:r>
        <w:rPr>
          <w:rFonts w:ascii="宋体" w:hAnsi="宋体" w:eastAsia="宋体"/>
          <w:b w:val="0"/>
          <w:color w:val="000000"/>
          <w:sz w:val="22"/>
        </w:rPr>
        <w:t>：每项推荐有可解释依据；信息来源和有效时间可追溯；不能购买的产品不会被标称实时可售。</w:t>
      </w:r>
    </w:p>
    <w:p>
      <w:pPr>
        <w:pStyle w:val="Heading1"/>
        <w:pageBreakBefore/>
      </w:pPr>
      <w:r>
        <w:t>第五章 设计AIGC文案和视觉内容</w:t>
      </w:r>
    </w:p>
    <w:p>
      <w:pPr>
        <w:pStyle w:val="Heading2"/>
      </w:pPr>
      <w:r>
        <w:t>从客群到内容任务</w:t>
      </w:r>
    </w:p>
    <w:p>
      <w:r>
        <w:rPr>
          <w:rFonts w:ascii="宋体" w:hAnsi="宋体" w:eastAsia="宋体"/>
          <w:b w:val="0"/>
          <w:color w:val="000000"/>
          <w:sz w:val="22"/>
        </w:rPr>
        <w:t>先选择两至三个有差异的客群，并为同一航空产品设计内容对照。例如探索型侧重目的地体验，价格关注型突出清楚的价格条件，文化主题客群突出相关活动与景观。不能把“亲子”等假设标签当作真实个人身份。</w:t>
      </w:r>
    </w:p>
    <w:p>
      <w:r>
        <w:rPr>
          <w:rFonts w:ascii="宋体" w:hAnsi="宋体" w:eastAsia="宋体"/>
          <w:b w:val="0"/>
          <w:color w:val="000000"/>
          <w:sz w:val="22"/>
        </w:rPr>
        <w:t>在模型接入前，先整理内容输入和审核规则。输入包括经批准的客群标签、产品事实、渠道、语言和品牌要求；不输入实名、联系方式、原始个人事件或敏感属性。</w:t>
      </w:r>
    </w:p>
    <w:p>
      <w:pPr>
        <w:pStyle w:val="Heading2"/>
      </w:pPr>
      <w:r>
        <w:t>生成和审核流程</w:t>
      </w:r>
    </w:p>
    <w:p>
      <w:r>
        <w:rPr>
          <w:rFonts w:ascii="宋体" w:hAnsi="宋体" w:eastAsia="宋体"/>
          <w:b w:val="0"/>
          <w:color w:val="000000"/>
          <w:sz w:val="22"/>
        </w:rPr>
        <w:t>1. 准备产品事实卡，列出航线、日期、价格条件、促销期限和可用权益及来源。</w:t>
      </w:r>
    </w:p>
    <w:p>
      <w:r>
        <w:rPr>
          <w:rFonts w:ascii="宋体" w:hAnsi="宋体" w:eastAsia="宋体"/>
          <w:b w:val="0"/>
          <w:color w:val="000000"/>
          <w:sz w:val="22"/>
        </w:rPr>
        <w:t>2. 生成标题、正文、视觉说明和事实引用；缺少关键事实时要求模型列出缺失项。</w:t>
      </w:r>
    </w:p>
    <w:p>
      <w:r>
        <w:rPr>
          <w:rFonts w:ascii="宋体" w:hAnsi="宋体" w:eastAsia="宋体"/>
          <w:b w:val="0"/>
          <w:color w:val="000000"/>
          <w:sz w:val="22"/>
        </w:rPr>
        <w:t>3. 核对产品事实、表达清晰度、客群适配、品牌一致和视觉版权。</w:t>
      </w:r>
    </w:p>
    <w:p>
      <w:r>
        <w:rPr>
          <w:rFonts w:ascii="宋体" w:hAnsi="宋体" w:eastAsia="宋体"/>
          <w:b w:val="0"/>
          <w:color w:val="000000"/>
          <w:sz w:val="22"/>
        </w:rPr>
        <w:t>4. 人工通过后才进入投放策略；生成失败或审核不通过就保留草稿。</w:t>
      </w:r>
    </w:p>
    <w:p>
      <w:r>
        <w:rPr>
          <w:rFonts w:ascii="宋体" w:hAnsi="宋体" w:eastAsia="宋体"/>
          <w:b w:val="0"/>
          <w:color w:val="000000"/>
          <w:sz w:val="22"/>
        </w:rPr>
        <w:t>5. 保存模型、提示、知识版本、调用成本和审核记录，方便复现与比较。</w:t>
      </w:r>
    </w:p>
    <w:p>
      <w:pPr>
        <w:pStyle w:val="Heading2"/>
      </w:pPr>
      <w:r>
        <w:t>内容验证怎么做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59"/>
        <w:gridCol w:w="3764"/>
        <w:gridCol w:w="3388"/>
      </w:tblGrid>
      <w:tr>
        <w:trPr>
          <w:cantSplit/>
          <w:tblHeader/>
        </w:trPr>
        <w:tc>
          <w:tcPr>
            <w:tcW w:type="dxa" w:w="2259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对照对象</w:t>
            </w:r>
          </w:p>
        </w:tc>
        <w:tc>
          <w:tcPr>
            <w:tcW w:type="dxa" w:w="3764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观察指标</w:t>
            </w:r>
          </w:p>
        </w:tc>
        <w:tc>
          <w:tcPr>
            <w:tcW w:type="dxa" w:w="3388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合格依据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统一模板与个性化文案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相关性 清晰度 事实正确率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相同产品事实 人工盲评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模板视觉与模型视觉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品牌一致 信息误导 版权来源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同一任务 审核量表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不同提示版本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审核通过率 生成耗时 成本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保存输入输出及失败样例</w:t>
            </w:r>
          </w:p>
        </w:tc>
      </w:tr>
    </w:tbl>
    <w:p>
      <w:pPr>
        <w:spacing w:after="40" w:before="0"/>
      </w:pPr>
      <w:r>
        <w:rPr>
          <w:rFonts w:ascii="宋体" w:hAnsi="宋体" w:eastAsia="宋体"/>
          <w:b w:val="0"/>
          <w:color w:val="000000"/>
          <w:sz w:val="6"/>
        </w:rPr>
      </w:r>
    </w:p>
    <w:p>
      <w:r>
        <w:rPr>
          <w:rFonts w:ascii="宋体" w:hAnsi="宋体" w:eastAsia="宋体"/>
          <w:b w:val="0"/>
          <w:color w:val="000000"/>
          <w:sz w:val="22"/>
        </w:rPr>
        <w:t>当前仓库仅提供离线模板和原生SVG示例，尚未调用真实大模型。后续若只停留在方案阶段，应提交提示规范、样例和评估设计；若调用模型，必须如实标注实际提供者及输出来源。</w:t>
      </w:r>
    </w:p>
    <w:p>
      <w:r>
        <w:rPr>
          <w:rFonts w:ascii="宋体" w:hAnsi="宋体" w:eastAsia="宋体"/>
          <w:b w:val="0"/>
          <w:color w:val="000000"/>
          <w:sz w:val="22"/>
        </w:rPr>
      </w:r>
      <w:r>
        <w:rPr>
          <w:rFonts w:ascii="宋体" w:hAnsi="宋体" w:eastAsia="宋体"/>
          <w:b/>
          <w:color w:val="000000"/>
          <w:sz w:val="22"/>
        </w:rPr>
        <w:t>交付物</w:t>
      </w:r>
      <w:r>
        <w:rPr>
          <w:rFonts w:ascii="宋体" w:hAnsi="宋体" w:eastAsia="宋体"/>
          <w:b w:val="0"/>
          <w:color w:val="000000"/>
          <w:sz w:val="22"/>
        </w:rPr>
        <w:t>：产品事实卡、提示规范、文案与视觉样例、审核表、模板与AIGC对照。</w:t>
      </w:r>
      <w:r>
        <w:rPr>
          <w:rFonts w:ascii="宋体" w:hAnsi="宋体" w:eastAsia="宋体"/>
          <w:b/>
          <w:color w:val="000000"/>
          <w:sz w:val="22"/>
        </w:rPr>
        <w:t>验收</w:t>
      </w:r>
      <w:r>
        <w:rPr>
          <w:rFonts w:ascii="宋体" w:hAnsi="宋体" w:eastAsia="宋体"/>
          <w:b w:val="0"/>
          <w:color w:val="000000"/>
          <w:sz w:val="22"/>
        </w:rPr>
        <w:t>：没有编造价格、权益或保证性承诺；模板输出不被标成真实AIGC。</w:t>
      </w:r>
    </w:p>
    <w:p>
      <w:pPr>
        <w:pStyle w:val="Heading1"/>
        <w:pageBreakBefore/>
      </w:pPr>
      <w:r>
        <w:t>第六章 设计渠道推送和反馈闭环</w:t>
      </w:r>
    </w:p>
    <w:p>
      <w:pPr>
        <w:pStyle w:val="Heading2"/>
      </w:pPr>
      <w:r>
        <w:t>选择渠道不等于获得联系方式</w:t>
      </w:r>
    </w:p>
    <w:p>
      <w:r>
        <w:rPr>
          <w:rFonts w:ascii="宋体" w:hAnsi="宋体" w:eastAsia="宋体"/>
          <w:b w:val="0"/>
          <w:color w:val="000000"/>
          <w:sz w:val="22"/>
        </w:rPr>
        <w:t>市场洞察可以指导渠道内容和广告计划，但公开平台热度不能直接提供个人营销授权。没有合法的个人触达条件时，只设计客群层面的渠道方案或使用沙盒模拟；不发送真实营销消息。</w:t>
      </w:r>
    </w:p>
    <w:p>
      <w:r>
        <w:rPr>
          <w:rFonts w:ascii="宋体" w:hAnsi="宋体" w:eastAsia="宋体"/>
          <w:b w:val="0"/>
          <w:color w:val="000000"/>
          <w:sz w:val="22"/>
        </w:rPr>
        <w:t>渠道方案可考虑企业自有App、邮件或平台合作广告等候选，分别评估可达性、内容形式、成本和反馈能力。候选不代表已开通渠道，也不代表已取得平台接口权限。</w:t>
      </w:r>
    </w:p>
    <w:p>
      <w:pPr>
        <w:pStyle w:val="Heading2"/>
      </w:pPr>
      <w:r>
        <w:t>明确决策与执行的门槛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59"/>
        <w:gridCol w:w="3764"/>
        <w:gridCol w:w="3388"/>
      </w:tblGrid>
      <w:tr>
        <w:trPr>
          <w:cantSplit/>
          <w:tblHeader/>
        </w:trPr>
        <w:tc>
          <w:tcPr>
            <w:tcW w:type="dxa" w:w="2259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环节</w:t>
            </w:r>
          </w:p>
        </w:tc>
        <w:tc>
          <w:tcPr>
            <w:tcW w:type="dxa" w:w="3764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决策规则</w:t>
            </w:r>
          </w:p>
        </w:tc>
        <w:tc>
          <w:tcPr>
            <w:tcW w:type="dxa" w:w="3388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失败时怎么处理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授权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用途和渠道授权有效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不进入投放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时机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时区 偏好时段 节日前置期 静默时段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保留任务 调整时段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频控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跨渠道统一累计 联系上限清楚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暂停重复联系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内容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产品事实和人工审核通过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保留草稿 修订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执行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发送前复核 幂等键 失败重试边界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记录失败 不重复骚扰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反馈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送达 点击 购票 退订分开记录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不把点击当购票</w:t>
            </w:r>
          </w:p>
        </w:tc>
      </w:tr>
    </w:tbl>
    <w:p>
      <w:pPr>
        <w:spacing w:after="40" w:before="0"/>
      </w:pPr>
      <w:r>
        <w:rPr>
          <w:rFonts w:ascii="宋体" w:hAnsi="宋体" w:eastAsia="宋体"/>
          <w:b w:val="0"/>
          <w:color w:val="000000"/>
          <w:sz w:val="6"/>
        </w:rPr>
      </w:r>
    </w:p>
    <w:p>
      <w:r>
        <w:rPr>
          <w:rFonts w:ascii="宋体" w:hAnsi="宋体" w:eastAsia="宋体"/>
          <w:b w:val="0"/>
          <w:color w:val="000000"/>
          <w:sz w:val="22"/>
        </w:rPr>
        <w:t>当前演示采用授权门槛、7天2次频控及偏好小时规则，触达全是模拟。真实策略阈值应由企业业务及用户体验要求确定，不能把演示默认值写成官方规定。</w:t>
      </w:r>
    </w:p>
    <w:p>
      <w:pPr>
        <w:pStyle w:val="Heading2"/>
      </w:pPr>
      <w:r>
        <w:t>建立活动状态和反馈记录</w:t>
      </w:r>
    </w:p>
    <w:p>
      <w:r>
        <w:rPr>
          <w:rFonts w:ascii="宋体" w:hAnsi="宋体" w:eastAsia="宋体"/>
          <w:b w:val="0"/>
          <w:color w:val="000000"/>
          <w:sz w:val="22"/>
        </w:rPr>
        <w:t>设计草稿、待审核、已审核、计划执行、已执行、已停止状态。每次操作记录活动ID、产品及内容版本、操作者、时间和结果。投放反馈关联实验分组及活动；订单归因窗口提前定义，避免跨渠道重复计算。</w:t>
      </w:r>
    </w:p>
    <w:p>
      <w:r>
        <w:rPr>
          <w:rFonts w:ascii="宋体" w:hAnsi="宋体" w:eastAsia="宋体"/>
          <w:b w:val="0"/>
          <w:color w:val="000000"/>
          <w:sz w:val="22"/>
        </w:rPr>
      </w:r>
      <w:r>
        <w:rPr>
          <w:rFonts w:ascii="宋体" w:hAnsi="宋体" w:eastAsia="宋体"/>
          <w:b/>
          <w:color w:val="000000"/>
          <w:sz w:val="22"/>
        </w:rPr>
        <w:t>交付物</w:t>
      </w:r>
      <w:r>
        <w:rPr>
          <w:rFonts w:ascii="宋体" w:hAnsi="宋体" w:eastAsia="宋体"/>
          <w:b w:val="0"/>
          <w:color w:val="000000"/>
          <w:sz w:val="22"/>
        </w:rPr>
        <w:t>：渠道选择矩阵、推送与频控策略、审核流程、反馈字段、模拟活动链路。</w:t>
      </w:r>
      <w:r>
        <w:rPr>
          <w:rFonts w:ascii="宋体" w:hAnsi="宋体" w:eastAsia="宋体"/>
          <w:b/>
          <w:color w:val="000000"/>
          <w:sz w:val="22"/>
        </w:rPr>
        <w:t>验收</w:t>
      </w:r>
      <w:r>
        <w:rPr>
          <w:rFonts w:ascii="宋体" w:hAnsi="宋体" w:eastAsia="宋体"/>
          <w:b w:val="0"/>
          <w:color w:val="000000"/>
          <w:sz w:val="22"/>
        </w:rPr>
        <w:t>：审核前不触达，撤回授权后停止，重复执行不会增加真实发送次数；无渠道授权则保持方案或模拟。</w:t>
      </w:r>
    </w:p>
    <w:p>
      <w:pPr>
        <w:pStyle w:val="Heading1"/>
        <w:pageBreakBefore/>
      </w:pPr>
      <w:r>
        <w:t>第七章 分层验证方案是否有效</w:t>
      </w:r>
    </w:p>
    <w:p>
      <w:pPr>
        <w:pStyle w:val="Heading2"/>
      </w:pPr>
      <w:r>
        <w:t>先验证方法 再验证业务</w:t>
      </w:r>
    </w:p>
    <w:p>
      <w:r>
        <w:rPr>
          <w:rFonts w:ascii="宋体" w:hAnsi="宋体" w:eastAsia="宋体"/>
          <w:b w:val="0"/>
          <w:color w:val="000000"/>
          <w:sz w:val="22"/>
        </w:rPr>
        <w:t>验证应分为市场信号、算法方法、内容质量、工程流程和真实业务五层。沙盒可以证明流程可运行，不能证明真实购票率、客座率或满意度提升。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59"/>
        <w:gridCol w:w="3764"/>
        <w:gridCol w:w="3388"/>
      </w:tblGrid>
      <w:tr>
        <w:trPr>
          <w:cantSplit/>
          <w:tblHeader/>
        </w:trPr>
        <w:tc>
          <w:tcPr>
            <w:tcW w:type="dxa" w:w="2259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验证层</w:t>
            </w:r>
          </w:p>
        </w:tc>
        <w:tc>
          <w:tcPr>
            <w:tcW w:type="dxa" w:w="3764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可以怎样做</w:t>
            </w:r>
          </w:p>
        </w:tc>
        <w:tc>
          <w:tcPr>
            <w:tcW w:type="dxa" w:w="3388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能得出什么结论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市场信号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历史节日前后趋势 回测 热点一致性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公开信号是否及时稳定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画像与推荐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基线对照 时间切分 消融 参数敏感性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方法合理性及数据范围内性能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内容质量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模板与生成样例盲评 事实审核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文案与视觉质量及生成成本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工程流程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授权 审核 频控 撤回 并发测试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工作流和约束是否有效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真实业务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获授权后固定用户随机实验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实际增量效果及其不确定性</w:t>
            </w:r>
          </w:p>
        </w:tc>
      </w:tr>
    </w:tbl>
    <w:p>
      <w:pPr>
        <w:spacing w:after="40" w:before="0"/>
      </w:pPr>
      <w:r>
        <w:rPr>
          <w:rFonts w:ascii="宋体" w:hAnsi="宋体" w:eastAsia="宋体"/>
          <w:b w:val="0"/>
          <w:color w:val="000000"/>
          <w:sz w:val="6"/>
        </w:rPr>
      </w:r>
    </w:p>
    <w:p>
      <w:r>
        <w:rPr>
          <w:rFonts w:ascii="宋体" w:hAnsi="宋体" w:eastAsia="宋体"/>
          <w:b w:val="0"/>
          <w:color w:val="000000"/>
          <w:sz w:val="22"/>
        </w:rPr>
        <w:t>没有真实购票标签时，用代理任务评价市场信号，或明确标注为合成验证。不把由人为设定概率产生的转化数据当作真实预测准确率。</w:t>
      </w:r>
    </w:p>
    <w:p>
      <w:pPr>
        <w:pStyle w:val="Heading2"/>
      </w:pPr>
      <w:r>
        <w:t>真实实验应如何设计</w:t>
      </w:r>
    </w:p>
    <w:p>
      <w:r>
        <w:rPr>
          <w:rFonts w:ascii="宋体" w:hAnsi="宋体" w:eastAsia="宋体"/>
          <w:b w:val="0"/>
          <w:color w:val="000000"/>
          <w:sz w:val="22"/>
        </w:rPr>
        <w:t>若后续取得试点条件，在符合授权和频控的用户中固定随机分组。对照组采用现有策略，实验组采用新方案；提前确定转化分母、订单窗口、最小可接受提升、样本量和停止规则。报告转化率差及置信区间，同时监测投诉、退订和错误报价。</w:t>
      </w:r>
    </w:p>
    <w:p>
      <w:r>
        <w:rPr>
          <w:rFonts w:ascii="宋体" w:hAnsi="宋体" w:eastAsia="宋体"/>
          <w:b w:val="0"/>
          <w:color w:val="000000"/>
          <w:sz w:val="22"/>
        </w:rPr>
        <w:t>客座率要用指定航线和班次的实际载客与可用座位计算。满意度要用有效问卷或企业指标。不能由点击率直接推导这两项结果。</w:t>
      </w:r>
    </w:p>
    <w:p>
      <w:pPr>
        <w:pStyle w:val="Heading2"/>
      </w:pPr>
      <w:r>
        <w:t>每项结论建立证据台账</w:t>
      </w:r>
    </w:p>
    <w:p>
      <w:r>
        <w:rPr>
          <w:rFonts w:ascii="宋体" w:hAnsi="宋体" w:eastAsia="宋体"/>
          <w:b w:val="0"/>
          <w:color w:val="000000"/>
          <w:sz w:val="22"/>
        </w:rPr>
        <w:t>记录结论、来源、时间、方法、代码或模型版本、数据范围、是否可公开以及对应报告章节。将“命题痛点”“研究假设”“模拟结果”“真实实验结果”分别标记。</w:t>
      </w:r>
    </w:p>
    <w:p>
      <w:r>
        <w:rPr>
          <w:rFonts w:ascii="宋体" w:hAnsi="宋体" w:eastAsia="宋体"/>
          <w:b w:val="0"/>
          <w:color w:val="000000"/>
          <w:sz w:val="22"/>
        </w:rPr>
      </w:r>
      <w:r>
        <w:rPr>
          <w:rFonts w:ascii="宋体" w:hAnsi="宋体" w:eastAsia="宋体"/>
          <w:b/>
          <w:color w:val="000000"/>
          <w:sz w:val="22"/>
        </w:rPr>
        <w:t>交付物</w:t>
      </w:r>
      <w:r>
        <w:rPr>
          <w:rFonts w:ascii="宋体" w:hAnsi="宋体" w:eastAsia="宋体"/>
          <w:b w:val="0"/>
          <w:color w:val="000000"/>
          <w:sz w:val="22"/>
        </w:rPr>
        <w:t>：验证计划、对照与消融表、评估量表、证据台账。</w:t>
      </w:r>
      <w:r>
        <w:rPr>
          <w:rFonts w:ascii="宋体" w:hAnsi="宋体" w:eastAsia="宋体"/>
          <w:b/>
          <w:color w:val="000000"/>
          <w:sz w:val="22"/>
        </w:rPr>
        <w:t>验收</w:t>
      </w:r>
      <w:r>
        <w:rPr>
          <w:rFonts w:ascii="宋体" w:hAnsi="宋体" w:eastAsia="宋体"/>
          <w:b w:val="0"/>
          <w:color w:val="000000"/>
          <w:sz w:val="22"/>
        </w:rPr>
        <w:t>：每个结果明确证据等级；没有真实实验时，只陈述可行性与待验证价值。</w:t>
      </w:r>
    </w:p>
    <w:p>
      <w:pPr>
        <w:pStyle w:val="Heading1"/>
        <w:pageBreakBefore/>
      </w:pPr>
      <w:r>
        <w:t>第八章 形成管理建议和经济效益模型</w:t>
      </w:r>
    </w:p>
    <w:p>
      <w:pPr>
        <w:pStyle w:val="Heading2"/>
      </w:pPr>
      <w:r>
        <w:t>将技术模块转化为管理动作</w:t>
      </w:r>
    </w:p>
    <w:p>
      <w:r>
        <w:rPr>
          <w:rFonts w:ascii="宋体" w:hAnsi="宋体" w:eastAsia="宋体"/>
          <w:b w:val="0"/>
          <w:color w:val="000000"/>
          <w:sz w:val="22"/>
        </w:rPr>
        <w:t>建议建立节日客群运营机制、产品知识与内容审核机制、跨渠道统一频控机制，以及以实验和收益为依据的活动复盘机制。为每项建议明确负责人角色、输入、审批、周期和指标，解释如何改变现有决策流程。</w:t>
      </w:r>
    </w:p>
    <w:p>
      <w:r>
        <w:rPr>
          <w:rFonts w:ascii="宋体" w:hAnsi="宋体" w:eastAsia="宋体"/>
          <w:b w:val="0"/>
          <w:color w:val="000000"/>
          <w:sz w:val="22"/>
        </w:rPr>
        <w:t>组织协同也是项目内容。数据角色维护口径，营销角色确定客群和产品，内容角色审核事实，渠道角色执行策略，评估角色负责归因和财务测算。匿名报告可写角色，不出现成员、学校或导师身份。</w:t>
      </w:r>
    </w:p>
    <w:p>
      <w:pPr>
        <w:pStyle w:val="Heading2"/>
      </w:pPr>
      <w:r>
        <w:t>用贡献毛利而非票价计算收益</w:t>
      </w:r>
    </w:p>
    <w:p>
      <w:r>
        <w:rPr>
          <w:rFonts w:ascii="宋体" w:hAnsi="宋体" w:eastAsia="宋体"/>
          <w:b w:val="0"/>
          <w:color w:val="000000"/>
          <w:sz w:val="22"/>
        </w:rPr>
        <w:t>设N为期间内有效目标用户数，p0与p1为对照和实验购票率，m为单笔贡献毛利。建议用以下口径建立可填写的测算表。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64"/>
        <w:gridCol w:w="5647"/>
      </w:tblGrid>
      <w:tr>
        <w:trPr>
          <w:cantSplit/>
          <w:tblHeader/>
        </w:trPr>
        <w:tc>
          <w:tcPr>
            <w:tcW w:type="dxa" w:w="3764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指标</w:t>
            </w:r>
          </w:p>
        </w:tc>
        <w:tc>
          <w:tcPr>
            <w:tcW w:type="dxa" w:w="5647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计算或取值方法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增量订单</w:t>
            </w:r>
          </w:p>
        </w:tc>
        <w:tc>
          <w:tcPr>
            <w:tcW w:type="dxa" w:w="564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N乘以实验与对照购票率之差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增量贡献</w:t>
            </w:r>
          </w:p>
        </w:tc>
        <w:tc>
          <w:tcPr>
            <w:tcW w:type="dxa" w:w="5647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增量订单乘以单笔贡献毛利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新增运营成本</w:t>
            </w:r>
          </w:p>
        </w:tc>
        <w:tc>
          <w:tcPr>
            <w:tcW w:type="dxa" w:w="564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模型调用 人审 渠道 优惠 运维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期间净增益</w:t>
            </w:r>
          </w:p>
        </w:tc>
        <w:tc>
          <w:tcPr>
            <w:tcW w:type="dxa" w:w="5647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增量贡献减新增运营成本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项目净收益</w:t>
            </w:r>
          </w:p>
        </w:tc>
        <w:tc>
          <w:tcPr>
            <w:tcW w:type="dxa" w:w="564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净增益再扣期间研发和集成摊销</w:t>
            </w:r>
          </w:p>
        </w:tc>
      </w:tr>
      <w:tr>
        <w:trPr>
          <w:cantSplit/>
        </w:trPr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投资回报率</w:t>
            </w:r>
          </w:p>
        </w:tc>
        <w:tc>
          <w:tcPr>
            <w:tcW w:type="dxa" w:w="5647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累计净收益除以累计全部投入</w:t>
            </w:r>
          </w:p>
        </w:tc>
      </w:tr>
    </w:tbl>
    <w:p>
      <w:pPr>
        <w:spacing w:after="40" w:before="0"/>
      </w:pPr>
      <w:r>
        <w:rPr>
          <w:rFonts w:ascii="宋体" w:hAnsi="宋体" w:eastAsia="宋体"/>
          <w:b w:val="0"/>
          <w:color w:val="000000"/>
          <w:sz w:val="6"/>
        </w:rPr>
      </w:r>
    </w:p>
    <w:p>
      <w:r>
        <w:rPr>
          <w:rFonts w:ascii="宋体" w:hAnsi="宋体" w:eastAsia="宋体"/>
          <w:b w:val="0"/>
          <w:color w:val="000000"/>
          <w:sz w:val="22"/>
        </w:rPr>
        <w:t>未获得业务数据时，用清楚标注的保守、基准、乐观情景展示测算逻辑；参数写明来源或假设。不虚构增收金额，不把全部票价当利润，不重复计入渠道成本。检查退款、自然购票和航线间替代的影响。</w:t>
      </w:r>
    </w:p>
    <w:p>
      <w:pPr>
        <w:pStyle w:val="Heading2"/>
      </w:pPr>
      <w:r>
        <w:t>社会价值怎么写</w:t>
      </w:r>
    </w:p>
    <w:p>
      <w:r>
        <w:rPr>
          <w:rFonts w:ascii="宋体" w:hAnsi="宋体" w:eastAsia="宋体"/>
          <w:b w:val="0"/>
          <w:color w:val="000000"/>
          <w:sz w:val="22"/>
        </w:rPr>
        <w:t>围绕减少无效打扰、提升服务可达性、避免数字排斥、保护数据安全和改善资源配置提出可检验指标。碳减排若没有独立测算依据，就不写确定数值。创新点通过基线与流程差异论证，避免未经检索的首创宣称。</w:t>
      </w:r>
    </w:p>
    <w:p>
      <w:r>
        <w:rPr>
          <w:rFonts w:ascii="宋体" w:hAnsi="宋体" w:eastAsia="宋体"/>
          <w:b w:val="0"/>
          <w:color w:val="000000"/>
          <w:sz w:val="22"/>
        </w:rPr>
      </w:r>
      <w:r>
        <w:rPr>
          <w:rFonts w:ascii="宋体" w:hAnsi="宋体" w:eastAsia="宋体"/>
          <w:b/>
          <w:color w:val="000000"/>
          <w:sz w:val="22"/>
        </w:rPr>
        <w:t>交付物</w:t>
      </w:r>
      <w:r>
        <w:rPr>
          <w:rFonts w:ascii="宋体" w:hAnsi="宋体" w:eastAsia="宋体"/>
          <w:b w:val="0"/>
          <w:color w:val="000000"/>
          <w:sz w:val="22"/>
        </w:rPr>
        <w:t>：管理建议表、责任流程、财务输入表、情景与敏感性分析、社会价值指标。</w:t>
      </w:r>
      <w:r>
        <w:rPr>
          <w:rFonts w:ascii="宋体" w:hAnsi="宋体" w:eastAsia="宋体"/>
          <w:b/>
          <w:color w:val="000000"/>
          <w:sz w:val="22"/>
        </w:rPr>
        <w:t>验收</w:t>
      </w:r>
      <w:r>
        <w:rPr>
          <w:rFonts w:ascii="宋体" w:hAnsi="宋体" w:eastAsia="宋体"/>
          <w:b w:val="0"/>
          <w:color w:val="000000"/>
          <w:sz w:val="22"/>
        </w:rPr>
        <w:t>：建议对应诊断证据，收益与成本口径一致。</w:t>
      </w:r>
    </w:p>
    <w:p>
      <w:pPr>
        <w:pStyle w:val="Heading1"/>
        <w:pageBreakBefore/>
      </w:pPr>
      <w:r>
        <w:t>第九章 安排团队分工和GitHub工作</w:t>
      </w:r>
    </w:p>
    <w:p>
      <w:pPr>
        <w:pStyle w:val="Heading2"/>
      </w:pPr>
      <w:r>
        <w:t>用交付物安排分工</w:t>
      </w:r>
    </w:p>
    <w:p>
      <w:r>
        <w:rPr>
          <w:rFonts w:ascii="宋体" w:hAnsi="宋体" w:eastAsia="宋体"/>
          <w:b w:val="0"/>
          <w:color w:val="000000"/>
          <w:sz w:val="22"/>
        </w:rPr>
        <w:t>按角色分配任务，人数少时可以兼任。每个任务都写需求来源、前置条件、交付文件和验收标准；研究与报告同步推进，不在最后才拼接章节。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59"/>
        <w:gridCol w:w="3764"/>
        <w:gridCol w:w="3388"/>
      </w:tblGrid>
      <w:tr>
        <w:trPr>
          <w:cantSplit/>
          <w:tblHeader/>
        </w:trPr>
        <w:tc>
          <w:tcPr>
            <w:tcW w:type="dxa" w:w="2259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角色</w:t>
            </w:r>
          </w:p>
        </w:tc>
        <w:tc>
          <w:tcPr>
            <w:tcW w:type="dxa" w:w="3764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主要任务</w:t>
            </w:r>
          </w:p>
        </w:tc>
        <w:tc>
          <w:tcPr>
            <w:tcW w:type="dxa" w:w="3388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负责交付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统筹与企业诊断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范围 规则核对 访谈 管理问题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项目定义 诊断及决策建议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数据与分析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来源台账 清洗 趋势 标签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数据字典 需求面板 画像方法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技术与内容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推荐 AIGC 流程及可选原型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技术架构 内容样例 验证设计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报告与商业评估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证据 财务 写作 排版 演示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匿名报告 效益测算 展示材料</w:t>
            </w:r>
          </w:p>
        </w:tc>
      </w:tr>
    </w:tbl>
    <w:p>
      <w:pPr>
        <w:spacing w:after="40" w:before="0"/>
      </w:pPr>
      <w:r>
        <w:rPr>
          <w:rFonts w:ascii="宋体" w:hAnsi="宋体" w:eastAsia="宋体"/>
          <w:b w:val="0"/>
          <w:color w:val="000000"/>
          <w:sz w:val="6"/>
        </w:rPr>
      </w:r>
    </w:p>
    <w:p>
      <w:pPr>
        <w:pStyle w:val="Heading2"/>
      </w:pPr>
      <w:r>
        <w:t>建议六周路线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59"/>
        <w:gridCol w:w="3764"/>
        <w:gridCol w:w="3388"/>
      </w:tblGrid>
      <w:tr>
        <w:trPr>
          <w:cantSplit/>
          <w:tblHeader/>
        </w:trPr>
        <w:tc>
          <w:tcPr>
            <w:tcW w:type="dxa" w:w="2259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时间</w:t>
            </w:r>
          </w:p>
        </w:tc>
        <w:tc>
          <w:tcPr>
            <w:tcW w:type="dxa" w:w="3764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主要工作</w:t>
            </w:r>
          </w:p>
        </w:tc>
        <w:tc>
          <w:tcPr>
            <w:tcW w:type="dxa" w:w="3388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周末交付门槛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第1周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规则核对 范围 来源试采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一页定义 来源台账 研究提纲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第2周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公开信号分析 画像规则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需求图 标签字典 客群样例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第3周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产品匹配 AIGC内容设计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推荐及内容对照 技术架构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第4周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渠道策略 验证 管理建议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闭环方案 评估计划 成本口径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第5周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方案整合 证据 财务情景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报告初稿 数据及结论一致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第6周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修订 匿名核查 可选Demo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Word和PDF 展示材料 提交核对</w:t>
            </w:r>
          </w:p>
        </w:tc>
      </w:tr>
    </w:tbl>
    <w:p>
      <w:pPr>
        <w:spacing w:after="40" w:before="0"/>
      </w:pPr>
      <w:r>
        <w:rPr>
          <w:rFonts w:ascii="宋体" w:hAnsi="宋体" w:eastAsia="宋体"/>
          <w:b w:val="0"/>
          <w:color w:val="000000"/>
          <w:sz w:val="6"/>
        </w:rPr>
      </w:r>
    </w:p>
    <w:p>
      <w:r>
        <w:rPr>
          <w:rFonts w:ascii="宋体" w:hAnsi="宋体" w:eastAsia="宋体"/>
          <w:b w:val="0"/>
          <w:color w:val="000000"/>
          <w:sz w:val="22"/>
        </w:rPr>
        <w:t>这是建议周期，须根据实际作品截止日期压缩或调整；补充攻略中的报名日期不是本指南确认的正式赛程。</w:t>
      </w:r>
    </w:p>
    <w:p>
      <w:pPr>
        <w:pStyle w:val="Heading2"/>
      </w:pPr>
      <w:r>
        <w:t>GitHub只承载可复用和可公开内容</w:t>
      </w:r>
    </w:p>
    <w:p>
      <w:r>
        <w:rPr>
          <w:rFonts w:ascii="宋体" w:hAnsi="宋体" w:eastAsia="宋体"/>
          <w:b w:val="0"/>
          <w:color w:val="000000"/>
          <w:sz w:val="22"/>
        </w:rPr>
        <w:t>主入口为README和本指南；docs保存需求、数据、架构、验证、商业与报告思路。使用Issue模板分配任务，用PR记录修改依据和验收。已有原型位于prototypes/offline-demo目录，仅供参考，当前不要求扩展。真实数据、凭据、成员身份和匿名评审包不得误上传。</w:t>
      </w:r>
    </w:p>
    <w:p>
      <w:r>
        <w:rPr>
          <w:rFonts w:ascii="宋体" w:hAnsi="宋体" w:eastAsia="宋体"/>
          <w:b w:val="0"/>
          <w:color w:val="000000"/>
          <w:sz w:val="22"/>
        </w:rPr>
      </w:r>
      <w:r>
        <w:rPr>
          <w:rFonts w:ascii="宋体" w:hAnsi="宋体" w:eastAsia="宋体"/>
          <w:b/>
          <w:color w:val="000000"/>
          <w:sz w:val="22"/>
        </w:rPr>
        <w:t>交付物</w:t>
      </w:r>
      <w:r>
        <w:rPr>
          <w:rFonts w:ascii="宋体" w:hAnsi="宋体" w:eastAsia="宋体"/>
          <w:b w:val="0"/>
          <w:color w:val="000000"/>
          <w:sz w:val="22"/>
        </w:rPr>
        <w:t>：分工表、阶段计划、任务池与文档索引。</w:t>
      </w:r>
      <w:r>
        <w:rPr>
          <w:rFonts w:ascii="宋体" w:hAnsi="宋体" w:eastAsia="宋体"/>
          <w:b/>
          <w:color w:val="000000"/>
          <w:sz w:val="22"/>
        </w:rPr>
        <w:t>验收</w:t>
      </w:r>
      <w:r>
        <w:rPr>
          <w:rFonts w:ascii="宋体" w:hAnsi="宋体" w:eastAsia="宋体"/>
          <w:b w:val="0"/>
          <w:color w:val="000000"/>
          <w:sz w:val="22"/>
        </w:rPr>
        <w:t>：每个任务有负责人角色和完成定义，研究证据能追溯到报告。</w:t>
      </w:r>
    </w:p>
    <w:p>
      <w:pPr>
        <w:pStyle w:val="Heading1"/>
        <w:pageBreakBefore/>
      </w:pPr>
      <w:r>
        <w:t>第十章 按官方模板组织报告和提交</w:t>
      </w:r>
    </w:p>
    <w:p>
      <w:pPr>
        <w:pStyle w:val="Heading2"/>
      </w:pPr>
      <w:r>
        <w:t>报告章节与项目成果对应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59"/>
        <w:gridCol w:w="3764"/>
        <w:gridCol w:w="3388"/>
      </w:tblGrid>
      <w:tr>
        <w:trPr>
          <w:cantSplit/>
          <w:tblHeader/>
        </w:trPr>
        <w:tc>
          <w:tcPr>
            <w:tcW w:type="dxa" w:w="2259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官方结构</w:t>
            </w:r>
          </w:p>
        </w:tc>
        <w:tc>
          <w:tcPr>
            <w:tcW w:type="dxa" w:w="3764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写什么</w:t>
            </w:r>
          </w:p>
        </w:tc>
        <w:tc>
          <w:tcPr>
            <w:tcW w:type="dxa" w:w="3388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对应项目成果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第一部分 项目基本信息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项目名称 摘要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项目定义 核心结论与证据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第二部分 背景与问题界定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企业痛点 数字技术影响 研究问题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命题资料 企业诊断 来源台账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第二部分 研究分析与结论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数据 方法 验证 诊断结论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需求分析 画像推荐 对照证据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第三部分 管理决策建议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流程 组织 运营与价值改进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管理建议和责任流程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第三部分 数智商业方案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商业 技术 数据 架构 可行性 财务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闭环设计 内容渠道 成本收益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第三部分 创新应用</w:t>
            </w:r>
          </w:p>
        </w:tc>
        <w:tc>
          <w:tcPr>
            <w:tcW w:type="dxa" w:w="3764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差异 机制 实践及限制</w:t>
            </w:r>
          </w:p>
        </w:tc>
        <w:tc>
          <w:tcPr>
            <w:tcW w:type="dxa" w:w="3388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基线比较 可选原型 证据</w:t>
            </w:r>
          </w:p>
        </w:tc>
      </w:tr>
      <w:tr>
        <w:trPr>
          <w:cantSplit/>
        </w:trPr>
        <w:tc>
          <w:tcPr>
            <w:tcW w:type="dxa" w:w="225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第三部分 社会与可持续价值</w:t>
            </w:r>
          </w:p>
        </w:tc>
        <w:tc>
          <w:tcPr>
            <w:tcW w:type="dxa" w:w="376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安全 包容 服务与资源效率</w:t>
            </w:r>
          </w:p>
        </w:tc>
        <w:tc>
          <w:tcPr>
            <w:tcW w:type="dxa" w:w="338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护栏指标 社会价值设计</w:t>
            </w:r>
          </w:p>
        </w:tc>
      </w:tr>
    </w:tbl>
    <w:p>
      <w:pPr>
        <w:spacing w:after="40" w:before="0"/>
      </w:pPr>
      <w:r>
        <w:rPr>
          <w:rFonts w:ascii="宋体" w:hAnsi="宋体" w:eastAsia="宋体"/>
          <w:b w:val="0"/>
          <w:color w:val="000000"/>
          <w:sz w:val="6"/>
        </w:rPr>
      </w:r>
    </w:p>
    <w:p>
      <w:r>
        <w:rPr>
          <w:rFonts w:ascii="宋体" w:hAnsi="宋体" w:eastAsia="宋体"/>
          <w:b w:val="0"/>
          <w:color w:val="000000"/>
          <w:sz w:val="22"/>
        </w:rPr>
        <w:t>正文建议10000至15000字，正式名称通常不超过40字并与官网作品名一致。报告封面包含项目与团队名称；封面和正文不得出现成员、学校、指导老师等身份信息。补充攻略中的“团队介绍”不能直接作为在匿名正文加入人员身份的依据。</w:t>
      </w:r>
    </w:p>
    <w:p>
      <w:r>
        <w:rPr>
          <w:rFonts w:ascii="宋体" w:hAnsi="宋体" w:eastAsia="宋体"/>
          <w:b w:val="0"/>
          <w:color w:val="000000"/>
          <w:sz w:val="22"/>
        </w:rPr>
        <w:t>最终同时准备Word和PDF，按“命题2_团队名称”命名，并核对系统接受的文件格式。模板建议一级标题黑体四号，二级标题宋体四号，三级和正文宋体小四，1.5倍行距。引用资料用脚注，完整访谈提纲和问卷等放附录。</w:t>
      </w:r>
    </w:p>
    <w:p>
      <w:pPr>
        <w:pStyle w:val="Heading2"/>
      </w:pPr>
      <w:r>
        <w:t>最终核对</w:t>
      </w:r>
    </w:p>
    <w:p>
      <w:r>
        <w:rPr>
          <w:rFonts w:ascii="宋体" w:hAnsi="宋体" w:eastAsia="宋体"/>
          <w:b w:val="0"/>
          <w:color w:val="000000"/>
          <w:sz w:val="22"/>
        </w:rPr>
        <w:t>1. 正式作品要求、评分细则和截止时间已经核实，不猜测权重和日期。</w:t>
      </w:r>
    </w:p>
    <w:p>
      <w:r>
        <w:rPr>
          <w:rFonts w:ascii="宋体" w:hAnsi="宋体" w:eastAsia="宋体"/>
          <w:b w:val="0"/>
          <w:color w:val="000000"/>
          <w:sz w:val="22"/>
        </w:rPr>
        <w:t>2. 各章覆盖企业诊断、管理、技术、财务、创新与社会价值。</w:t>
      </w:r>
    </w:p>
    <w:p>
      <w:r>
        <w:rPr>
          <w:rFonts w:ascii="宋体" w:hAnsi="宋体" w:eastAsia="宋体"/>
          <w:b w:val="0"/>
          <w:color w:val="000000"/>
          <w:sz w:val="22"/>
        </w:rPr>
        <w:t>3. 数据、模型、模拟与真实成果标注一致，每个结论可追溯。</w:t>
      </w:r>
    </w:p>
    <w:p>
      <w:r>
        <w:rPr>
          <w:rFonts w:ascii="宋体" w:hAnsi="宋体" w:eastAsia="宋体"/>
          <w:b w:val="0"/>
          <w:color w:val="000000"/>
          <w:sz w:val="22"/>
        </w:rPr>
        <w:t>4. Word和PDF一致，无身份信息、占位符或图表截断。</w:t>
      </w:r>
    </w:p>
    <w:p>
      <w:r>
        <w:rPr>
          <w:rFonts w:ascii="宋体" w:hAnsi="宋体" w:eastAsia="宋体"/>
          <w:b w:val="0"/>
          <w:color w:val="000000"/>
          <w:sz w:val="22"/>
        </w:rPr>
        <w:t>5. 若准备决赛展示，模板鼓励Demo视频不超过5分钟且小于500M；以最终通知为准。</w:t>
      </w:r>
    </w:p>
    <w:p>
      <w:r>
        <w:rPr>
          <w:rFonts w:ascii="宋体" w:hAnsi="宋体" w:eastAsia="宋体"/>
          <w:b w:val="0"/>
          <w:color w:val="000000"/>
          <w:sz w:val="22"/>
        </w:rPr>
      </w:r>
      <w:r>
        <w:rPr>
          <w:rFonts w:ascii="宋体" w:hAnsi="宋体" w:eastAsia="宋体"/>
          <w:b/>
          <w:color w:val="000000"/>
          <w:sz w:val="22"/>
        </w:rPr>
        <w:t>交付物</w:t>
      </w:r>
      <w:r>
        <w:rPr>
          <w:rFonts w:ascii="宋体" w:hAnsi="宋体" w:eastAsia="宋体"/>
          <w:b w:val="0"/>
          <w:color w:val="000000"/>
          <w:sz w:val="22"/>
        </w:rPr>
        <w:t>：完整匿名报告、证据附录、可选展示材料。</w:t>
      </w:r>
      <w:r>
        <w:rPr>
          <w:rFonts w:ascii="宋体" w:hAnsi="宋体" w:eastAsia="宋体"/>
          <w:b/>
          <w:color w:val="000000"/>
          <w:sz w:val="22"/>
        </w:rPr>
        <w:t>验收</w:t>
      </w:r>
      <w:r>
        <w:rPr>
          <w:rFonts w:ascii="宋体" w:hAnsi="宋体" w:eastAsia="宋体"/>
          <w:b w:val="0"/>
          <w:color w:val="000000"/>
          <w:sz w:val="22"/>
        </w:rPr>
        <w:t>：能从问题、依据、决策、方案一路解释到验证与价值。</w:t>
      </w:r>
    </w:p>
    <w:p>
      <w:pPr>
        <w:pStyle w:val="Heading1"/>
        <w:pageBreakBefore/>
      </w:pPr>
      <w:r>
        <w:t>附录 资料来源和当前工作入口</w:t>
      </w:r>
    </w:p>
    <w:p>
      <w:pPr>
        <w:pStyle w:val="Heading2"/>
      </w:pPr>
      <w:r>
        <w:t>来源的作用和边界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3"/>
        <w:gridCol w:w="4706"/>
        <w:gridCol w:w="3953"/>
      </w:tblGrid>
      <w:tr>
        <w:trPr>
          <w:cantSplit/>
          <w:tblHeader/>
        </w:trPr>
        <w:tc>
          <w:tcPr>
            <w:tcW w:type="dxa" w:w="753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编号</w:t>
            </w:r>
          </w:p>
        </w:tc>
        <w:tc>
          <w:tcPr>
            <w:tcW w:type="dxa" w:w="4706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资料</w:t>
            </w:r>
          </w:p>
        </w:tc>
        <w:tc>
          <w:tcPr>
            <w:tcW w:type="dxa" w:w="3953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本指南使用方式</w:t>
            </w:r>
          </w:p>
        </w:tc>
      </w:tr>
      <w:tr>
        <w:trPr>
          <w:cantSplit/>
        </w:trPr>
        <w:tc>
          <w:tcPr>
            <w:tcW w:type="dxa" w:w="75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S1</w:t>
            </w:r>
          </w:p>
        </w:tc>
        <w:tc>
          <w:tcPr>
            <w:tcW w:type="dxa" w:w="47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数字技术应用专项 钻石命题2 东航研发 航旅数字画像PDF</w:t>
            </w:r>
          </w:p>
        </w:tc>
        <w:tc>
          <w:tcPr>
            <w:tcW w:type="dxa" w:w="395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第2至3页的背景 技术要求和实施目标</w:t>
            </w:r>
          </w:p>
        </w:tc>
      </w:tr>
      <w:tr>
        <w:trPr>
          <w:cantSplit/>
        </w:trPr>
        <w:tc>
          <w:tcPr>
            <w:tcW w:type="dxa" w:w="753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S2</w:t>
            </w:r>
          </w:p>
        </w:tc>
        <w:tc>
          <w:tcPr>
            <w:tcW w:type="dxa" w:w="4706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数字技术应用 项目报告模板 0810v Word</w:t>
            </w:r>
          </w:p>
        </w:tc>
        <w:tc>
          <w:tcPr>
            <w:tcW w:type="dxa" w:w="3953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填写说明 章节 排版 匿名及文件要求</w:t>
            </w:r>
          </w:p>
        </w:tc>
      </w:tr>
      <w:tr>
        <w:trPr>
          <w:cantSplit/>
        </w:trPr>
        <w:tc>
          <w:tcPr>
            <w:tcW w:type="dxa" w:w="75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S3</w:t>
            </w:r>
          </w:p>
        </w:tc>
        <w:tc>
          <w:tcPr>
            <w:tcW w:type="dxa" w:w="47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2026年9月27日补充的着手攻略Markdown</w:t>
            </w:r>
          </w:p>
        </w:tc>
        <w:tc>
          <w:tcPr>
            <w:tcW w:type="dxa" w:w="3953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企业数据不可用和公开信息路线等补充规划前提</w:t>
            </w:r>
          </w:p>
        </w:tc>
      </w:tr>
    </w:tbl>
    <w:p>
      <w:pPr>
        <w:spacing w:after="40" w:before="0"/>
      </w:pPr>
      <w:r>
        <w:rPr>
          <w:rFonts w:ascii="宋体" w:hAnsi="宋体" w:eastAsia="宋体"/>
          <w:b w:val="0"/>
          <w:color w:val="000000"/>
          <w:sz w:val="6"/>
        </w:rPr>
      </w:r>
    </w:p>
    <w:p>
      <w:r>
        <w:rPr>
          <w:rFonts w:ascii="宋体" w:hAnsi="宋体" w:eastAsia="宋体"/>
          <w:b w:val="0"/>
          <w:color w:val="000000"/>
          <w:sz w:val="22"/>
        </w:rPr>
        <w:t>S3是整理资料，尚未独立核验其引用的企业宣讲、作品页面和赛程。关于企业不提供真实数据，本计划采用该前提安排工作；关于外部平台个人行为、企业强调和报名日期，不将攻略表述写成已确认的官方事实。正式报告应引用原始解读或通知。</w:t>
      </w:r>
    </w:p>
    <w:p>
      <w:pPr>
        <w:pStyle w:val="Heading2"/>
      </w:pPr>
      <w:r>
        <w:t>仓库入口</w:t>
      </w:r>
    </w:p>
    <w:p>
      <w:r>
        <w:rPr>
          <w:rFonts w:ascii="宋体" w:hAnsi="宋体" w:eastAsia="宋体"/>
          <w:b w:val="0"/>
          <w:color w:val="000000"/>
          <w:sz w:val="22"/>
        </w:rPr>
        <w:t>GitHub地址：</w:t>
      </w:r>
    </w:p>
    <w:p>
      <w:r>
        <w:rPr>
          <w:rFonts w:ascii="宋体" w:hAnsi="宋体" w:eastAsia="宋体"/>
          <w:b w:val="0"/>
          <w:color w:val="000000"/>
          <w:sz w:val="22"/>
        </w:rPr>
        <w:t>https://github.com/huayuxuan05-arch/Smart-Aviation-Marketing-Powering-Passenger-Profiling-with-AIGC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70"/>
        <w:gridCol w:w="4141"/>
      </w:tblGrid>
      <w:tr>
        <w:trPr>
          <w:cantSplit/>
          <w:tblHeader/>
        </w:trPr>
        <w:tc>
          <w:tcPr>
            <w:tcW w:type="dxa" w:w="5270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文件</w:t>
            </w:r>
          </w:p>
        </w:tc>
        <w:tc>
          <w:tcPr>
            <w:tcW w:type="dxa" w:w="4141"/>
            <w:vAlign w:val="center"/>
            <w:shd w:fill="DAE8F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阅读用途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type="dxa" w:w="414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入口 当前状态和目录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docs/project-plan.md</w:t>
            </w:r>
          </w:p>
        </w:tc>
        <w:tc>
          <w:tcPr>
            <w:tcW w:type="dxa" w:w="4141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本指南的可编辑文字源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docs/requirements.md</w:t>
            </w:r>
          </w:p>
        </w:tc>
        <w:tc>
          <w:tcPr>
            <w:tcW w:type="dxa" w:w="414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逐项需求和来源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docs/data-contracts.md及architecture.md</w:t>
            </w:r>
          </w:p>
        </w:tc>
        <w:tc>
          <w:tcPr>
            <w:tcW w:type="dxa" w:w="4141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数据计划和研究架构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docs/evaluation.md及business-case.md</w:t>
            </w:r>
          </w:p>
        </w:tc>
        <w:tc>
          <w:tcPr>
            <w:tcW w:type="dxa" w:w="414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方法验证 管理与收益测算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docs/report/outline.md</w:t>
            </w:r>
          </w:p>
        </w:tc>
        <w:tc>
          <w:tcPr>
            <w:tcW w:type="dxa" w:w="4141"/>
            <w:vAlign w:val="center"/>
            <w:shd w:fill="F5F8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88" w:lineRule="auto"/>
            </w:pPr>
            <w:r>
              <w:rPr>
                <w:rFonts w:ascii="宋体" w:hAnsi="宋体" w:eastAsia="宋体"/>
                <w:b w:val="0"/>
                <w:color w:val="000000"/>
                <w:sz w:val="19"/>
              </w:rPr>
              <w:t>官方报告写作骨架</w:t>
            </w:r>
          </w:p>
        </w:tc>
      </w:tr>
    </w:tbl>
    <w:p>
      <w:pPr>
        <w:spacing w:after="40" w:before="0"/>
      </w:pPr>
      <w:r>
        <w:rPr>
          <w:rFonts w:ascii="宋体" w:hAnsi="宋体" w:eastAsia="宋体"/>
          <w:b w:val="0"/>
          <w:color w:val="000000"/>
          <w:sz w:val="6"/>
        </w:rPr>
      </w:r>
    </w:p>
    <w:p>
      <w:pPr>
        <w:pStyle w:val="Heading2"/>
      </w:pPr>
      <w:r>
        <w:t>今天就可以开始的三项工作</w:t>
      </w:r>
    </w:p>
    <w:p>
      <w:r>
        <w:rPr>
          <w:rFonts w:ascii="宋体" w:hAnsi="宋体" w:eastAsia="宋体"/>
          <w:b w:val="0"/>
          <w:color w:val="000000"/>
          <w:sz w:val="22"/>
        </w:rPr>
        <w:t>1. 定下试点节日、出发区域和目的地集合，写出一页项目定义。</w:t>
      </w:r>
    </w:p>
    <w:p>
      <w:r>
        <w:rPr>
          <w:rFonts w:ascii="宋体" w:hAnsi="宋体" w:eastAsia="宋体"/>
          <w:b w:val="0"/>
          <w:color w:val="000000"/>
          <w:sz w:val="22"/>
        </w:rPr>
        <w:t>2. 核对作品要求和规程附件二，建立可获取的公开数据来源台账。</w:t>
      </w:r>
    </w:p>
    <w:p>
      <w:r>
        <w:rPr>
          <w:rFonts w:ascii="宋体" w:hAnsi="宋体" w:eastAsia="宋体"/>
          <w:b w:val="0"/>
          <w:color w:val="000000"/>
          <w:sz w:val="22"/>
        </w:rPr>
        <w:t>3. 按第九章分工，把每周交付物转成GitHub任务，再开始第一批需求分析。</w:t>
      </w:r>
    </w:p>
    <w:sectPr w:rsidR="00FC693F" w:rsidRPr="0006063C" w:rsidSect="00034616">
      <w:footerReference w:type="default" r:id="rId9"/>
      <w:pgSz w:w="11906" w:h="16838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000000"/>
        <w:sz w:val="18"/>
      </w:rPr>
      <w:t xml:space="preserve">第 </w:t>
    </w:r>
    <w:fldSimple w:instr="PAGE"/>
    <w:r>
      <w:rPr>
        <w:rFonts w:ascii="宋体" w:hAnsi="宋体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0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</w:pPr>
    <w:rPr>
      <w:rFonts w:asciiTheme="majorHAnsi" w:eastAsiaTheme="majorEastAsia" w:hAnsiTheme="majorHAnsi" w:cstheme="majorBidi" w:ascii="黑体" w:hAnsi="黑体" w:eastAsia="黑体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航旅数字画像项目实施指南</dc:title>
  <dc:subject>钻石命题2的研究框架与实施步骤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