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EE29" w14:textId="77777777" w:rsidR="00E603AD" w:rsidRDefault="00E603AD">
      <w:pPr>
        <w:spacing w:after="480"/>
      </w:pPr>
    </w:p>
    <w:p w14:paraId="25F5709D" w14:textId="77777777" w:rsidR="00E603AD" w:rsidRDefault="00000000">
      <w:pPr>
        <w:spacing w:after="120"/>
        <w:jc w:val="center"/>
      </w:pPr>
      <w:r>
        <w:rPr>
          <w:color w:val="555555"/>
          <w:sz w:val="20"/>
          <w:szCs w:val="20"/>
        </w:rPr>
        <w:t>Karel de Grote Hogeschool — Multimedia &amp; Communication Technology</w:t>
      </w:r>
    </w:p>
    <w:p w14:paraId="53EE0915" w14:textId="77777777" w:rsidR="00E603AD" w:rsidRDefault="00000000">
      <w:pPr>
        <w:spacing w:after="120"/>
        <w:jc w:val="center"/>
      </w:pPr>
      <w:r>
        <w:rPr>
          <w:color w:val="555555"/>
          <w:sz w:val="20"/>
          <w:szCs w:val="20"/>
        </w:rPr>
        <w:t>Digital Nomads · Bachelor Project 2026</w:t>
      </w:r>
    </w:p>
    <w:p w14:paraId="6DDF407F" w14:textId="77777777" w:rsidR="00E603AD" w:rsidRDefault="00E603AD">
      <w:pPr>
        <w:spacing w:after="360"/>
      </w:pPr>
    </w:p>
    <w:p w14:paraId="28BA281F" w14:textId="77777777" w:rsidR="00E603AD" w:rsidRDefault="00000000">
      <w:pPr>
        <w:spacing w:after="200"/>
        <w:jc w:val="center"/>
      </w:pPr>
      <w:r>
        <w:rPr>
          <w:b/>
          <w:bCs/>
          <w:color w:val="1A3C5E"/>
          <w:sz w:val="56"/>
          <w:szCs w:val="56"/>
        </w:rPr>
        <w:t>Shared Living Harmony</w:t>
      </w:r>
    </w:p>
    <w:p w14:paraId="08A1FAF7" w14:textId="77777777" w:rsidR="00E603AD" w:rsidRPr="005012D2" w:rsidRDefault="00000000">
      <w:pPr>
        <w:spacing w:after="100"/>
        <w:jc w:val="cente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bCs/>
          <w:i/>
          <w:iCs/>
          <w:color w:val="196B24"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HOOMA</w:t>
      </w:r>
    </w:p>
    <w:p w14:paraId="49259711" w14:textId="77777777" w:rsidR="00E603AD" w:rsidRDefault="00E603AD">
      <w:pPr>
        <w:spacing w:after="120"/>
      </w:pPr>
    </w:p>
    <w:p w14:paraId="42215000" w14:textId="77777777" w:rsidR="00E603AD" w:rsidRDefault="00000000">
      <w:pPr>
        <w:spacing w:after="80"/>
        <w:jc w:val="center"/>
      </w:pPr>
      <w:r>
        <w:rPr>
          <w:i/>
          <w:iCs/>
          <w:color w:val="555555"/>
          <w:sz w:val="26"/>
          <w:szCs w:val="26"/>
        </w:rPr>
        <w:t>Reducing Everyday Emotional Friction in Shared Student Housing</w:t>
      </w:r>
    </w:p>
    <w:p w14:paraId="1306EE43" w14:textId="77777777" w:rsidR="00E603AD" w:rsidRDefault="00E603AD">
      <w:pPr>
        <w:spacing w:after="480"/>
      </w:pPr>
    </w:p>
    <w:p w14:paraId="0BEF4727" w14:textId="77777777" w:rsidR="00E603AD" w:rsidRDefault="00000000">
      <w:pPr>
        <w:spacing w:after="100"/>
        <w:jc w:val="center"/>
      </w:pPr>
      <w:r>
        <w:rPr>
          <w:b/>
          <w:bCs/>
          <w:sz w:val="28"/>
          <w:szCs w:val="28"/>
        </w:rPr>
        <w:t>Ecaterina Moraru</w:t>
      </w:r>
    </w:p>
    <w:p w14:paraId="7589493B" w14:textId="77777777" w:rsidR="00E603AD" w:rsidRDefault="00000000">
      <w:pPr>
        <w:spacing w:after="80"/>
        <w:jc w:val="center"/>
      </w:pPr>
      <w:r>
        <w:rPr>
          <w:color w:val="555555"/>
        </w:rPr>
        <w:t>June 2026</w:t>
      </w:r>
    </w:p>
    <w:p w14:paraId="2ECB40C4" w14:textId="77777777" w:rsidR="00E603AD" w:rsidRDefault="00E603AD">
      <w:pPr>
        <w:spacing w:after="240"/>
      </w:pPr>
    </w:p>
    <w:p w14:paraId="46805B12" w14:textId="77777777" w:rsidR="00E603AD" w:rsidRDefault="00000000">
      <w:pPr>
        <w:spacing w:after="80"/>
        <w:jc w:val="center"/>
      </w:pPr>
      <w:r>
        <w:rPr>
          <w:i/>
          <w:iCs/>
          <w:color w:val="555555"/>
          <w:sz w:val="20"/>
          <w:szCs w:val="20"/>
        </w:rPr>
        <w:t>File: Ecaterina_Moraru_Shared_Living_Harmony_BP2026</w:t>
      </w:r>
    </w:p>
    <w:p w14:paraId="4532A066" w14:textId="77777777" w:rsidR="00E603AD" w:rsidRDefault="00E603AD">
      <w:pPr>
        <w:sectPr w:rsidR="00E603AD">
          <w:pgSz w:w="11906" w:h="16838"/>
          <w:pgMar w:top="1440" w:right="1440" w:bottom="1440" w:left="1440" w:header="708" w:footer="708" w:gutter="0"/>
          <w:cols w:space="720"/>
          <w:docGrid w:linePitch="360"/>
        </w:sectPr>
      </w:pPr>
    </w:p>
    <w:p w14:paraId="4240413F" w14:textId="77777777" w:rsidR="00E603AD" w:rsidRDefault="00000000">
      <w:pPr>
        <w:pStyle w:val="Heading1"/>
      </w:pPr>
      <w:r>
        <w:lastRenderedPageBreak/>
        <w:t>1. Introduction</w:t>
      </w:r>
    </w:p>
    <w:p w14:paraId="3613DFB6" w14:textId="77777777" w:rsidR="00E603AD" w:rsidRDefault="00000000">
      <w:pPr>
        <w:pStyle w:val="Heading2"/>
      </w:pPr>
      <w:r>
        <w:t>1.0 Executive Summary</w:t>
      </w:r>
    </w:p>
    <w:p w14:paraId="337A0A15" w14:textId="77777777" w:rsidR="00E603AD" w:rsidRDefault="00000000">
      <w:pPr>
        <w:spacing w:after="160" w:line="320" w:lineRule="auto"/>
        <w:jc w:val="both"/>
      </w:pPr>
      <w:r>
        <w:t>Shared Living Harmony — released under the commercial brand HOOMA — is a mobile-first Progressive Web Application designed to reduce the everyday emotional friction of shared student housing for the 18–30 cohort. The product integrates three interlocking systems: Smart Rotation, an algorithmic chore-assignment engine grounded in Adams’ (1963) equity theory; the House Harmony Score, a multi-source household health indicator mapped onto a five-band visual taxonomy; and the 3D Energy Core, an ambient Three.js icosahedron that makes household climate legible without reading a number. A privacy-respecting Landlord Portal enables a B2B2C revenue model without converting the product into a surveillance tool.</w:t>
      </w:r>
    </w:p>
    <w:p w14:paraId="6BE18D9C" w14:textId="77777777" w:rsidR="00E603AD" w:rsidRDefault="00000000">
      <w:pPr>
        <w:spacing w:after="160" w:line="320" w:lineRule="auto"/>
        <w:jc w:val="both"/>
      </w:pPr>
      <w:r>
        <w:t>A primary survey (n = 41) conducted across Antwerp student housing confirmed majority-level chore tension in the preceding month (70.7%), strong interest in algorithmic chore assignment (Q9 mean 3.46/5, 54% scoring 4–5), and clear surveillance resistance if landlord visibility were unbounded (39% of respondents flagging concerns). Every consequential design decision in the deployed artefact can be traced to a named feedback source or survey data point. The deployed application is continuously available at the URL listed in Annex D and constitutes the primary deliverable of this bachelor project.</w:t>
      </w:r>
    </w:p>
    <w:p w14:paraId="47028C89" w14:textId="77777777" w:rsidR="00E603AD" w:rsidRDefault="00000000">
      <w:pPr>
        <w:pStyle w:val="Heading2"/>
      </w:pPr>
      <w:r>
        <w:t>1.1 Project Scope and Personal Motivation</w:t>
      </w:r>
    </w:p>
    <w:p w14:paraId="47D64F24" w14:textId="77777777" w:rsidR="00E603AD" w:rsidRDefault="00000000">
      <w:pPr>
        <w:spacing w:after="160" w:line="320" w:lineRule="auto"/>
        <w:jc w:val="both"/>
      </w:pPr>
      <w:r>
        <w:t>This thesis documents the design, implementation, and validation of Shared Living Harmony — a Progressive Web Application released under the product wordmark HOOMA — built to reduce the everyday emotional friction that characterises shared student housing. The work is submitted as the bachelor project of the Multimedia &amp; Communication Technology programme at Karel de Grote Hogeschool (KdG), Antwerp, and is presented as the integrated output of three disciplinary streams the curriculum requires: a Web stream (a deployed, mobile-first PWA), a 3D stream (the Energy Core mood object), and an Audio-Visual stream (the 40-second Product Movie).</w:t>
      </w:r>
    </w:p>
    <w:p w14:paraId="03A6FD16" w14:textId="77777777" w:rsidR="00E603AD" w:rsidRDefault="00000000">
      <w:pPr>
        <w:spacing w:after="160" w:line="320" w:lineRule="auto"/>
        <w:jc w:val="both"/>
      </w:pPr>
      <w:r>
        <w:lastRenderedPageBreak/>
        <w:t>The personal motivation for the project is direct. The researcher has lived in shared international student housing in Antwerp for the full duration of her MCT studies. The recurring observation across multiple kots — and the starting point of this project — was not that housemates were bad people. It was that the absence of any neutral coordinating layer turned small, recoverable household events (a forgotten bin, a finished toilet-paper roll, a stack of dishes left overnight) into the slow accumulation of resentment. The thesis is, in that sense, the formalisation of a problem that the researcher first encountered as a resident, then chose to investigate as a designer.</w:t>
      </w:r>
    </w:p>
    <w:p w14:paraId="3847E2C6" w14:textId="77777777" w:rsidR="00E603AD" w:rsidRDefault="00000000">
      <w:pPr>
        <w:pStyle w:val="Heading2"/>
      </w:pPr>
      <w:r>
        <w:t>1.2 The Problem</w:t>
      </w:r>
    </w:p>
    <w:p w14:paraId="38D39F18" w14:textId="77777777" w:rsidR="00E603AD" w:rsidRDefault="00000000">
      <w:pPr>
        <w:spacing w:after="160" w:line="320" w:lineRule="auto"/>
        <w:jc w:val="both"/>
      </w:pPr>
      <w:r>
        <w:t>The core problem this project addresses is the lack of transparency and personal responsibility in the day-to-day allocation of shared-household labour, combined with the absence of any tool that treats the emotional climate of the home as a first-class signal worth visualising.</w:t>
      </w:r>
    </w:p>
    <w:p w14:paraId="298B3B67" w14:textId="77777777" w:rsidR="00E603AD" w:rsidRDefault="00000000">
      <w:pPr>
        <w:spacing w:after="160" w:line="320" w:lineRule="auto"/>
        <w:jc w:val="both"/>
      </w:pPr>
      <w:r>
        <w:t>In shared homes, young residents repeatedly face three structurally identical failure modes (Schedgy, n.d.; Carlson, 2022; Forbes Woman, n.d.):</w:t>
      </w:r>
    </w:p>
    <w:p w14:paraId="5D72B688" w14:textId="77777777" w:rsidR="00E603AD" w:rsidRDefault="00000000">
      <w:pPr>
        <w:pStyle w:val="ListParagraph"/>
        <w:numPr>
          <w:ilvl w:val="0"/>
          <w:numId w:val="2"/>
        </w:numPr>
        <w:spacing w:before="40" w:after="40" w:line="300" w:lineRule="auto"/>
      </w:pPr>
      <w:r>
        <w:t>Messages in the WhatsApp group are ignored or generate passive aggression, because a request broadcast to many feels owned by none — the diffusion-of-responsibility effect documented in classical social psychology (Wikipedia contributors, n.d.).</w:t>
      </w:r>
    </w:p>
    <w:p w14:paraId="14D170A0" w14:textId="77777777" w:rsidR="00E603AD" w:rsidRDefault="00000000">
      <w:pPr>
        <w:pStyle w:val="ListParagraph"/>
        <w:numPr>
          <w:ilvl w:val="0"/>
          <w:numId w:val="2"/>
        </w:numPr>
        <w:spacing w:before="40" w:after="40" w:line="300" w:lineRule="auto"/>
      </w:pPr>
      <w:r>
        <w:t>Cleaning duties are forgotten and shared supplies (toilet paper, dish soap, trash bags) run out without warning, because tracking sits in one person’s head as invisible mental load (Forbes Woman, n.d.).</w:t>
      </w:r>
    </w:p>
    <w:p w14:paraId="41DA6F36" w14:textId="77777777" w:rsidR="00E603AD" w:rsidRDefault="00000000">
      <w:pPr>
        <w:pStyle w:val="ListParagraph"/>
        <w:numPr>
          <w:ilvl w:val="0"/>
          <w:numId w:val="2"/>
        </w:numPr>
        <w:spacing w:before="40" w:after="40" w:line="300" w:lineRule="auto"/>
      </w:pPr>
      <w:r>
        <w:t>The cumulative burden is distributed unevenly, producing a perception of unfairness and, eventually, household conflict.</w:t>
      </w:r>
    </w:p>
    <w:p w14:paraId="73E93039" w14:textId="77777777" w:rsidR="00E603AD" w:rsidRDefault="00E603AD">
      <w:pPr>
        <w:spacing w:after="120"/>
      </w:pPr>
    </w:p>
    <w:p w14:paraId="53EBF118" w14:textId="77777777" w:rsidR="00E603AD" w:rsidRDefault="00000000">
      <w:pPr>
        <w:spacing w:after="160" w:line="320" w:lineRule="auto"/>
        <w:jc w:val="both"/>
      </w:pPr>
      <w:r>
        <w:t xml:space="preserve">Existing consumer solutions — group chats, paper rotas, and chore-list applications such as Flatify, Sweepy, Nipto, and Splitwise — treat shared living as a coordination problem. They are useful, but they do not address the root cause this thesis identifies: the emotional cost of having to remind, police, and chase one’s housemates is the variable residents most want </w:t>
      </w:r>
      <w:r>
        <w:lastRenderedPageBreak/>
        <w:t>removed, and the variable existing tools cannot remove because they keep the resident in the role of enforcer.</w:t>
      </w:r>
    </w:p>
    <w:p w14:paraId="1D8CFF43" w14:textId="77777777" w:rsidR="00E603AD" w:rsidRDefault="00000000">
      <w:pPr>
        <w:pStyle w:val="Heading2"/>
      </w:pPr>
      <w:r>
        <w:t>1.3 The Opportunity</w:t>
      </w:r>
    </w:p>
    <w:p w14:paraId="45296323" w14:textId="77777777" w:rsidR="00E603AD" w:rsidRDefault="00000000">
      <w:pPr>
        <w:spacing w:after="160" w:line="320" w:lineRule="auto"/>
        <w:jc w:val="both"/>
      </w:pPr>
      <w:r>
        <w:t>Co-living is now a mainstream residential form in Europe. Industry estimates put structured co-living occupancy at over 18.6 million residents in 2024, with the segment projected to grow from approximately USD 3.1 billion in 2025 to USD 23.3 billion by 2034 (CAGR approximately 28.6%). The European student-accommodation market grew from an estimated USD 15.6 billion in 2025 to USD 17.1 billion in 2026 and is forecast to reach USD 27.5 billion by 2031 (CAGR approximately 9.9%).</w:t>
      </w:r>
    </w:p>
    <w:p w14:paraId="5FCD1F96" w14:textId="77777777" w:rsidR="00E603AD" w:rsidRDefault="00000000">
      <w:pPr>
        <w:spacing w:after="160" w:line="320" w:lineRule="auto"/>
        <w:jc w:val="both"/>
      </w:pPr>
      <w:r>
        <w:t>Within that growing market, the PropTech sector has matured around two layers — payments/maintenance and basic resident engagement — but has not produced a category-defining tool for household-internal social harmony. This is the gap Shared Living Harmony is positioned to occupy.</w:t>
      </w:r>
    </w:p>
    <w:p w14:paraId="5B41B095" w14:textId="77777777" w:rsidR="00E603AD" w:rsidRDefault="00000000">
      <w:pPr>
        <w:pStyle w:val="Heading2"/>
      </w:pPr>
      <w:r>
        <w:t>1.4 Research Question and Scope</w:t>
      </w:r>
    </w:p>
    <w:p w14:paraId="02201DF9" w14:textId="77777777" w:rsidR="00E603AD" w:rsidRDefault="00000000">
      <w:pPr>
        <w:spacing w:after="160" w:line="320" w:lineRule="auto"/>
        <w:jc w:val="both"/>
      </w:pPr>
      <w:r>
        <w:t>The thesis pursues one primary research question, broken into four operational sub-questions answered through a mixed-methods design-science study (Peffers, Tuunanen, Rothenberger, &amp; Chatterjee, 2007; Creswell &amp; Plano Clark, 2018):</w:t>
      </w:r>
    </w:p>
    <w:p w14:paraId="252A84C4" w14:textId="77777777" w:rsidR="00E603AD" w:rsidRDefault="00000000">
      <w:pPr>
        <w:spacing w:before="80" w:after="160" w:line="320" w:lineRule="auto"/>
        <w:ind w:left="720" w:right="720"/>
        <w:jc w:val="both"/>
      </w:pPr>
      <w:r>
        <w:rPr>
          <w:i/>
          <w:iCs/>
          <w:color w:val="555555"/>
        </w:rPr>
        <w:t>Can a Progressive Web Application that combines algorithmic task fairness, visible household-level harmony, and a privacy-respecting landlord channel measurably reduce the emotional friction of shared student living in the 18–30 cohort?</w:t>
      </w:r>
    </w:p>
    <w:p w14:paraId="6B342C98" w14:textId="77777777" w:rsidR="00E603AD" w:rsidRDefault="00000000">
      <w:pPr>
        <w:spacing w:after="160" w:line="320" w:lineRule="auto"/>
        <w:jc w:val="both"/>
      </w:pPr>
      <w:r>
        <w:t>The four operational sub-questions — prevalence, coping behaviour, design acceptance, and artefact viability — are stated formally in the Methodology chapter (Section 3.2). Scope is bounded deliberately. The project does not attempt to solve co-living economics (rent-splitting, lease negotiation), co-living matching (who lives with whom), or to replace the household group chat as a social channel. The product replaces only the operational layer of that group chat — the chore reminders, the supply chases, the “who broke the shower” exchanges — and leaves the social layer intact.</w:t>
      </w:r>
    </w:p>
    <w:p w14:paraId="4B9FA872" w14:textId="77777777" w:rsidR="00E603AD" w:rsidRDefault="00000000">
      <w:pPr>
        <w:pStyle w:val="Heading2"/>
      </w:pPr>
      <w:r>
        <w:t>1.5 Why This Audience: 18–30 Student-Kot Residents</w:t>
      </w:r>
    </w:p>
    <w:p w14:paraId="470E068A" w14:textId="77777777" w:rsidR="00E603AD" w:rsidRDefault="00000000">
      <w:pPr>
        <w:spacing w:after="160" w:line="320" w:lineRule="auto"/>
        <w:jc w:val="both"/>
      </w:pPr>
      <w:r>
        <w:lastRenderedPageBreak/>
        <w:t>Selecting an audience the researcher belongs to is methodologically risky and was challenged on those grounds during the Jasper coach review. The thesis defends the choice on three substantive grounds: (a) the prevalence of chore-related tension is highest in this cohort because turnover is high, leases are short, and the “norm-setting” period of a new household repeats every academic year; (b) the acceptance of an algorithmically-mediated coordination tool is highest in a cohort already living in app-mediated coordination contexts; and (c) the market opportunity for a B2B2C model is highest where landlords own clusters of small-resident properties (student kots), not single dwellings. The 30+ economic-pressure cohort is acknowledged as a distinct, equally valid future segment and is treated in the Conclusions and Future Work chapter rather than collapsed into the present design.</w:t>
      </w:r>
    </w:p>
    <w:p w14:paraId="001DAFE8" w14:textId="77777777" w:rsidR="00E603AD" w:rsidRDefault="00000000">
      <w:pPr>
        <w:pStyle w:val="Heading2"/>
      </w:pPr>
      <w:r>
        <w:t>1.6 The Proposed Artefact</w:t>
      </w:r>
    </w:p>
    <w:p w14:paraId="0DF20D9C" w14:textId="77777777" w:rsidR="00E603AD" w:rsidRDefault="00000000">
      <w:pPr>
        <w:spacing w:after="160" w:line="320" w:lineRule="auto"/>
        <w:jc w:val="both"/>
      </w:pPr>
      <w:r>
        <w:t>Shared Living Harmony (HOOMA) is a mobile-first Progressive Web Application built on five interlocking design moves:</w:t>
      </w:r>
    </w:p>
    <w:p w14:paraId="1A00C13D" w14:textId="77777777" w:rsidR="00E603AD" w:rsidRDefault="00000000">
      <w:pPr>
        <w:pStyle w:val="ListParagraph"/>
        <w:numPr>
          <w:ilvl w:val="0"/>
          <w:numId w:val="2"/>
        </w:numPr>
        <w:spacing w:before="40" w:after="40" w:line="300" w:lineRule="auto"/>
      </w:pPr>
      <w:r>
        <w:t>Smart Rotation — an exclusion-plus-contribution-score algorithm that assigns weighted chores in a way the household can audit, removing the social cost of asking.</w:t>
      </w:r>
    </w:p>
    <w:p w14:paraId="2A01FF69" w14:textId="77777777" w:rsidR="00E603AD" w:rsidRDefault="00000000">
      <w:pPr>
        <w:pStyle w:val="ListParagraph"/>
        <w:numPr>
          <w:ilvl w:val="0"/>
          <w:numId w:val="2"/>
        </w:numPr>
        <w:spacing w:before="40" w:after="40" w:line="300" w:lineRule="auto"/>
      </w:pPr>
      <w:r>
        <w:t>House Harmony Score — a household-level 0–100 indicator with a five-band state map (Tense, Unstable, Calm, Stable, Harmonized) that responds to closed tasks and to affective signals from the Rituals zone, not to closed tasks alone.</w:t>
      </w:r>
    </w:p>
    <w:p w14:paraId="29B0184C" w14:textId="77777777" w:rsidR="00E603AD" w:rsidRDefault="00000000">
      <w:pPr>
        <w:pStyle w:val="ListParagraph"/>
        <w:numPr>
          <w:ilvl w:val="0"/>
          <w:numId w:val="2"/>
        </w:numPr>
        <w:spacing w:before="40" w:after="40" w:line="300" w:lineRule="auto"/>
      </w:pPr>
      <w:r>
        <w:t>3D Energy Core — a Three.js icosahedron whose colour and motion encode the harmony state ambiently, so the household can read its own climate without reading a number.</w:t>
      </w:r>
    </w:p>
    <w:p w14:paraId="63A0EDA7" w14:textId="77777777" w:rsidR="00E603AD" w:rsidRDefault="00000000">
      <w:pPr>
        <w:pStyle w:val="ListParagraph"/>
        <w:numPr>
          <w:ilvl w:val="0"/>
          <w:numId w:val="2"/>
        </w:numPr>
        <w:spacing w:before="40" w:after="40" w:line="300" w:lineRule="auto"/>
      </w:pPr>
      <w:r>
        <w:t>Photo Proof of Completion and Reactive Flagging — a media-backed accountability layer that converts an invisible chore into a visible contribution and turns a snap-photo of a mess into a system-assigned reactive task.</w:t>
      </w:r>
    </w:p>
    <w:p w14:paraId="2FCA1BE6" w14:textId="77777777" w:rsidR="00E603AD" w:rsidRDefault="00000000">
      <w:pPr>
        <w:pStyle w:val="ListParagraph"/>
        <w:numPr>
          <w:ilvl w:val="0"/>
          <w:numId w:val="2"/>
        </w:numPr>
        <w:spacing w:before="40" w:after="40" w:line="300" w:lineRule="auto"/>
      </w:pPr>
      <w:r>
        <w:t>Landlord Privacy Line — a strict separation between the tenant-only operational layer and a landlord-facing aggregate property-health view.</w:t>
      </w:r>
    </w:p>
    <w:p w14:paraId="779D2689" w14:textId="77777777" w:rsidR="00E603AD" w:rsidRDefault="00E603AD">
      <w:pPr>
        <w:spacing w:after="120"/>
      </w:pPr>
    </w:p>
    <w:p w14:paraId="62DC49C2" w14:textId="77777777" w:rsidR="00E603AD" w:rsidRDefault="00000000">
      <w:pPr>
        <w:pStyle w:val="Heading2"/>
      </w:pPr>
      <w:r>
        <w:t>1.7 Thesis Structure</w:t>
      </w:r>
    </w:p>
    <w:p w14:paraId="38067836" w14:textId="77777777" w:rsidR="00E603AD" w:rsidRDefault="00000000">
      <w:pPr>
        <w:spacing w:after="160" w:line="320" w:lineRule="auto"/>
        <w:jc w:val="both"/>
      </w:pPr>
      <w:r>
        <w:lastRenderedPageBreak/>
        <w:t>The remainder of this document is organised as follows. Chapter 2 reports the Research that grounds the design decisions in literature and survey data. Chapter 3 sets out the Methodology that produced both the research findings and the artefact. Chapter 4 details the Product / Service Proposal — the value proposition, branding system, and feature inventory. Chapter 5 documents the MVP as built and deployed. Chapter 6 reports the three Validation loops conducted with KdG coaches and an industry mentor, naming the design changes each loop produced. Chapter 7 presents the Business Plan. Chapter 8 closes with Conclusions and Future Work. The Sources &amp; Annexes chapter collects the APA reference list, the survey instrument, wireframes, schema diagrams, and the link to the Product Movie.</w:t>
      </w:r>
    </w:p>
    <w:p w14:paraId="6B3E7633" w14:textId="77777777" w:rsidR="00E603AD" w:rsidRDefault="00000000">
      <w:r>
        <w:br w:type="page"/>
      </w:r>
    </w:p>
    <w:p w14:paraId="56496069" w14:textId="77777777" w:rsidR="00E603AD" w:rsidRDefault="00000000">
      <w:pPr>
        <w:pStyle w:val="Heading1"/>
      </w:pPr>
      <w:r>
        <w:lastRenderedPageBreak/>
        <w:t>2. Research</w:t>
      </w:r>
    </w:p>
    <w:p w14:paraId="58048CE9" w14:textId="77777777" w:rsidR="00E603AD" w:rsidRDefault="00000000">
      <w:pPr>
        <w:pStyle w:val="Heading2"/>
      </w:pPr>
      <w:r>
        <w:t>2.1 Research Overview</w:t>
      </w:r>
    </w:p>
    <w:p w14:paraId="419EAEA5" w14:textId="77777777" w:rsidR="00E603AD" w:rsidRDefault="00000000">
      <w:pPr>
        <w:spacing w:after="160" w:line="320" w:lineRule="auto"/>
        <w:jc w:val="both"/>
      </w:pPr>
      <w:r>
        <w:t>The research layer of this project examines four interlocking areas: resident behaviour under standard coordination tools, fairness mechanisms and Smart Rotation, 3D ambient visualisation of household mood, and business factors driving the B2B2C model. The analysis draws on literature in social psychology, HCI, and PropTech, triangulated against the primary survey data (n = 41). Two theoretical frameworks anchor the design decisions: Adams’ Equity Theory (1963) for the operational/fairness layer, and Collins’ (2004) Interaction Ritual Chains for the affective/community layer.</w:t>
      </w:r>
    </w:p>
    <w:p w14:paraId="7F9ECE46" w14:textId="77777777" w:rsidR="00E603AD" w:rsidRDefault="00000000">
      <w:pPr>
        <w:pStyle w:val="Heading2"/>
      </w:pPr>
      <w:r>
        <w:t>2.2 Resident Behaviour Under Standard Tools</w:t>
      </w:r>
    </w:p>
    <w:p w14:paraId="0A5C4792" w14:textId="77777777" w:rsidR="00E603AD" w:rsidRDefault="00000000">
      <w:pPr>
        <w:pStyle w:val="Heading3"/>
      </w:pPr>
      <w:r>
        <w:t>Theoretical Framework</w:t>
      </w:r>
    </w:p>
    <w:p w14:paraId="1132747F" w14:textId="77777777" w:rsidR="00E603AD" w:rsidRDefault="00000000">
      <w:pPr>
        <w:spacing w:after="160" w:line="320" w:lineRule="auto"/>
        <w:jc w:val="both"/>
      </w:pPr>
      <w:r>
        <w:t>Standard tools (group chats, paper lists) are structurally ineffective because they are impersonal and static. In group settings, personal responsibility decreases through the diffusion-of-responsibility effect: when a task is broadcast to everyone, each individual assumes someone else will do it (Wikipedia contributors, n.d.). Manual reminders also create invisible mental load for the organiser, concentrating planning and coordination on a single person (Forbes Woman, n.d.).</w:t>
      </w:r>
    </w:p>
    <w:p w14:paraId="57ABF86A" w14:textId="77777777" w:rsidR="00E603AD" w:rsidRDefault="00000000">
      <w:pPr>
        <w:pStyle w:val="Heading3"/>
      </w:pPr>
      <w:r>
        <w:t>Literature and Empirical Evidence</w:t>
      </w:r>
    </w:p>
    <w:p w14:paraId="7B65D0E6" w14:textId="77777777" w:rsidR="00E603AD" w:rsidRDefault="00000000">
      <w:pPr>
        <w:spacing w:after="160" w:line="320" w:lineRule="auto"/>
        <w:jc w:val="both"/>
      </w:pPr>
      <w:r>
        <w:t>Research on the diffusion of responsibility effect shows that individuals feel less obligated when tasks are communicated to a group via broadcast channel than when addressed directly (Wikipedia contributors, n.d.). Studies on household labour document that mental load — the coordination dimension of household management — consumes cognitive resources and produces burnout, disproportionately falling on one household member. Tools such as Schedgy demonstrate that assigning tasks to specific individuals and tracking completion significantly reduces missed responsibilities.</w:t>
      </w:r>
    </w:p>
    <w:p w14:paraId="0C0BF1F5" w14:textId="77777777" w:rsidR="00E603AD" w:rsidRDefault="00000000">
      <w:pPr>
        <w:spacing w:after="160" w:line="320" w:lineRule="auto"/>
        <w:jc w:val="both"/>
      </w:pPr>
      <w:r>
        <w:t xml:space="preserve">The survey data triangulate these findings. Of the 41 respondents, 70.7% reported chore-related tension within the preceding month (Q4). When a roommate forgot a chore, the two most common responses were “nothing — silent tension” and “I just do it myself” (Q6) — together representing </w:t>
      </w:r>
      <w:r>
        <w:lastRenderedPageBreak/>
        <w:t>31.7% of all response selections — confirming the silent absorption pattern the literature predicts. Only 29.3% reported never muting the household group chat (Q7), with 12.2% muting it often — a direct behavioural confirmation of the broadcast-channel fatigue the product is designed to remedy.</w:t>
      </w:r>
    </w:p>
    <w:p w14:paraId="414DF4C8" w14:textId="77777777" w:rsidR="00E603AD" w:rsidRDefault="00000000">
      <w:pPr>
        <w:pStyle w:val="Heading3"/>
      </w:pPr>
      <w:r>
        <w:t>Design Recommendations</w:t>
      </w:r>
    </w:p>
    <w:p w14:paraId="66B48002" w14:textId="77777777" w:rsidR="00E603AD" w:rsidRDefault="00000000">
      <w:pPr>
        <w:pStyle w:val="ListParagraph"/>
        <w:numPr>
          <w:ilvl w:val="0"/>
          <w:numId w:val="2"/>
        </w:numPr>
        <w:spacing w:before="40" w:after="40" w:line="300" w:lineRule="auto"/>
      </w:pPr>
      <w:r>
        <w:t>Assign each task to a specific person — eliminate diffuse responsibility.</w:t>
      </w:r>
    </w:p>
    <w:p w14:paraId="359FC763" w14:textId="77777777" w:rsidR="00E603AD" w:rsidRDefault="00000000">
      <w:pPr>
        <w:pStyle w:val="ListParagraph"/>
        <w:numPr>
          <w:ilvl w:val="0"/>
          <w:numId w:val="2"/>
        </w:numPr>
        <w:spacing w:before="40" w:after="40" w:line="300" w:lineRule="auto"/>
      </w:pPr>
      <w:r>
        <w:t>Surface personal, scoped notifications rather than household broadcasts.</w:t>
      </w:r>
    </w:p>
    <w:p w14:paraId="4DB0E1B4" w14:textId="77777777" w:rsidR="00E603AD" w:rsidRDefault="00000000">
      <w:pPr>
        <w:pStyle w:val="ListParagraph"/>
        <w:numPr>
          <w:ilvl w:val="0"/>
          <w:numId w:val="2"/>
        </w:numPr>
        <w:spacing w:before="40" w:after="40" w:line="300" w:lineRule="auto"/>
      </w:pPr>
      <w:r>
        <w:t>Make individual contributions visible through a shared contribution score.</w:t>
      </w:r>
    </w:p>
    <w:p w14:paraId="15CF8DD6" w14:textId="77777777" w:rsidR="00E603AD" w:rsidRDefault="00000000">
      <w:pPr>
        <w:pStyle w:val="ListParagraph"/>
        <w:numPr>
          <w:ilvl w:val="0"/>
          <w:numId w:val="2"/>
        </w:numPr>
        <w:spacing w:before="40" w:after="40" w:line="300" w:lineRule="auto"/>
      </w:pPr>
      <w:r>
        <w:t>Provide push notifications for deadlines, not ambient group-chat noise.</w:t>
      </w:r>
    </w:p>
    <w:p w14:paraId="5680FD3E" w14:textId="77777777" w:rsidR="00E603AD" w:rsidRDefault="00E603AD">
      <w:pPr>
        <w:spacing w:after="120"/>
      </w:pPr>
    </w:p>
    <w:p w14:paraId="2D801DB3" w14:textId="77777777" w:rsidR="00E603AD" w:rsidRDefault="00000000">
      <w:pPr>
        <w:pStyle w:val="Heading2"/>
      </w:pPr>
      <w:r>
        <w:t>2.3 Fairness and Smart Rotation</w:t>
      </w:r>
    </w:p>
    <w:p w14:paraId="27001E44" w14:textId="77777777" w:rsidR="00E603AD" w:rsidRDefault="00000000">
      <w:pPr>
        <w:pStyle w:val="Heading3"/>
      </w:pPr>
      <w:r>
        <w:t>Theoretical Framework</w:t>
      </w:r>
    </w:p>
    <w:p w14:paraId="4A95E00F" w14:textId="77777777" w:rsidR="00E603AD" w:rsidRDefault="00000000">
      <w:pPr>
        <w:spacing w:after="160" w:line="320" w:lineRule="auto"/>
        <w:jc w:val="both"/>
      </w:pPr>
      <w:r>
        <w:t>Perceived fairness depends on task distribution. Adams’ (1963) Equity Theory predicts that perceived injustice — when outcomes are not proportional to inputs — generates resentment and withdrawal. In a household context, uneven chore distribution is the primary trigger of equity tension. Smart Rotation addresses this by automating the assignment decision against a transparent contribution-score baseline, moving the locus of fairness from interpersonal judgment to protocol.</w:t>
      </w:r>
    </w:p>
    <w:p w14:paraId="72C1729E" w14:textId="77777777" w:rsidR="00E603AD" w:rsidRDefault="00000000">
      <w:pPr>
        <w:pStyle w:val="Heading3"/>
      </w:pPr>
      <w:r>
        <w:t>Literature and Empirical Evidence</w:t>
      </w:r>
    </w:p>
    <w:p w14:paraId="02570912" w14:textId="77777777" w:rsidR="00E603AD" w:rsidRDefault="00000000">
      <w:pPr>
        <w:spacing w:after="160" w:line="320" w:lineRule="auto"/>
        <w:jc w:val="both"/>
      </w:pPr>
      <w:r>
        <w:t xml:space="preserve">Research in organisational psychology shows that both procedural and distributive justice (Tyler, 1990) strongly affect satisfaction. Systems with structured rotation and visible workload distribution generate fewer complaints. The survey confirms this: Q5 shows that in 26.8% of households, one person always notices when supplies run out; in 9.8%, nobody notices until a crisis. These are the two failure modes Smart Rotation and Reactive Flagging respectively address. Q9 returned a mean of 3.46/5 for interest in an algorithm-based assignment system (median 4; </w:t>
      </w:r>
      <w:r>
        <w:lastRenderedPageBreak/>
        <w:t>22 of 41, or 54%, scoring 4 or 5) — directional acceptance of the mechanism.</w:t>
      </w:r>
    </w:p>
    <w:p w14:paraId="600399C8" w14:textId="77777777" w:rsidR="00E603AD" w:rsidRDefault="00000000">
      <w:pPr>
        <w:pStyle w:val="Heading3"/>
      </w:pPr>
      <w:r>
        <w:t>Design Recommendations</w:t>
      </w:r>
    </w:p>
    <w:p w14:paraId="052F67E0" w14:textId="77777777" w:rsidR="00E603AD" w:rsidRDefault="00000000">
      <w:pPr>
        <w:pStyle w:val="ListParagraph"/>
        <w:numPr>
          <w:ilvl w:val="0"/>
          <w:numId w:val="2"/>
        </w:numPr>
        <w:spacing w:before="40" w:after="40" w:line="300" w:lineRule="auto"/>
      </w:pPr>
      <w:r>
        <w:t>Assign visible weights to tasks to make effort comparable.</w:t>
      </w:r>
    </w:p>
    <w:p w14:paraId="06B0BB2B" w14:textId="77777777" w:rsidR="00E603AD" w:rsidRDefault="00000000">
      <w:pPr>
        <w:pStyle w:val="ListParagraph"/>
        <w:numPr>
          <w:ilvl w:val="0"/>
          <w:numId w:val="2"/>
        </w:numPr>
        <w:spacing w:before="40" w:after="40" w:line="300" w:lineRule="auto"/>
      </w:pPr>
      <w:r>
        <w:t>Explain rotation logic transparently; never use a black-box algorithm.</w:t>
      </w:r>
    </w:p>
    <w:p w14:paraId="45091C57" w14:textId="77777777" w:rsidR="00E603AD" w:rsidRDefault="00000000">
      <w:pPr>
        <w:pStyle w:val="ListParagraph"/>
        <w:numPr>
          <w:ilvl w:val="0"/>
          <w:numId w:val="2"/>
        </w:numPr>
        <w:spacing w:before="40" w:after="40" w:line="300" w:lineRule="auto"/>
      </w:pPr>
      <w:r>
        <w:t>The exclusion rule (never assign the same heavy task twice in a row) is the simplest legible expression of fairness.</w:t>
      </w:r>
    </w:p>
    <w:p w14:paraId="09910688" w14:textId="77777777" w:rsidR="00E603AD" w:rsidRDefault="00000000">
      <w:pPr>
        <w:pStyle w:val="ListParagraph"/>
        <w:numPr>
          <w:ilvl w:val="0"/>
          <w:numId w:val="2"/>
        </w:numPr>
        <w:spacing w:before="40" w:after="40" w:line="300" w:lineRule="auto"/>
      </w:pPr>
      <w:r>
        <w:t>Reactive Flagging uses photo evidence to depersonalise incident assignment. Fogg’s (2009) Behaviour Model (B = MAP: Behaviour occurs when Motivation, Ability, and a Prompt converge simultaneously) explains why this matters: the photo snap reduces the Ability barrier to near zero (one tap), preserves intrinsic Motivation by removing social risk, and delivers the Prompt in the moment the mess is visible.</w:t>
      </w:r>
    </w:p>
    <w:p w14:paraId="1BB4497A" w14:textId="77777777" w:rsidR="00E603AD" w:rsidRDefault="00E603AD">
      <w:pPr>
        <w:spacing w:after="120"/>
      </w:pPr>
    </w:p>
    <w:p w14:paraId="6E739E64" w14:textId="77777777" w:rsidR="00E603AD" w:rsidRDefault="00000000">
      <w:pPr>
        <w:pStyle w:val="Heading2"/>
      </w:pPr>
      <w:r>
        <w:t>2.4 3D Visualisation of Household Mood</w:t>
      </w:r>
    </w:p>
    <w:p w14:paraId="649050B2" w14:textId="77777777" w:rsidR="00E603AD" w:rsidRDefault="00000000">
      <w:pPr>
        <w:pStyle w:val="Heading3"/>
      </w:pPr>
      <w:r>
        <w:t>Theoretical Framework</w:t>
      </w:r>
    </w:p>
    <w:p w14:paraId="0F74ABF0" w14:textId="77777777" w:rsidR="00E603AD" w:rsidRDefault="00000000">
      <w:pPr>
        <w:spacing w:after="160" w:line="320" w:lineRule="auto"/>
        <w:jc w:val="both"/>
      </w:pPr>
      <w:r>
        <w:t>The affective layer of shared living extends beyond chore completion. Collins’ (2004) Interaction Ritual Chains theory holds that collective rituals — shared meals, co-cleaning events, communal gatherings — generate “emotional energy” that sustains group cohesion. A household harmony indicator that responds only to closed tasks would, as coach Jasper identified in the strategic feedback loop, reduce harmony to a productivity score. The Operational / Affective split — the thesis’s central design contribution — is the architectural response to this critique.</w:t>
      </w:r>
    </w:p>
    <w:p w14:paraId="09F4BF8D" w14:textId="77777777" w:rsidR="00E603AD" w:rsidRDefault="00000000">
      <w:pPr>
        <w:pStyle w:val="Heading3"/>
      </w:pPr>
      <w:r>
        <w:t>Literature and Empirical Evidence</w:t>
      </w:r>
    </w:p>
    <w:p w14:paraId="0D6541E4" w14:textId="77777777" w:rsidR="00E603AD" w:rsidRDefault="00000000">
      <w:pPr>
        <w:spacing w:after="160" w:line="320" w:lineRule="auto"/>
        <w:jc w:val="both"/>
      </w:pPr>
      <w:r>
        <w:t xml:space="preserve">HCI research on ambient displays (Columbia University, n.d.) shows improved group awareness and engagement when environmental signals make collective state legible without requiring active attention. Colour-coded, animated visuals attract significantly more attention than static ones. Simple metaphors (colour, geometry) are more intuitive than complex numeric dashboards. Norman’s (2004) three-level model of emotional design — visceral, behavioural, and reflective — further supports this approach: a visceral response to the Core’s colour and motion creates </w:t>
      </w:r>
      <w:r>
        <w:lastRenderedPageBreak/>
        <w:t>immediate affective legibility before the resident consciously reads any number, while the behavioural level is served by the Core’s predictable response rules (smooth rotation = high harmony; vertex jitter = low harmony). The 3D Energy Core applies these findings directly: colour encodes the harmony band (red/orange at low; amber at mid; sage/blue at high); geometry encodes stability (smooth rotation at high harmony; vertex jitter at low); and a non-looping Shock Pulse converts an overdue-task event into an environmental cue rather than a notification.</w:t>
      </w:r>
    </w:p>
    <w:p w14:paraId="009D8E1D" w14:textId="77777777" w:rsidR="00E603AD" w:rsidRDefault="00000000">
      <w:pPr>
        <w:pStyle w:val="Heading3"/>
      </w:pPr>
      <w:r>
        <w:t>Design Recommendations</w:t>
      </w:r>
    </w:p>
    <w:p w14:paraId="3761B08C" w14:textId="77777777" w:rsidR="00E603AD" w:rsidRDefault="00000000">
      <w:pPr>
        <w:pStyle w:val="ListParagraph"/>
        <w:numPr>
          <w:ilvl w:val="0"/>
          <w:numId w:val="2"/>
        </w:numPr>
        <w:spacing w:before="40" w:after="40" w:line="300" w:lineRule="auto"/>
      </w:pPr>
      <w:r>
        <w:t>Use simple, consistent metaphors — colour and geometry — not numbers.</w:t>
      </w:r>
    </w:p>
    <w:p w14:paraId="39BEC5AD" w14:textId="77777777" w:rsidR="00E603AD" w:rsidRDefault="00000000">
      <w:pPr>
        <w:pStyle w:val="ListParagraph"/>
        <w:numPr>
          <w:ilvl w:val="0"/>
          <w:numId w:val="2"/>
        </w:numPr>
        <w:spacing w:before="40" w:after="40" w:line="300" w:lineRule="auto"/>
      </w:pPr>
      <w:r>
        <w:t>Provide one-time onboarding to explain the visual language.</w:t>
      </w:r>
    </w:p>
    <w:p w14:paraId="66B2427B" w14:textId="77777777" w:rsidR="00E603AD" w:rsidRDefault="00000000">
      <w:pPr>
        <w:pStyle w:val="ListParagraph"/>
        <w:numPr>
          <w:ilvl w:val="0"/>
          <w:numId w:val="2"/>
        </w:numPr>
        <w:spacing w:before="40" w:after="40" w:line="300" w:lineRule="auto"/>
      </w:pPr>
      <w:r>
        <w:t>Allow interactive affective input through Rituals and Bloom signals.</w:t>
      </w:r>
    </w:p>
    <w:p w14:paraId="5FAD5135" w14:textId="77777777" w:rsidR="00E603AD" w:rsidRDefault="00000000">
      <w:pPr>
        <w:pStyle w:val="ListParagraph"/>
        <w:numPr>
          <w:ilvl w:val="0"/>
          <w:numId w:val="2"/>
        </w:numPr>
        <w:spacing w:before="40" w:after="40" w:line="300" w:lineRule="auto"/>
      </w:pPr>
      <w:r>
        <w:t>Ensure breaking harmony is sudden (Shock Pulse), building it gradual (Bloom).</w:t>
      </w:r>
    </w:p>
    <w:p w14:paraId="17114702" w14:textId="77777777" w:rsidR="00E603AD" w:rsidRDefault="00E603AD">
      <w:pPr>
        <w:spacing w:after="120"/>
      </w:pPr>
    </w:p>
    <w:p w14:paraId="0CDDC8A8" w14:textId="77777777" w:rsidR="00E603AD" w:rsidRDefault="00000000">
      <w:pPr>
        <w:pStyle w:val="Heading2"/>
      </w:pPr>
      <w:r>
        <w:t>2.5 Business Factors: Value for Landlords and Operators</w:t>
      </w:r>
    </w:p>
    <w:p w14:paraId="33679FF6" w14:textId="77777777" w:rsidR="00E603AD" w:rsidRDefault="00000000">
      <w:pPr>
        <w:pStyle w:val="Heading3"/>
      </w:pPr>
      <w:r>
        <w:t>Theoretical Framework</w:t>
      </w:r>
    </w:p>
    <w:p w14:paraId="29706C6C" w14:textId="77777777" w:rsidR="00E603AD" w:rsidRDefault="00000000">
      <w:pPr>
        <w:spacing w:after="160" w:line="320" w:lineRule="auto"/>
        <w:jc w:val="both"/>
      </w:pPr>
      <w:r>
        <w:t>Putnam’s (2000) concept of social capital — the networks and norms that facilitate cooperation — provides a theoretical basis for the product’s commercial positioning. A household with high social capital experiences lower conflict, higher satisfaction, and lower churn. The B2B2C model converts this insight into a subscription: landlords pay for a property-health signal because that signal is a leading indicator of occupancy stability.</w:t>
      </w:r>
    </w:p>
    <w:p w14:paraId="58FC2CB8" w14:textId="77777777" w:rsidR="00E603AD" w:rsidRDefault="00000000">
      <w:pPr>
        <w:pStyle w:val="Heading3"/>
      </w:pPr>
      <w:r>
        <w:t>Literature and Empirical Evidence</w:t>
      </w:r>
    </w:p>
    <w:p w14:paraId="5D4C859B" w14:textId="77777777" w:rsidR="00E603AD" w:rsidRDefault="00000000">
      <w:pPr>
        <w:spacing w:after="160" w:line="320" w:lineRule="auto"/>
        <w:jc w:val="both"/>
      </w:pPr>
      <w:r>
        <w:t>Co-living operators report a direct link between resident satisfaction and occupancy rates. Industry analyses indicate that each retained renter generates roughly USD 900 per year in additional profit, making conflict reduction a quantifiable business outcome (Conscious Coliving, n.d.). The ROI arithmetic for a landlord subscribing at the Landlord Basic tier is deliberately legible: at €9 per property per month (€108 per year), a 10-property portfolio reaches break-even if the product prevents fewer than one tenant churn per property every eight months — that is, a churn reduction of roughly 4% across the portfolio. Because the industry vacancy-</w:t>
      </w:r>
      <w:r>
        <w:lastRenderedPageBreak/>
        <w:t>and-replacement cost per student room is typically €800–€1,000 (including advertising, cleaning, and one month of lost rent), each prevented vacancy more than covers a full year’s subscription. Many modern Property Management Systems — Yardi, Buildium, AppFolio — already integrate tenant-facing apps, making a harmony module a natural extension. The survey’s Q10 results confirm the design constraint: only 12 of 41 respondents (29.3%) would accept unrestricted landlord visibility; 11 (26.8%) only with a tenant-controlled toggle; 5 (12.2%) explicitly called it surveillance. This means 39% of respondents flagged concerns — a threshold that makes the Privacy Line a stable design requirement, not a preference.</w:t>
      </w:r>
    </w:p>
    <w:p w14:paraId="5BAE6153" w14:textId="77777777" w:rsidR="00E603AD" w:rsidRDefault="00000000">
      <w:pPr>
        <w:pStyle w:val="Heading3"/>
      </w:pPr>
      <w:r>
        <w:t>Design Recommendations</w:t>
      </w:r>
    </w:p>
    <w:p w14:paraId="4BD89B12" w14:textId="77777777" w:rsidR="00E603AD" w:rsidRDefault="00000000">
      <w:pPr>
        <w:pStyle w:val="ListParagraph"/>
        <w:numPr>
          <w:ilvl w:val="0"/>
          <w:numId w:val="2"/>
        </w:numPr>
        <w:spacing w:before="40" w:after="40" w:line="300" w:lineRule="auto"/>
      </w:pPr>
      <w:r>
        <w:t>Landlord channel shows aggregate property health, not individual chore events.</w:t>
      </w:r>
    </w:p>
    <w:p w14:paraId="4FC1ED49" w14:textId="77777777" w:rsidR="00E603AD" w:rsidRDefault="00000000">
      <w:pPr>
        <w:pStyle w:val="ListParagraph"/>
        <w:numPr>
          <w:ilvl w:val="0"/>
          <w:numId w:val="2"/>
        </w:numPr>
        <w:spacing w:before="40" w:after="40" w:line="300" w:lineRule="auto"/>
      </w:pPr>
      <w:r>
        <w:t>The Privacy Line is architectural: landlords cannot reach chore-level API endpoints by design.</w:t>
      </w:r>
    </w:p>
    <w:p w14:paraId="5DB8EB00" w14:textId="77777777" w:rsidR="00E603AD" w:rsidRDefault="00000000">
      <w:pPr>
        <w:pStyle w:val="ListParagraph"/>
        <w:numPr>
          <w:ilvl w:val="0"/>
          <w:numId w:val="2"/>
        </w:numPr>
        <w:spacing w:before="40" w:after="40" w:line="300" w:lineRule="auto"/>
      </w:pPr>
      <w:r>
        <w:t>Position the product as a subscriber to a property-health signal, not as a surveillance tool.</w:t>
      </w:r>
    </w:p>
    <w:p w14:paraId="1A1C44E8" w14:textId="77777777" w:rsidR="00E603AD" w:rsidRDefault="00000000">
      <w:pPr>
        <w:pStyle w:val="ListParagraph"/>
        <w:numPr>
          <w:ilvl w:val="0"/>
          <w:numId w:val="2"/>
        </w:numPr>
        <w:spacing w:before="40" w:after="40" w:line="300" w:lineRule="auto"/>
      </w:pPr>
      <w:r>
        <w:t>The B2B2C model allows free resident access while generating revenue from operators.</w:t>
      </w:r>
    </w:p>
    <w:p w14:paraId="498C2CF5" w14:textId="77777777" w:rsidR="00E603AD" w:rsidRDefault="00E603AD">
      <w:pPr>
        <w:spacing w:after="120"/>
      </w:pPr>
    </w:p>
    <w:p w14:paraId="21A58115" w14:textId="77777777" w:rsidR="00E603AD" w:rsidRDefault="00000000">
      <w:pPr>
        <w:pStyle w:val="Heading2"/>
      </w:pPr>
      <w:r>
        <w:t>2.6 Research Conclusions</w:t>
      </w:r>
    </w:p>
    <w:p w14:paraId="6555C071" w14:textId="77777777" w:rsidR="00E603AD" w:rsidRDefault="00000000">
      <w:pPr>
        <w:spacing w:after="160" w:line="320" w:lineRule="auto"/>
        <w:jc w:val="both"/>
      </w:pPr>
      <w:r>
        <w:t>The literature and survey data converge on three stable findings. First, standard broadcast-channel coordination is structurally ineffective: it generates diffused responsibility, silent tension, and one-person mental load. Second, algorithmic fairness with visible transparency is accepted by the target cohort: 54% of respondents scored interest in Smart Rotation at 4 or 5. Third, the landlord channel requires a structural Privacy Line: 39% of respondents expressed concerns about unbounded landlord visibility. These three findings are the empirical basis for the three core design contributions documented in Chapters 4, 5, and 6.</w:t>
      </w:r>
    </w:p>
    <w:p w14:paraId="25C4A9A3" w14:textId="77777777" w:rsidR="00E603AD" w:rsidRDefault="00000000">
      <w:r>
        <w:br w:type="page"/>
      </w:r>
    </w:p>
    <w:p w14:paraId="04AC8BFD" w14:textId="77777777" w:rsidR="00E603AD" w:rsidRDefault="00000000">
      <w:pPr>
        <w:pStyle w:val="Heading1"/>
      </w:pPr>
      <w:r>
        <w:lastRenderedPageBreak/>
        <w:t>3. Methodology</w:t>
      </w:r>
    </w:p>
    <w:p w14:paraId="6A831E1B" w14:textId="77777777" w:rsidR="00E603AD" w:rsidRDefault="00000000">
      <w:pPr>
        <w:pStyle w:val="Heading2"/>
      </w:pPr>
      <w:r>
        <w:t>3.1 Research Approach</w:t>
      </w:r>
    </w:p>
    <w:p w14:paraId="4326F0AA" w14:textId="77777777" w:rsidR="00E603AD" w:rsidRDefault="00000000">
      <w:pPr>
        <w:spacing w:after="160" w:line="320" w:lineRule="auto"/>
        <w:jc w:val="both"/>
      </w:pPr>
      <w:r>
        <w:t>This study followed a mixed-methods, design-science research strategy (Creswell &amp; Plano Clark, 2018; Peffers et al., 2007). The objective was not only to describe the problem of conflict in shared student housing, but to design and evaluate a working software artefact — Shared Living Harmony (HOOMA) — as a possible response to it. Because the research question concerned both a measurable social phenomenon (how often chore-related tension occurs, what behaviours follow it) and a designed intervention (whether a fairness algorithm and a household harmony indicator change those behaviours), neither a purely quantitative nor a purely qualitative method would have been sufficient on its own. Quantitative data establishes prevalence and direction; qualitative data explains why a behaviour happens and surfaces the incident stories the system needs to be designed for; design-science framing keeps both data streams accountable to a concrete artefact rather than to abstract theory-building.</w:t>
      </w:r>
    </w:p>
    <w:p w14:paraId="47EB7117" w14:textId="77777777" w:rsidR="00E603AD" w:rsidRDefault="00000000">
      <w:pPr>
        <w:pStyle w:val="Heading2"/>
      </w:pPr>
      <w:r>
        <w:t>3.2 Research Questions</w:t>
      </w:r>
    </w:p>
    <w:p w14:paraId="2E5E5633" w14:textId="77777777" w:rsidR="00E603AD" w:rsidRDefault="00000000">
      <w:pPr>
        <w:spacing w:after="160" w:line="320" w:lineRule="auto"/>
        <w:jc w:val="both"/>
      </w:pPr>
      <w:r>
        <w:t>The Methodology was structured to answer four questions:</w:t>
      </w:r>
    </w:p>
    <w:p w14:paraId="741DAA02" w14:textId="77777777" w:rsidR="00E603AD" w:rsidRDefault="00000000">
      <w:pPr>
        <w:pStyle w:val="ListParagraph"/>
        <w:numPr>
          <w:ilvl w:val="0"/>
          <w:numId w:val="2"/>
        </w:numPr>
        <w:spacing w:before="40" w:after="40" w:line="300" w:lineRule="auto"/>
      </w:pPr>
      <w:r>
        <w:t>RQ1 — Prevalence: How often does shared-housing friction around chores, supplies, and noise occur in the 18–30 student population, and how severe is it?</w:t>
      </w:r>
    </w:p>
    <w:p w14:paraId="310FF382" w14:textId="77777777" w:rsidR="00E603AD" w:rsidRDefault="00000000">
      <w:pPr>
        <w:pStyle w:val="ListParagraph"/>
        <w:numPr>
          <w:ilvl w:val="0"/>
          <w:numId w:val="2"/>
        </w:numPr>
        <w:spacing w:before="40" w:after="40" w:line="300" w:lineRule="auto"/>
      </w:pPr>
      <w:r>
        <w:t>RQ2 — Coping: What do residents currently do when a chore is forgotten, a supply runs out, or a roommate falls behind?</w:t>
      </w:r>
    </w:p>
    <w:p w14:paraId="4BFD818A" w14:textId="77777777" w:rsidR="00E603AD" w:rsidRDefault="00000000">
      <w:pPr>
        <w:pStyle w:val="ListParagraph"/>
        <w:numPr>
          <w:ilvl w:val="0"/>
          <w:numId w:val="2"/>
        </w:numPr>
        <w:spacing w:before="40" w:after="40" w:line="300" w:lineRule="auto"/>
      </w:pPr>
      <w:r>
        <w:t>RQ3 — Design acceptance: Would residents accept a fairness-algorithm-based assignment system and a household-level harmony indicator visible to a landlord?</w:t>
      </w:r>
    </w:p>
    <w:p w14:paraId="575F77A1" w14:textId="77777777" w:rsidR="00E603AD" w:rsidRDefault="00000000">
      <w:pPr>
        <w:pStyle w:val="ListParagraph"/>
        <w:numPr>
          <w:ilvl w:val="0"/>
          <w:numId w:val="2"/>
        </w:numPr>
        <w:spacing w:before="40" w:after="40" w:line="300" w:lineRule="auto"/>
      </w:pPr>
      <w:r>
        <w:t>RQ4 — Artefact viability: Can a working Progressive Web Application implementing Smart Rotation and the House Harmony Score be built, deployed, and shown to behave coherently within the bachelor-project timeframe?</w:t>
      </w:r>
    </w:p>
    <w:p w14:paraId="047D35EE" w14:textId="77777777" w:rsidR="00E603AD" w:rsidRDefault="00E603AD">
      <w:pPr>
        <w:spacing w:after="120"/>
      </w:pPr>
    </w:p>
    <w:p w14:paraId="528AA827" w14:textId="77777777" w:rsidR="00E603AD" w:rsidRDefault="00000000">
      <w:pPr>
        <w:spacing w:after="160" w:line="320" w:lineRule="auto"/>
        <w:jc w:val="both"/>
      </w:pPr>
      <w:r>
        <w:t>RQ1 and RQ3 were addressed primarily through the survey. RQ2 was addressed through the survey’s open-text fields and through field notes. RQ4 was addressed through iterative prototyping and expert review.</w:t>
      </w:r>
    </w:p>
    <w:p w14:paraId="2C61BEF4" w14:textId="77777777" w:rsidR="00E603AD" w:rsidRDefault="00000000">
      <w:pPr>
        <w:pStyle w:val="Heading2"/>
      </w:pPr>
      <w:r>
        <w:lastRenderedPageBreak/>
        <w:t>3.3 Research Design</w:t>
      </w:r>
    </w:p>
    <w:p w14:paraId="3CE767DD" w14:textId="77777777" w:rsidR="00E603AD" w:rsidRDefault="00000000">
      <w:pPr>
        <w:spacing w:after="160" w:line="320" w:lineRule="auto"/>
        <w:jc w:val="both"/>
      </w:pPr>
      <w:r>
        <w:t>The study combined six interlocking data streams. Stream 1 was desk research (secondary, qualitative) forming the theory base for fairness, group dynamics, ambient displays, and the co-living market. Stream 2 was a quantitative survey (n = 41, primary quantitative) establishing prevalence, severity, and design acceptance. Stream 3 comprised open-text survey responses (primary qualitative) yielding incident stories, vocabulary, and edge cases. Stream 4 was researcher field notes (primary qualitative, auto-ethnographic) providing lived-experience grounding and positionality. Stream 5 was expert consultations (primary qualitative) giving iterative feedback from KdG coaches and an industry mentor. Stream 6 was iterative prototyping (primary design output) demonstrating that the proposed artefact is buildable. Each stream was triangulated against at least one other (Patton, 2015). The survey finding that 70.7% of respondents reported chore-related tension in the past month was triangulated against the open-text incident stories (Stream 3) and the researcher’s own field notes (Stream 4) before being treated as a stable observation.</w:t>
      </w:r>
    </w:p>
    <w:p w14:paraId="14885F3B" w14:textId="77777777" w:rsidR="00E603AD" w:rsidRDefault="00000000">
      <w:pPr>
        <w:pStyle w:val="Heading2"/>
      </w:pPr>
      <w:r>
        <w:t>3.4 Data Collection</w:t>
      </w:r>
    </w:p>
    <w:p w14:paraId="4EBA1B05" w14:textId="77777777" w:rsidR="00E603AD" w:rsidRDefault="00000000">
      <w:pPr>
        <w:pStyle w:val="Heading3"/>
      </w:pPr>
      <w:r>
        <w:t>3.4.1 Desk Research</w:t>
      </w:r>
    </w:p>
    <w:p w14:paraId="54AB7EAF" w14:textId="77777777" w:rsidR="00E603AD" w:rsidRDefault="00000000">
      <w:pPr>
        <w:spacing w:after="160" w:line="320" w:lineRule="auto"/>
        <w:jc w:val="both"/>
      </w:pPr>
      <w:r>
        <w:t>A targeted literature and industry-source review informed the Research chapter. Sources covered four areas: (a) social psychology of fairness and the diffusion-of-responsibility effect; (b) HCI work on ambient displays and group awareness; (c) product analyses of competing chore-management apps (Flatify, Sweepy, Nipto, Splitwise); and (d) the European co-living market (size, growth, B2B2C models). All references appear in the Sources &amp; Annexes chapter in APA 7th-edition format.</w:t>
      </w:r>
    </w:p>
    <w:p w14:paraId="5227E0AE" w14:textId="77777777" w:rsidR="00E603AD" w:rsidRDefault="00000000">
      <w:pPr>
        <w:pStyle w:val="Heading3"/>
      </w:pPr>
      <w:r>
        <w:t>3.4.2 Quantitative Survey</w:t>
      </w:r>
    </w:p>
    <w:p w14:paraId="5EE35CA2" w14:textId="77777777" w:rsidR="00E603AD" w:rsidRDefault="00000000">
      <w:pPr>
        <w:spacing w:after="160" w:line="320" w:lineRule="auto"/>
        <w:jc w:val="both"/>
      </w:pPr>
      <w:r>
        <w:t>A self-administered online questionnaire — the Shared Living 90-second survey — was distributed between 20 May 2026 and 2 June 2026 via the researcher’s personal network (Instagram direct messages, WhatsApp, in-person QR-code shares around KdG and Antwerp student kots). The instrument was deliberately short — thirteen closed questions plus one optional open paragraph — to maximise completion rate among a time-</w:t>
      </w:r>
      <w:r>
        <w:lastRenderedPageBreak/>
        <w:t>poor audience. Total responses at the cut-off used in this thesis: n = 41. The instrument captured five themed sections: living situation (Q1–Q3), chores and supplies (Q4–Q6), group chat and household mood (Q7–Q8), reception of the proposed fairness algorithm and household-level harmony score visible to a landlord (Q9–Q11), and willingness to be re-contacted for a longer interview (Q12), followed by an optional incident-story paragraph (Q13).</w:t>
      </w:r>
    </w:p>
    <w:p w14:paraId="5365A27E" w14:textId="77777777" w:rsidR="00E603AD" w:rsidRDefault="00000000">
      <w:pPr>
        <w:pStyle w:val="Heading3"/>
      </w:pPr>
      <w:r>
        <w:t>3.4.3 Qualitative Analysis of Open-Text Responses</w:t>
      </w:r>
    </w:p>
    <w:p w14:paraId="7D17AE56" w14:textId="77777777" w:rsidR="00E603AD" w:rsidRDefault="00000000">
      <w:pPr>
        <w:spacing w:after="160" w:line="320" w:lineRule="auto"/>
        <w:jc w:val="both"/>
      </w:pPr>
      <w:r>
        <w:t>Two open-text columns — the “main issue in your shared household” free-text and the optional Q13 “worst chore-related moment” paragraph — were analysed using a lightweight reflexive thematic analysis procedure (Braun &amp; Clarke, 2006, 2019). Responses were first transcribed verbatim (including responses written in Dutch, which the bilingual researcher translated into English while preserving original phrasing). The text was then coded inductively; codes were grouped into themes; themes were named after a second pass. The themes that emerged — kitchen hygiene, silent tension, uneven labour, supplies running out, landlord opacity, noise — directly shaped the feature prioritisation in the MVP chapter.</w:t>
      </w:r>
    </w:p>
    <w:p w14:paraId="10880F08" w14:textId="77777777" w:rsidR="00E603AD" w:rsidRDefault="00000000">
      <w:pPr>
        <w:pStyle w:val="Heading3"/>
      </w:pPr>
      <w:r>
        <w:t>3.4.4 Researcher Field Notes (Positionality)</w:t>
      </w:r>
    </w:p>
    <w:p w14:paraId="4EB56E10" w14:textId="77777777" w:rsidR="00E603AD" w:rsidRDefault="00000000">
      <w:pPr>
        <w:spacing w:after="160" w:line="320" w:lineRule="auto"/>
        <w:jc w:val="both"/>
      </w:pPr>
      <w:r>
        <w:t>The researcher has lived in shared student housing in Antwerp for the duration of her MCT studies. A small set of dated field notes — capturing incidents such as moulded pasta jars left in the kitchen for months, a gas hob left lit after cooking, and trash bags accumulating in the hallway because no one took the turn — was kept across the design phase. These notes are auto-ethnographic source material (Anderson, 2006) used to check whether the survey instrument was capturing what mattered, and to generate the demo scenarios used in the Product Movie and the live MVP walkthrough.</w:t>
      </w:r>
    </w:p>
    <w:p w14:paraId="214C3295" w14:textId="77777777" w:rsidR="00E603AD" w:rsidRDefault="00000000">
      <w:pPr>
        <w:pStyle w:val="Heading3"/>
      </w:pPr>
      <w:r>
        <w:t>3.4.5 Expert Consultations and Iterative Prototyping</w:t>
      </w:r>
    </w:p>
    <w:p w14:paraId="033D3EA5" w14:textId="77777777" w:rsidR="00E603AD" w:rsidRDefault="00000000">
      <w:pPr>
        <w:spacing w:after="160" w:line="320" w:lineRule="auto"/>
        <w:jc w:val="both"/>
      </w:pPr>
      <w:r>
        <w:t xml:space="preserve">Two structured coach-feedback sessions were conducted during the project — the first with KdG coaches Mark and Oscar, the second with KdG coach Jasper — and recurring asynchronous review sessions with an industry mentor (a senior software engineer). Each session produced written critique that drove the next prototype iteration (V1 to V2 to V3, </w:t>
      </w:r>
      <w:r>
        <w:lastRenderedPageBreak/>
        <w:t>documented in Chapter 5). Each iteration was treated as a design-science build-and-evaluate loop (Peffers et al., 2007): a hypothesis embedded in the design was built, reviewed against coach feedback and lived-experience notes, then refined or discarded.</w:t>
      </w:r>
    </w:p>
    <w:p w14:paraId="5F99027A" w14:textId="77777777" w:rsidR="00E603AD" w:rsidRDefault="00000000">
      <w:pPr>
        <w:pStyle w:val="Heading2"/>
      </w:pPr>
      <w:r>
        <w:t>3.5 Sampling</w:t>
      </w:r>
    </w:p>
    <w:p w14:paraId="0C00E78E" w14:textId="77777777" w:rsidR="00E603AD" w:rsidRDefault="00000000">
      <w:pPr>
        <w:spacing w:after="160" w:line="320" w:lineRule="auto"/>
        <w:jc w:val="both"/>
      </w:pPr>
      <w:r>
        <w:t>The survey used a non-probabilistic, purposive-with-snowball sampling strategy. The target population was residents aged 18–30 living in shared student housing in Belgium, primarily in and around Antwerp. The achieved sample (n = 41) leans heavily toward student kot residents (68.3%, n = 28), with smaller representation of shared flats (12.2%), major student residences (7.3%), studios (7.3%), and at-home arrangements (4.9%). This distribution reflects the realistic composition of the Antwerp student-housing market and is appropriate to the design target. Five respondents indicated willingness to be re-contacted for a 30-minute follow-up interview; these interviews were not pursued within the thesis timeline and are reported as an honest limitation rather than completed work.</w:t>
      </w:r>
    </w:p>
    <w:p w14:paraId="19BFE5EA" w14:textId="77777777" w:rsidR="00E603AD" w:rsidRDefault="00000000">
      <w:pPr>
        <w:pStyle w:val="Heading2"/>
      </w:pPr>
      <w:r>
        <w:t>3.6 Ethical Considerations</w:t>
      </w:r>
    </w:p>
    <w:p w14:paraId="71E405BE" w14:textId="77777777" w:rsidR="00E603AD" w:rsidRDefault="00000000">
      <w:pPr>
        <w:spacing w:after="160" w:line="320" w:lineRule="auto"/>
        <w:jc w:val="both"/>
      </w:pPr>
      <w:r>
        <w:t>The survey introduction stated the project name, the researcher’s identity, and the purpose of the study; respondents could close the form at any time and no compensation was offered. No personally identifying information was required to submit. Open-text quotations reproduced in this thesis are presented without respondent identifiers. The researcher kept the raw response file local; it was not uploaded to any third-party analytics platform. AI-assistance use during writing and drafting is acknowledged separately in the Sources &amp; Annexes chapter, in line with KdG MCT requirements.</w:t>
      </w:r>
    </w:p>
    <w:p w14:paraId="53BD2BA7" w14:textId="77777777" w:rsidR="00E603AD" w:rsidRDefault="00000000">
      <w:pPr>
        <w:pStyle w:val="Heading2"/>
      </w:pPr>
      <w:r>
        <w:t>3.7 Limitations</w:t>
      </w:r>
    </w:p>
    <w:p w14:paraId="1B409996" w14:textId="77777777" w:rsidR="00E603AD" w:rsidRDefault="00000000">
      <w:pPr>
        <w:spacing w:after="160" w:line="320" w:lineRule="auto"/>
        <w:jc w:val="both"/>
      </w:pPr>
      <w:r>
        <w:t>The Methodology section closes with an honest account of what this study did not do.</w:t>
      </w:r>
    </w:p>
    <w:p w14:paraId="1850C2E5" w14:textId="77777777" w:rsidR="00E603AD" w:rsidRDefault="00000000">
      <w:pPr>
        <w:pStyle w:val="ListParagraph"/>
        <w:numPr>
          <w:ilvl w:val="0"/>
          <w:numId w:val="2"/>
        </w:numPr>
        <w:spacing w:before="40" w:after="40" w:line="300" w:lineRule="auto"/>
      </w:pPr>
      <w:r>
        <w:t xml:space="preserve">Sample size and self-selection: A convenience sample of 41 respondents recruited through the researcher’s personal network cannot be generalised to the European 18–30 co-living population. </w:t>
      </w:r>
      <w:r>
        <w:lastRenderedPageBreak/>
        <w:t>Findings should be read as directional evidence about a defined sub-population.</w:t>
      </w:r>
    </w:p>
    <w:p w14:paraId="6D5195E4" w14:textId="77777777" w:rsidR="00E603AD" w:rsidRDefault="00000000">
      <w:pPr>
        <w:pStyle w:val="ListParagraph"/>
        <w:numPr>
          <w:ilvl w:val="0"/>
          <w:numId w:val="2"/>
        </w:numPr>
        <w:spacing w:before="40" w:after="40" w:line="300" w:lineRule="auto"/>
      </w:pPr>
      <w:r>
        <w:t>Geographic and language clustering: Respondents were almost exclusively located in and around Antwerp; non-Dutch / non-English speaking residents are underrepresented.</w:t>
      </w:r>
    </w:p>
    <w:p w14:paraId="6DF04FB3" w14:textId="77777777" w:rsidR="00E603AD" w:rsidRDefault="00000000">
      <w:pPr>
        <w:pStyle w:val="ListParagraph"/>
        <w:numPr>
          <w:ilvl w:val="0"/>
          <w:numId w:val="2"/>
        </w:numPr>
        <w:spacing w:before="40" w:after="40" w:line="300" w:lineRule="auto"/>
      </w:pPr>
      <w:r>
        <w:t>No formal follow-up interviews: Five opt-ins to a 30-minute interview were collected but not pursued in the thesis window.</w:t>
      </w:r>
    </w:p>
    <w:p w14:paraId="372E7A3E" w14:textId="77777777" w:rsidR="00E603AD" w:rsidRDefault="00000000">
      <w:pPr>
        <w:pStyle w:val="ListParagraph"/>
        <w:numPr>
          <w:ilvl w:val="0"/>
          <w:numId w:val="2"/>
        </w:numPr>
        <w:spacing w:before="40" w:after="40" w:line="300" w:lineRule="auto"/>
      </w:pPr>
      <w:r>
        <w:t>No landlord-side primary research: The B2B2C model is supported by industry data and one informal mentor consultation, but no Antwerp co-living operator was interviewed. This is the single largest open gap.</w:t>
      </w:r>
    </w:p>
    <w:p w14:paraId="0D146BE0" w14:textId="77777777" w:rsidR="00E603AD" w:rsidRDefault="00000000">
      <w:pPr>
        <w:pStyle w:val="ListParagraph"/>
        <w:numPr>
          <w:ilvl w:val="0"/>
          <w:numId w:val="2"/>
        </w:numPr>
        <w:spacing w:before="40" w:after="40" w:line="300" w:lineRule="auto"/>
      </w:pPr>
      <w:r>
        <w:t>Researcher positionality: The researcher is a member of the target population. This was treated as both a strength (design empathy, vocabulary fluency) and a risk (confirmation bias).</w:t>
      </w:r>
    </w:p>
    <w:p w14:paraId="637B3190" w14:textId="77777777" w:rsidR="00E603AD" w:rsidRDefault="00E603AD">
      <w:pPr>
        <w:spacing w:after="120"/>
      </w:pPr>
    </w:p>
    <w:p w14:paraId="08293C34" w14:textId="77777777" w:rsidR="00E603AD" w:rsidRDefault="00000000">
      <w:r>
        <w:br w:type="page"/>
      </w:r>
    </w:p>
    <w:p w14:paraId="30F75708" w14:textId="77777777" w:rsidR="00E603AD" w:rsidRDefault="00000000">
      <w:pPr>
        <w:pStyle w:val="Heading1"/>
      </w:pPr>
      <w:r>
        <w:lastRenderedPageBreak/>
        <w:t>4. Product / Service Proposal</w:t>
      </w:r>
    </w:p>
    <w:p w14:paraId="1BD293F7" w14:textId="77777777" w:rsidR="00E603AD" w:rsidRDefault="00000000">
      <w:pPr>
        <w:pStyle w:val="Heading2"/>
      </w:pPr>
      <w:r>
        <w:t>4.1 Final Value Proposition</w:t>
      </w:r>
    </w:p>
    <w:p w14:paraId="78833E33" w14:textId="77777777" w:rsidR="00E603AD" w:rsidRDefault="00000000">
      <w:pPr>
        <w:spacing w:after="160" w:line="320" w:lineRule="auto"/>
        <w:jc w:val="both"/>
      </w:pPr>
      <w:r>
        <w:t>Shared Living Harmony is not another to-do list. It is a behaviour-change system designed to reduce emotional friction between housemates by removing the enforcer role from residents and reassigning it to protocol. Unlike competitors that focus on micromanagement, this product removes the “policing” role from residents by transferring reminders to a neutral system, creates transparency through visualisation of collective contribution, and ensures fairness through algorithmic rotation that prevents resentment caused by uneven workload distribution.</w:t>
      </w:r>
    </w:p>
    <w:p w14:paraId="5DF611B4" w14:textId="77777777" w:rsidR="00E603AD" w:rsidRDefault="00000000">
      <w:pPr>
        <w:spacing w:after="160" w:line="320" w:lineRule="auto"/>
        <w:jc w:val="both"/>
      </w:pPr>
      <w:r>
        <w:t>The product’s operating philosophy is expressed in three mantras embedded across the codebase and the interface copy: reminders become automation, blame becomes protocol, and perception becomes visualisation. These are not marketing slogans; they are the design tests every shipped feature was held against during the build-and-evaluate cycles.</w:t>
      </w:r>
    </w:p>
    <w:p w14:paraId="441204E0" w14:textId="77777777" w:rsidR="00E603AD" w:rsidRDefault="00000000">
      <w:pPr>
        <w:pStyle w:val="Heading2"/>
      </w:pPr>
      <w:r>
        <w:t>4.2 Product Description</w:t>
      </w:r>
    </w:p>
    <w:p w14:paraId="0251E117" w14:textId="77777777" w:rsidR="00E603AD" w:rsidRDefault="00000000">
      <w:pPr>
        <w:spacing w:after="160" w:line="320" w:lineRule="auto"/>
        <w:jc w:val="both"/>
      </w:pPr>
      <w:r>
        <w:t>The product is implemented as a mobile-first Progressive Web Application (PWA) that integrates data tracking with real-time visual feedback. The MVP is organised around a tri-zone information architecture that is the single most important design move in the product: Today (the next-action distillation — what is due now), Tasks (the rational accountability layer — rotation, supplies, deadlines, evidence), and Rituals (the affective layer — shared meals, household events, mood check-ins that contribute to the Harmony Score independently of closed chores).</w:t>
      </w:r>
    </w:p>
    <w:p w14:paraId="1A34EF6C" w14:textId="77777777" w:rsidR="00E603AD" w:rsidRDefault="00000000">
      <w:pPr>
        <w:pStyle w:val="Heading3"/>
      </w:pPr>
      <w:r>
        <w:t>Smart Rotation</w:t>
      </w:r>
    </w:p>
    <w:p w14:paraId="7BD1C153" w14:textId="77777777" w:rsidR="00E603AD" w:rsidRDefault="00000000">
      <w:pPr>
        <w:spacing w:after="160" w:line="320" w:lineRule="auto"/>
        <w:jc w:val="both"/>
      </w:pPr>
      <w:r>
        <w:t>The repetition-prevention algorithm ensures that the same person is not repeatedly assigned the same undesirable task. Weighted task distribution means high-effort tasks (Kitchen Reset, Bathroom Reset) rotate in a separate cycle from low-effort tasks (buying soap), ensuring balanced workload distribution. Each user holds a rolling 30-day contribution score — the visible currency of fairness in the system — computed as the sum of completed task weights in the preceding 30 days.</w:t>
      </w:r>
    </w:p>
    <w:p w14:paraId="38F27BBF" w14:textId="77777777" w:rsidR="00E603AD" w:rsidRDefault="00000000">
      <w:pPr>
        <w:pStyle w:val="Heading3"/>
      </w:pPr>
      <w:r>
        <w:lastRenderedPageBreak/>
        <w:t>House Harmony Score</w:t>
      </w:r>
    </w:p>
    <w:p w14:paraId="49822C1F" w14:textId="77777777" w:rsidR="00E603AD" w:rsidRDefault="00000000">
      <w:pPr>
        <w:spacing w:after="160" w:line="320" w:lineRule="auto"/>
        <w:jc w:val="both"/>
      </w:pPr>
      <w:r>
        <w:t>The collective metric (0–100) reflects the overall discipline and social cohesion of the household. Overdue tasks decrease the score (−10 per overdue); timely completion increases it (+5 per on-time completion); affective engagement through the Rituals zone provides variable positive contributions capped so neither layer can dominate. The score maps onto a five-band state taxonomy — Tense (0–20) / Unstable (21–40) / Calm (41–60) / Stable (61–80) / Harmonized (81–100) — used consistently across the entire product surface.</w:t>
      </w:r>
    </w:p>
    <w:p w14:paraId="21E38405" w14:textId="77777777" w:rsidR="00E603AD" w:rsidRDefault="00000000">
      <w:pPr>
        <w:pStyle w:val="Heading3"/>
      </w:pPr>
      <w:r>
        <w:t>3D Energy Core</w:t>
      </w:r>
    </w:p>
    <w:p w14:paraId="304C76BB" w14:textId="77777777" w:rsidR="00E603AD" w:rsidRDefault="00000000">
      <w:pPr>
        <w:spacing w:after="160" w:line="320" w:lineRule="auto"/>
        <w:jc w:val="both"/>
      </w:pPr>
      <w:r>
        <w:t>The Energy Core is a Three.js icosahedron whose colour and motion encode the household’s harmony state ambiently. High-harmony states present a smooth, slowly-rotating form in sage green and cool blue. Low-harmony states fragment the mesh, increase rotation speed, and introduce vertex jitter. Two exceptional events overlay the five baseline states: a Shock Pulse when a heavy task goes overdue, and a Bloom when a high-participation ritual completes. The Core is the artefact’s playful supportive identity made visible: it is the brand, the ambient signal, and the answer to the jury’s most likely question about what is different about this product.</w:t>
      </w:r>
    </w:p>
    <w:p w14:paraId="00739F48" w14:textId="77777777" w:rsidR="00E603AD" w:rsidRDefault="00000000">
      <w:pPr>
        <w:pStyle w:val="Heading2"/>
      </w:pPr>
      <w:r>
        <w:t>4.3 Branding: The Supportive System Philosophy</w:t>
      </w:r>
    </w:p>
    <w:p w14:paraId="6EB23B3C" w14:textId="77777777" w:rsidR="00E603AD" w:rsidRDefault="00000000">
      <w:pPr>
        <w:spacing w:after="160" w:line="320" w:lineRule="auto"/>
        <w:jc w:val="both"/>
      </w:pPr>
      <w:r>
        <w:t>Instead of acting as a shame board, the Visual Evidence System is designed with a playful and supportive tone. The interface copy frames contributions as “Hey, I took care of our home!” rather than “Look how messy this was.” The system acts as a neutral third party — the House Spirit — rather than a frustrated roommate. The brand uses warm cream and amber tones, sage-green Energy Core states, and rounded, friendly typography. The warm cream / amber / sage palette was the outcome of a heuristic review that identified a clinical register problem in the V2 surface and drove a full palette migration.</w:t>
      </w:r>
    </w:p>
    <w:p w14:paraId="469761D6" w14:textId="77777777" w:rsidR="00E603AD" w:rsidRDefault="00000000">
      <w:pPr>
        <w:pStyle w:val="Heading2"/>
      </w:pPr>
      <w:r>
        <w:t>4.4 Proof of Concept</w:t>
      </w:r>
    </w:p>
    <w:p w14:paraId="3891297B" w14:textId="77777777" w:rsidR="00E603AD" w:rsidRDefault="00000000">
      <w:pPr>
        <w:spacing w:after="160" w:line="320" w:lineRule="auto"/>
        <w:jc w:val="both"/>
      </w:pPr>
      <w:r>
        <w:t xml:space="preserve">Technical experiments demonstrated the feasibility of integrating a live database with a 3D environment. The key experiment synchronised task-status data from a PostgreSQL database with the fragmentation and glow parameters of the Energy Core icosahedron. When the House Harmony </w:t>
      </w:r>
      <w:r>
        <w:lastRenderedPageBreak/>
        <w:t>Score drops below 40, the 3D model dynamically shifts to a fragmented geometry, signalling instability without relying on text. The synchronisation is real-time: completing a task on the dashboard produces an observable Bloom response in the Core within the same browser session.</w:t>
      </w:r>
    </w:p>
    <w:p w14:paraId="33F12C40" w14:textId="77777777" w:rsidR="00E603AD" w:rsidRDefault="00000000">
      <w:pPr>
        <w:pStyle w:val="Heading2"/>
      </w:pPr>
      <w:r>
        <w:t>4.5 MVP Feature Inventory</w:t>
      </w:r>
    </w:p>
    <w:p w14:paraId="463B618D" w14:textId="77777777" w:rsidR="00E603AD" w:rsidRDefault="00000000">
      <w:pPr>
        <w:spacing w:after="160" w:line="320" w:lineRule="auto"/>
        <w:jc w:val="both"/>
      </w:pPr>
      <w:r>
        <w:t>The MVP delivers the following must-have features:</w:t>
      </w:r>
    </w:p>
    <w:p w14:paraId="6F1A30F1" w14:textId="77777777" w:rsidR="00E603AD" w:rsidRDefault="00000000">
      <w:pPr>
        <w:pStyle w:val="ListParagraph"/>
        <w:numPr>
          <w:ilvl w:val="0"/>
          <w:numId w:val="2"/>
        </w:numPr>
        <w:spacing w:before="40" w:after="40" w:line="300" w:lineRule="auto"/>
      </w:pPr>
      <w:r>
        <w:t>Recurring Chores: taking out trash (multiple categories), emptying the dishwasher, wiping common surfaces, glass recycling duty.</w:t>
      </w:r>
    </w:p>
    <w:p w14:paraId="5AD47BC5" w14:textId="77777777" w:rsidR="00E603AD" w:rsidRDefault="00000000">
      <w:pPr>
        <w:pStyle w:val="ListParagraph"/>
        <w:numPr>
          <w:ilvl w:val="0"/>
          <w:numId w:val="2"/>
        </w:numPr>
        <w:spacing w:before="40" w:after="40" w:line="300" w:lineRule="auto"/>
      </w:pPr>
      <w:r>
        <w:t>Shared Supplies Management: toilet paper, trash bags, dish soap — with automatic low/out reminders that generate reactive tasks.</w:t>
      </w:r>
    </w:p>
    <w:p w14:paraId="249D15E6" w14:textId="77777777" w:rsidR="00E603AD" w:rsidRDefault="00000000">
      <w:pPr>
        <w:pStyle w:val="ListParagraph"/>
        <w:numPr>
          <w:ilvl w:val="0"/>
          <w:numId w:val="2"/>
        </w:numPr>
        <w:spacing w:before="40" w:after="40" w:line="300" w:lineRule="auto"/>
      </w:pPr>
      <w:r>
        <w:t>Responsibility Zones (Resets): Kitchen Reset and Bathroom Reset — deep cleaning tasks requiring photo proof of completion.</w:t>
      </w:r>
    </w:p>
    <w:p w14:paraId="395DF085" w14:textId="77777777" w:rsidR="00E603AD" w:rsidRDefault="00000000">
      <w:pPr>
        <w:pStyle w:val="ListParagraph"/>
        <w:numPr>
          <w:ilvl w:val="0"/>
          <w:numId w:val="2"/>
        </w:numPr>
        <w:spacing w:before="40" w:after="40" w:line="300" w:lineRule="auto"/>
      </w:pPr>
      <w:r>
        <w:t>Reactive Flagging: any resident snaps a photo of a mess; the system creates and assigns a reactive chore without confrontation.</w:t>
      </w:r>
    </w:p>
    <w:p w14:paraId="63E10198" w14:textId="77777777" w:rsidR="00E603AD" w:rsidRDefault="00000000">
      <w:pPr>
        <w:pStyle w:val="ListParagraph"/>
        <w:numPr>
          <w:ilvl w:val="0"/>
          <w:numId w:val="2"/>
        </w:numPr>
        <w:spacing w:before="40" w:after="40" w:line="300" w:lineRule="auto"/>
      </w:pPr>
      <w:r>
        <w:t>Gamification: points, badges, and the House Harmony Score as a collective motivator.</w:t>
      </w:r>
    </w:p>
    <w:p w14:paraId="4A0717E8" w14:textId="77777777" w:rsidR="00E603AD" w:rsidRDefault="00000000">
      <w:pPr>
        <w:pStyle w:val="ListParagraph"/>
        <w:numPr>
          <w:ilvl w:val="0"/>
          <w:numId w:val="2"/>
        </w:numPr>
        <w:spacing w:before="40" w:after="40" w:line="300" w:lineRule="auto"/>
      </w:pPr>
      <w:r>
        <w:t>Landlord Portal: an aggregate property-health view, separated by the Privacy Line from all chore-level resident data.</w:t>
      </w:r>
    </w:p>
    <w:p w14:paraId="0D2D0A82" w14:textId="77777777" w:rsidR="00E603AD" w:rsidRDefault="00E603AD">
      <w:pPr>
        <w:spacing w:after="120"/>
      </w:pPr>
    </w:p>
    <w:p w14:paraId="13F8CDEF" w14:textId="77777777" w:rsidR="00E603AD" w:rsidRDefault="00000000">
      <w:r>
        <w:br w:type="page"/>
      </w:r>
    </w:p>
    <w:p w14:paraId="4B00FFD9" w14:textId="77777777" w:rsidR="00E603AD" w:rsidRDefault="00000000">
      <w:pPr>
        <w:pStyle w:val="Heading1"/>
      </w:pPr>
      <w:r>
        <w:lastRenderedPageBreak/>
        <w:t>5. Minimum Viable Product</w:t>
      </w:r>
    </w:p>
    <w:p w14:paraId="00640040" w14:textId="77777777" w:rsidR="00E603AD" w:rsidRDefault="00000000">
      <w:pPr>
        <w:pStyle w:val="Heading2"/>
      </w:pPr>
      <w:r>
        <w:t>5.1 Scope and Design Philosophy</w:t>
      </w:r>
    </w:p>
    <w:p w14:paraId="176A579E" w14:textId="77777777" w:rsidR="00E603AD" w:rsidRDefault="00000000">
      <w:pPr>
        <w:spacing w:after="160" w:line="320" w:lineRule="auto"/>
        <w:jc w:val="both"/>
      </w:pPr>
      <w:r>
        <w:t>The Minimum Viable Product (MVP) of Shared Living Harmony, released under the product wordmark HOOMA, is the artefact that the Methodology (Chapter 3) commits the thesis to producing and that the Validation (Chapter 6) reviews against three independent feedback lenses. This chapter documents the MVP as it was actually built, deployed, and exposed to coach review — not the original specification, but the version that survived the design-science build-and-evaluate cycles.</w:t>
      </w:r>
    </w:p>
    <w:p w14:paraId="65AFFCFF" w14:textId="77777777" w:rsidR="00E603AD" w:rsidRDefault="00000000">
      <w:pPr>
        <w:spacing w:after="160" w:line="320" w:lineRule="auto"/>
        <w:jc w:val="both"/>
      </w:pPr>
      <w:r>
        <w:t>Two scoping principles bound the MVP. First, the MVP is demonstrably end-to-end: a new user can sign up, create or join a household, receive an algorithmically-assigned chore, complete it with photographic proof, observe the resulting change in the household harmony indicator, and — if they hold the landlord role — see only the aggregate property-health view, never the underlying chore-level events. Second, the MVP is deliberately under-scoped against the original specification. Two specified surfaces — a per-house analytics dashboard and a scheduled weekly digest — were explicitly moved to Future Work after coach review, protecting the MVP from the most common bachelor-project failure mode: a feature surface so wide that no single feature can be defended in depth at the jury.</w:t>
      </w:r>
    </w:p>
    <w:p w14:paraId="2B89BE7A" w14:textId="77777777" w:rsidR="00E603AD" w:rsidRDefault="00000000">
      <w:pPr>
        <w:pStyle w:val="Heading2"/>
      </w:pPr>
      <w:r>
        <w:t>5.2 Three-Pillar Synthesis</w:t>
      </w:r>
    </w:p>
    <w:p w14:paraId="5E5D1354" w14:textId="77777777" w:rsidR="00E603AD" w:rsidRDefault="00000000">
      <w:pPr>
        <w:spacing w:after="160" w:line="320" w:lineRule="auto"/>
        <w:jc w:val="both"/>
      </w:pPr>
      <w:r>
        <w:t>The MVP is organised around the three-pillar synthesis that crystallised during the strategic feedback loop with KdG coach Jasper:</w:t>
      </w:r>
    </w:p>
    <w:p w14:paraId="33BB6285" w14:textId="77777777" w:rsidR="00E603AD" w:rsidRDefault="00000000">
      <w:pPr>
        <w:pStyle w:val="ListParagraph"/>
        <w:numPr>
          <w:ilvl w:val="0"/>
          <w:numId w:val="2"/>
        </w:numPr>
        <w:spacing w:before="40" w:after="40" w:line="300" w:lineRule="auto"/>
      </w:pPr>
      <w:r>
        <w:t>Community building — the social, affective layer of shared living: shared meals, rituals, the cumulative texture of living together that a chore checklist cannot produce on its own.</w:t>
      </w:r>
    </w:p>
    <w:p w14:paraId="36BF5C76" w14:textId="77777777" w:rsidR="00E603AD" w:rsidRDefault="00000000">
      <w:pPr>
        <w:pStyle w:val="ListParagraph"/>
        <w:numPr>
          <w:ilvl w:val="0"/>
          <w:numId w:val="2"/>
        </w:numPr>
        <w:spacing w:before="40" w:after="40" w:line="300" w:lineRule="auto"/>
      </w:pPr>
      <w:r>
        <w:t>Task accountability — the operational layer: rotation, supplies, deadlines, evidence of completion. The MVP’s contribution here is the integration of algorithmic fairness with media-backed proof.</w:t>
      </w:r>
    </w:p>
    <w:p w14:paraId="664AF408" w14:textId="77777777" w:rsidR="00E603AD" w:rsidRDefault="00000000">
      <w:pPr>
        <w:pStyle w:val="ListParagraph"/>
        <w:numPr>
          <w:ilvl w:val="0"/>
          <w:numId w:val="2"/>
        </w:numPr>
        <w:spacing w:before="40" w:after="40" w:line="300" w:lineRule="auto"/>
      </w:pPr>
      <w:r>
        <w:t>Landlord channel — the commercial layer: a property-health view that gives the landlord a reason to subscribe without providing surveillance access over the household.</w:t>
      </w:r>
    </w:p>
    <w:p w14:paraId="6480B696" w14:textId="77777777" w:rsidR="00E603AD" w:rsidRDefault="00E603AD">
      <w:pPr>
        <w:spacing w:after="120"/>
      </w:pPr>
    </w:p>
    <w:p w14:paraId="38E996F9" w14:textId="77777777" w:rsidR="00E603AD" w:rsidRDefault="00000000">
      <w:pPr>
        <w:pStyle w:val="Heading2"/>
      </w:pPr>
      <w:r>
        <w:lastRenderedPageBreak/>
        <w:t>5.3 Information Architecture: Today / Tasks / Rituals</w:t>
      </w:r>
    </w:p>
    <w:p w14:paraId="7451994F" w14:textId="77777777" w:rsidR="00E603AD" w:rsidRDefault="00000000">
      <w:pPr>
        <w:spacing w:after="160" w:line="320" w:lineRule="auto"/>
        <w:jc w:val="both"/>
      </w:pPr>
      <w:r>
        <w:t>The MVP exposes a tri-zone information architecture. Today is the next-action distillation — what is due now, what is overdue, what the household needs to attend to in the next few hours. It is the only zone designed for push; the rest of the system is ambient. Today is also the answer to the jury risk identified in early coach feedback: the system never broadcasts noise to the household; it surfaces a personal, scoped action list to the individual resident.</w:t>
      </w:r>
    </w:p>
    <w:p w14:paraId="79735725" w14:textId="77777777" w:rsidR="00E603AD" w:rsidRDefault="00000000">
      <w:pPr>
        <w:spacing w:after="160" w:line="320" w:lineRule="auto"/>
        <w:jc w:val="both"/>
      </w:pPr>
      <w:r>
        <w:t>Tasks covers the rational, accountable layer — rotation, weighted task assignment, supplies, due dates, completion evidence. Rituals covers the affective layer — shared meals, household events, Bloom affective signals that contribute to the House Harmony Score independently of closed tasks. This Operational / Affective split is the single most important design move in the MVP and the reason the thesis can defend an expanded definition of harmony at the jury without backing down from the algorithmic spine of the original concept.</w:t>
      </w:r>
    </w:p>
    <w:p w14:paraId="58E31290" w14:textId="77777777" w:rsidR="00E603AD" w:rsidRDefault="00000000">
      <w:pPr>
        <w:pStyle w:val="Heading2"/>
      </w:pPr>
      <w:r>
        <w:t>5.4 Smart Rotation: The Fairness Algorithm</w:t>
      </w:r>
    </w:p>
    <w:p w14:paraId="1A4BFC5A" w14:textId="77777777" w:rsidR="00E603AD" w:rsidRDefault="00000000">
      <w:pPr>
        <w:spacing w:after="160" w:line="320" w:lineRule="auto"/>
        <w:jc w:val="both"/>
      </w:pPr>
      <w:r>
        <w:t>The fairness algorithm is the operational backbone of the Tasks zone. Tasks are typed and weighted: light tasks (weight 1) cover supply-buying and routine surface-clean activity; heavy tasks (weights 3–5) cover Kitchen Reset, Bathroom Reset, and high-effort recurring chores; reactive tasks are inserted into the pool at runtime via the Reactive Flagging flow.</w:t>
      </w:r>
    </w:p>
    <w:p w14:paraId="701CBA98" w14:textId="77777777" w:rsidR="00E603AD" w:rsidRDefault="00000000">
      <w:pPr>
        <w:spacing w:after="160" w:line="320" w:lineRule="auto"/>
        <w:jc w:val="both"/>
      </w:pPr>
      <w:r>
        <w:t>Each user holds a rolling 30-day contribution score. The assignment cycle proceeds in four steps: (1) Exclusion rule — the user who last completed a given heavy task is excluded from the next assignment of that same task; (2) Eligibility filter — from the remaining household members, the system selects the user with the lowest 30-day contribution score; (3) Tie-break — where two or more users hold the same score, the system selects the one with the longest interval since their last assigned task, falling back to a uniform random draw; (4) Notification — the assigned user receives a single, scoped notification in the Today zone with a plain-language explanation of why they were selected, addressing the transparency-of-algorithm concern raised in both the literature review and the survey open-text data.</w:t>
      </w:r>
    </w:p>
    <w:p w14:paraId="192F5860" w14:textId="77777777" w:rsidR="00E603AD" w:rsidRDefault="00000000">
      <w:pPr>
        <w:spacing w:after="160" w:line="320" w:lineRule="auto"/>
        <w:jc w:val="both"/>
      </w:pPr>
      <w:r>
        <w:lastRenderedPageBreak/>
        <w:t>The algorithm is observably boring. That is the design intent. A surprising fairness algorithm is, by construction, an unfair-feeling one.</w:t>
      </w:r>
    </w:p>
    <w:p w14:paraId="485E17CB" w14:textId="77777777" w:rsidR="00E603AD" w:rsidRDefault="00000000">
      <w:pPr>
        <w:pStyle w:val="Heading2"/>
      </w:pPr>
      <w:r>
        <w:t>5.5 House Harmony Score and the Five-Band State Map</w:t>
      </w:r>
    </w:p>
    <w:p w14:paraId="5CC39412" w14:textId="77777777" w:rsidR="00E603AD" w:rsidRDefault="00000000">
      <w:pPr>
        <w:spacing w:after="160" w:line="320" w:lineRule="auto"/>
        <w:jc w:val="both"/>
      </w:pPr>
      <w:r>
        <w:t>The House Harmony Score is a household-level integer in the range 0–100, initialised at 60 (neutral). Score update rules: on-time task completion +5; overdue task −10; optional stagnation decay −2 per day after 72 hours of household inactivity; affective input from the Rituals zone — variable positive contributions capped so that the affective layer cannot dominate the operational layer or vice versa.</w:t>
      </w:r>
    </w:p>
    <w:p w14:paraId="561461C3" w14:textId="77777777" w:rsidR="00E603AD" w:rsidRDefault="00000000">
      <w:pPr>
        <w:spacing w:after="160" w:line="320" w:lineRule="auto"/>
        <w:jc w:val="both"/>
      </w:pPr>
      <w:r>
        <w:t>The score maps onto the five-band taxonomy used consistently across the entire product surface: Tense (0–20) / Unstable (21–40) / Calm (41–60) / Stable (61–80) / Harmonized (81–100). The original specification’s Chaotic / Balanced endpoints were softened after user testing without changing the underlying score boundaries: “Chaotic” read as accusatory, “Balanced” read as clinical.</w:t>
      </w:r>
    </w:p>
    <w:p w14:paraId="66F74CE8" w14:textId="77777777" w:rsidR="00E603AD" w:rsidRDefault="00000000">
      <w:pPr>
        <w:pStyle w:val="Heading2"/>
      </w:pPr>
      <w:r>
        <w:t>5.6 The 3D Energy Core</w:t>
      </w:r>
    </w:p>
    <w:p w14:paraId="384E3CAB" w14:textId="77777777" w:rsidR="00E603AD" w:rsidRDefault="00000000">
      <w:pPr>
        <w:spacing w:after="160" w:line="320" w:lineRule="auto"/>
        <w:jc w:val="both"/>
      </w:pPr>
      <w:r>
        <w:t>The 3D Energy Core is the ambient affective surface of the MVP. It is the answer to the design question: how does a household read its own emotional climate without reading a number? The Core is built in Three.js around an icosahedron mesh. Two input variables drive every visual parameter: the harmony score and the count of currently overdue tasks.</w:t>
      </w:r>
    </w:p>
    <w:p w14:paraId="2C7A448A" w14:textId="77777777" w:rsidR="00E603AD" w:rsidRDefault="00000000">
      <w:pPr>
        <w:spacing w:after="160" w:line="320" w:lineRule="auto"/>
        <w:jc w:val="both"/>
      </w:pPr>
      <w:r>
        <w:t>Colour encodes the harmony band: low-band states render in red and warm orange; mid-band states in amber; high-band states in sage green and cool blue. Geometry encodes stability: high-harmony states present a smooth, slowly-rotating icosahedron; low-harmony states fragment the mesh, increase rotation speed, and introduce vertex jitter. Overdue events emit a short, non-looping shock pulse — an environmental cue the household can read at a glance, deliberately not a notification. The Core is the reason the product can refuse the shame-board register that competing applications adopt without abandoning the underlying accountability layer.</w:t>
      </w:r>
    </w:p>
    <w:p w14:paraId="69A4227E" w14:textId="77777777" w:rsidR="00E603AD" w:rsidRDefault="00000000">
      <w:pPr>
        <w:pStyle w:val="Heading2"/>
      </w:pPr>
      <w:r>
        <w:t>5.7 Photo Evidence: Proof of Completion, Reactive Flagging, Before/After</w:t>
      </w:r>
    </w:p>
    <w:p w14:paraId="58CC3D19" w14:textId="77777777" w:rsidR="00E603AD" w:rsidRDefault="00000000">
      <w:pPr>
        <w:spacing w:after="160" w:line="320" w:lineRule="auto"/>
        <w:jc w:val="both"/>
      </w:pPr>
      <w:r>
        <w:t>Three media-backed flows form the accountability layer of the MVP.</w:t>
      </w:r>
    </w:p>
    <w:p w14:paraId="2E50D58E" w14:textId="77777777" w:rsidR="00E603AD" w:rsidRDefault="00000000">
      <w:pPr>
        <w:spacing w:after="160" w:line="320" w:lineRule="auto"/>
        <w:jc w:val="both"/>
      </w:pPr>
      <w:r>
        <w:lastRenderedPageBreak/>
        <w:t>Proof of Completion: high-priority recurring chores (Kitchen Reset, Bathroom Reset) cannot be closed without photographic proof. The image is captured in-app on mobile, compressed to a maximum of 1024 pixels on the long edge, and rejected at the API layer if missing. The intent is not surveillance; it is the conversion of an invisible chore into a visible contribution. The in-app framing is “Hey, I took care of our home” rather than “look how messy this was.”</w:t>
      </w:r>
    </w:p>
    <w:p w14:paraId="6E1D6A85" w14:textId="77777777" w:rsidR="00E603AD" w:rsidRDefault="00000000">
      <w:pPr>
        <w:spacing w:after="160" w:line="320" w:lineRule="auto"/>
        <w:jc w:val="both"/>
      </w:pPr>
      <w:r>
        <w:t>Reactive Flagging: when an unscheduled mess appears, any household member can snap a photo of it. The system creates a Reactive Chore, runs the Smart Rotation algorithm against it, and assigns an owner without anyone having to identify the responsible party or initiate a confrontation. The design is grounded in Fogg’s (2009) Behaviour Model (B = MAP): the one-tap photo-snap reduces Ability friction to near zero, the ambient mess provides an immediate environmental Prompt, and the absence of social accusation preserves Motivation by removing the cost of being the person who complains. The Reactive Flagging surface is the conflict-de-personalisation engine of the product.</w:t>
      </w:r>
    </w:p>
    <w:p w14:paraId="798C6A85" w14:textId="77777777" w:rsidR="00E603AD" w:rsidRDefault="00000000">
      <w:pPr>
        <w:spacing w:after="160" w:line="320" w:lineRule="auto"/>
        <w:jc w:val="both"/>
      </w:pPr>
      <w:r>
        <w:t>Before/After comparison: routine heavy chores support an optional before photograph and a required after photograph, displayed side-by-side in the household’s visual archive. The Before/After flow earns a Harmony Bonus — a small positive contribution to the House Harmony Score distinct from the standard on-time-completion reward.</w:t>
      </w:r>
    </w:p>
    <w:p w14:paraId="1ADF7A69" w14:textId="77777777" w:rsidR="00E603AD" w:rsidRDefault="00000000">
      <w:pPr>
        <w:pStyle w:val="Heading2"/>
      </w:pPr>
      <w:r>
        <w:t>5.8 The Landlord Portal and the Privacy Line</w:t>
      </w:r>
    </w:p>
    <w:p w14:paraId="0A67DEFF" w14:textId="77777777" w:rsidR="00E603AD" w:rsidRDefault="00000000">
      <w:pPr>
        <w:spacing w:after="160" w:line="320" w:lineRule="auto"/>
        <w:jc w:val="both"/>
      </w:pPr>
      <w:r>
        <w:t>The Landlord Portal is the surface that makes the B2B2C model defensible. It is governed by a single architectural rule — the Privacy Line: landlords do not see chore-level events. They do not see who took out the bin, who ran the bathroom reset, who flagged the spill in the kitchen. They see an aggregate House Harmony signal for each managed property in the five-band taxonomy, a churn-risk indicator derived from sustained low-band readings, and a property-relevant events feed restricted to issues residents explicitly escalate.</w:t>
      </w:r>
    </w:p>
    <w:p w14:paraId="4DE28FBD" w14:textId="77777777" w:rsidR="00E603AD" w:rsidRDefault="00000000">
      <w:pPr>
        <w:spacing w:after="160" w:line="320" w:lineRule="auto"/>
        <w:jc w:val="both"/>
      </w:pPr>
      <w:r>
        <w:t xml:space="preserve">The Landlord Portal reads as a building-management dashboard rather than a household chat. Role separation is enforced at the API layer: the landlord role cannot reach the chore-level endpoints that the resident role uses. The </w:t>
      </w:r>
      <w:r>
        <w:lastRenderedPageBreak/>
        <w:t>product positions the landlord as a subscriber to a property-health signal, not as a surveillance principal.</w:t>
      </w:r>
    </w:p>
    <w:p w14:paraId="07B11ADB" w14:textId="77777777" w:rsidR="00E603AD" w:rsidRDefault="00000000">
      <w:pPr>
        <w:pStyle w:val="Heading2"/>
      </w:pPr>
      <w:r>
        <w:t>5.9 Technical Stack and Architectural Decisions</w:t>
      </w:r>
    </w:p>
    <w:p w14:paraId="30600B31" w14:textId="77777777" w:rsidR="00E603AD" w:rsidRDefault="00000000">
      <w:pPr>
        <w:spacing w:after="160" w:line="320" w:lineRule="auto"/>
        <w:jc w:val="both"/>
      </w:pPr>
      <w:r>
        <w:t>The shipped MVP runs on the following stack. Frontend: a Next.js (App Router) Progressive Web Application written in TypeScript, with the 3D Energy Core rendered in Three.js, mobile-first and meeting a 320-pixel minimum-width responsiveness constraint. Backend: a NestJS REST API in TypeScript, organised by feature module (Auth, Households, Tasks, Supplies, Harmony, Photos, Landlord). Database: PostgreSQL with the Prisma ORM, implementing the four core entities — User, House, Task, SupplyItem — with harmony score, contribution score, and photo-evidence binary stored on the relevant rows. Authentication: JWT-based session authentication with role separation enforced at the API layer. Deployment: continuous deployment from main to Railway. The Privacy Line is implemented as a NestJS guard (@Roles() decorator + RolesGuard) that inspects the JWT payload on every incoming request. Routes under /landlord/* are decorated with @Roles(UserRole.LANDLORD) and return only aggregate harmony-band data and property-level statistics; the underlying /tasks/*, /photos/*, and /supplies/* endpoints are decorated with @Roles(UserRole.RESIDENT) and are unreachable from a landlord-scoped token at the HTTP layer, not merely hidden in the UI. This means a landlord who introspects the API directly cannot enumerate individual task completions or resident photo submissions: the gate is architectural, not cosmetic.</w:t>
      </w:r>
    </w:p>
    <w:p w14:paraId="6F9A2326" w14:textId="77777777" w:rsidR="00E603AD" w:rsidRDefault="00000000">
      <w:pPr>
        <w:spacing w:after="160" w:line="320" w:lineRule="auto"/>
        <w:jc w:val="both"/>
      </w:pPr>
      <w:r>
        <w:t>The stack diverges from the original specification (React + Node + MongoDB + Firebase) on three axes: the API framework, the database engine, and the photo-storage substrate. The divergence is documented honestly: the constraints that drove it — TypeScript-strict tooling, Prisma’s migration ergonomics, Railway’s deployment simplicity, the bachelor-project timeline — are reported in Section 5.10 as an explicit acknowledgement that a version-2 substrate is the natural next iteration.</w:t>
      </w:r>
    </w:p>
    <w:p w14:paraId="07436C88" w14:textId="77777777" w:rsidR="00E603AD" w:rsidRDefault="00000000">
      <w:pPr>
        <w:pStyle w:val="Heading2"/>
      </w:pPr>
      <w:r>
        <w:t>5.10 Out of Scope by Design</w:t>
      </w:r>
    </w:p>
    <w:p w14:paraId="40A75D78" w14:textId="77777777" w:rsidR="00E603AD" w:rsidRDefault="00000000">
      <w:pPr>
        <w:spacing w:after="160" w:line="320" w:lineRule="auto"/>
        <w:jc w:val="both"/>
      </w:pPr>
      <w:r>
        <w:t xml:space="preserve">Two specified surfaces were intentionally removed from the MVP after coach review. The per-house analytics dashboard (completed-vs-overdue </w:t>
      </w:r>
      <w:r>
        <w:lastRenderedPageBreak/>
        <w:t>charts, harmony trend, contribution comparison) was moved to Future Work on the grounds that an analytics surface inside an anti-shame-board product risks re-encoding the public-comparison dynamic the rest of the design works to suppress. The scheduled weekly digest was similarly deferred, as weekly digests compete with the ambient surface — the Energy Core, the Today zone — that the product is built around. Both deferrals demonstrate that the MVP team made deliberate scope choices rather than running out of time.</w:t>
      </w:r>
    </w:p>
    <w:p w14:paraId="6FB9AA0B" w14:textId="77777777" w:rsidR="00E603AD" w:rsidRDefault="00000000">
      <w:r>
        <w:br w:type="page"/>
      </w:r>
    </w:p>
    <w:p w14:paraId="40BD65F3" w14:textId="77777777" w:rsidR="00E603AD" w:rsidRDefault="00000000">
      <w:pPr>
        <w:pStyle w:val="Heading1"/>
      </w:pPr>
      <w:r>
        <w:lastRenderedPageBreak/>
        <w:t>6. Validation</w:t>
      </w:r>
    </w:p>
    <w:p w14:paraId="3CFD0228" w14:textId="77777777" w:rsidR="00E603AD" w:rsidRDefault="00000000">
      <w:pPr>
        <w:pStyle w:val="Heading2"/>
      </w:pPr>
      <w:r>
        <w:t>6.1 Validation Approach</w:t>
      </w:r>
    </w:p>
    <w:p w14:paraId="51487B11" w14:textId="77777777" w:rsidR="00E603AD" w:rsidRDefault="00000000">
      <w:pPr>
        <w:spacing w:after="160" w:line="320" w:lineRule="auto"/>
        <w:jc w:val="both"/>
      </w:pPr>
      <w:r>
        <w:t>The Validation chapter answers a single question: does the artefact respond, in a traceable way, to evidence collected from people other than the designer? Following the design-science research stance set out in the Methodology (Peffers et al., 2007), each iteration of the Shared Living Harmony Progressive Web Application was treated as a falsifiable hypothesis and reviewed against three independent evaluation lenses before being accepted, modified, or discarded.</w:t>
      </w:r>
    </w:p>
    <w:p w14:paraId="64A62067" w14:textId="77777777" w:rsidR="00E603AD" w:rsidRDefault="00000000">
      <w:pPr>
        <w:spacing w:after="160" w:line="320" w:lineRule="auto"/>
        <w:jc w:val="both"/>
      </w:pPr>
      <w:r>
        <w:t>The three lenses were: (1) strategic-conceptual fit — does the artefact target the right problem inside the broader co-living domain; (2) commercial-stakeholder fit — would the non-resident party in the business model actually accept the role the design assigns to them; and (3) technical-interaction fit — does the implementation behave coherently and read as the intended product rather than as a generic dashboard. Each lens was operationalised through a primary feedback source and triangulated against the n = 41 survey signal and the researcher’s auto-ethnographic field notes (Anderson, 2006).</w:t>
      </w:r>
    </w:p>
    <w:p w14:paraId="5435F877" w14:textId="77777777" w:rsidR="00E603AD" w:rsidRDefault="00000000">
      <w:pPr>
        <w:pStyle w:val="Heading2"/>
      </w:pPr>
      <w:r>
        <w:t>6.2 Mentor Feedback Loops</w:t>
      </w:r>
    </w:p>
    <w:p w14:paraId="3589E065" w14:textId="77777777" w:rsidR="00E603AD" w:rsidRDefault="00000000" w:rsidP="007E7C8E">
      <w:pPr>
        <w:pStyle w:val="Heading2"/>
      </w:pPr>
      <w:r>
        <w:t>6.2.1 Strategic Framing — KdG Coach Jasper</w:t>
      </w:r>
    </w:p>
    <w:p w14:paraId="05726381" w14:textId="77777777" w:rsidR="00E603AD" w:rsidRDefault="00000000">
      <w:pPr>
        <w:spacing w:after="160" w:line="320" w:lineRule="auto"/>
        <w:jc w:val="both"/>
      </w:pPr>
      <w:r>
        <w:t>The single most consequential framing intervention came in the mid-project review with KdG coach Jasper. After hearing the original pitch — a chore-rotation app for student co-living — his core challenge was directional rather than tactical: the project was not trying to solve co-living but the way people co-live. Two follow-on critiques landed in the same session.</w:t>
      </w:r>
    </w:p>
    <w:p w14:paraId="105FF30E" w14:textId="77777777" w:rsidR="00E603AD" w:rsidRDefault="00000000">
      <w:pPr>
        <w:spacing w:after="160" w:line="320" w:lineRule="auto"/>
        <w:jc w:val="both"/>
      </w:pPr>
      <w:r>
        <w:t>First, he pushed back on the audience choice (18–30 student co-livers) as under-justified. Selecting an audience the researcher belonged to was a reasonable starting point but, on its own, demonstrated audience bias. The thesis was asked to elaborate explicitly why this audience and not the 30+ economic-pressure cohort. This pushback is the reason the Research and MVP chapters now defend the 18–30 student-kot segment with prevalence data (Q1, Q4 of the survey) rather than with personal background alone.</w:t>
      </w:r>
    </w:p>
    <w:p w14:paraId="4BFC137D" w14:textId="77777777" w:rsidR="00E603AD" w:rsidRDefault="00000000">
      <w:pPr>
        <w:spacing w:after="160" w:line="320" w:lineRule="auto"/>
        <w:jc w:val="both"/>
      </w:pPr>
      <w:r>
        <w:lastRenderedPageBreak/>
        <w:t>Second, and more important for the product surface itself, he challenged the implicit 1:1 ratio the prototype drew between completing tasks and household harmony. His framing was that harmony in shared housing also includes the intangible: shared meals, parties, the act of co-cleaning the apartment after one, common humour. A chore checklist alone cannot produce harmony, and a harmony score that responds only to closed tasks risks reading as a productivity tool. This is the genesis of the Operational / Affective split that now defines the MVP’s tri-zone information architecture. The “Tasks” zone covers the rational, accountable layer; the “Rituals” zone covers shared meals, household events, and the Bloom affective signals. The split exists because the design before this review treated the two as one thing, and the review made clear that one of the two would always dominate the visual hierarchy if the architecture did not separate them. Jasper’s session also crystallised the three-pillar synthesis — community building, task accountability, landlord channel — that structures the MVP chapter.</w:t>
      </w:r>
    </w:p>
    <w:p w14:paraId="20846D1E" w14:textId="77777777" w:rsidR="00E603AD" w:rsidRDefault="00000000" w:rsidP="007E7C8E">
      <w:pPr>
        <w:pStyle w:val="Heading2"/>
      </w:pPr>
      <w:r>
        <w:t>6.2.2 Landlord-Skeptic Pushback — KdG Coaches Mark and Oscar</w:t>
      </w:r>
    </w:p>
    <w:p w14:paraId="135ACF0C" w14:textId="77777777" w:rsidR="00E603AD" w:rsidRDefault="00000000">
      <w:pPr>
        <w:spacing w:after="160" w:line="320" w:lineRule="auto"/>
        <w:jc w:val="both"/>
      </w:pPr>
      <w:r>
        <w:t>The second mentor session was held with KdG coaches Mark and Oscar with an explicit B2B2C focus: would a real Belgian landlord adopt the product, and on what terms? Mark, the more sceptical of the two on this axis, articulated a position the design had not yet stress-tested. Paraphrasing: if he had a house in Antwerp city centre with eight students discussing who buys the toilet paper, he would not want to be in that app. He extended the point with a behavioural parallel: he himself mutes group chats with high message volume and checks them in batches, hours late. By that logic, a landlord onboarded to a chore-level conversation channel would predictably mute it.</w:t>
      </w:r>
    </w:p>
    <w:p w14:paraId="1DC5CD36" w14:textId="77777777" w:rsidR="00E603AD" w:rsidRDefault="00000000">
      <w:pPr>
        <w:spacing w:after="160" w:line="320" w:lineRule="auto"/>
        <w:jc w:val="both"/>
      </w:pPr>
      <w:r>
        <w:t xml:space="preserve">This produced the most important commercial design change in the project: the Privacy Line. Landlords do not see chore-level data. They see only aggregated House Harmony signal and explicit property-relevant events that residents choose to escalate. The Landlord Portal was redesigned from the original “everyone sees everything” surface into a property-health overview, deliberately resembling a building-management dashboard. Mark’s pushback was triangulated against survey Q10: 5 of 41 respondents </w:t>
      </w:r>
      <w:r>
        <w:lastRenderedPageBreak/>
        <w:t>(12.2%) selected the explicit “No, that’s surveillance” option; 11 of 41 (26.8%) accepted only a tenant-controlled toggle. Together, nearly four in ten respondents flagged surveillance risk if landlord visibility were unbounded. Both data sources independently pointed to the same design constraint, which this thesis treats as a stable validation finding.</w:t>
      </w:r>
    </w:p>
    <w:p w14:paraId="485E5FE4" w14:textId="77777777" w:rsidR="00E603AD" w:rsidRDefault="00000000">
      <w:pPr>
        <w:spacing w:after="160" w:line="320" w:lineRule="auto"/>
        <w:jc w:val="both"/>
      </w:pPr>
      <w:r>
        <w:t>A second contribution from the Mark/Oscar session was the suggestion to interface with external service platforms (the Belgian Ring Twice handyman marketplace was the worked example) so that escalated maintenance issues route into existing repair workflows. This is documented in the Roadmap section of Chapter 7 as a v2 integration.</w:t>
      </w:r>
    </w:p>
    <w:p w14:paraId="67918E69" w14:textId="77777777" w:rsidR="00E603AD" w:rsidRDefault="00000000" w:rsidP="007E7C8E">
      <w:pPr>
        <w:pStyle w:val="Heading2"/>
      </w:pPr>
      <w:r>
        <w:t>6.2.3 Technical Review — Industry Mentor</w:t>
      </w:r>
    </w:p>
    <w:p w14:paraId="56113127" w14:textId="77777777" w:rsidR="00E603AD" w:rsidRDefault="00000000">
      <w:pPr>
        <w:spacing w:after="160" w:line="320" w:lineRule="auto"/>
        <w:jc w:val="both"/>
      </w:pPr>
      <w:r>
        <w:t xml:space="preserve">An industry mentor — a senior software engineer with prior product experience — provided asynchronous technical review across the </w:t>
      </w:r>
      <w:proofErr w:type="gramStart"/>
      <w:r>
        <w:t>build</w:t>
      </w:r>
      <w:proofErr w:type="gramEnd"/>
      <w:r>
        <w:t xml:space="preserve"> phase. The single highest-impact finding was a defect in the first Smart Rotation implementation: when a new user joined an existing household, the algorithm seeded them with the full historical backlog of the rotation queue, producing first-session task loads of twenty or more items. The behaviour was technically correct against the original specification (catch new members up) and behaviourally wrong (it punishes joining). The fix introduced a new-resident grace window and reweighted the fairness function with an explicit open-workload factor, so that the rotation now distributes the forward queue rather than redistributing accumulated debt. The deployed application runs this corrected algorithm.</w:t>
      </w:r>
    </w:p>
    <w:p w14:paraId="6C978B4B" w14:textId="77777777" w:rsidR="00E603AD" w:rsidRDefault="00000000">
      <w:pPr>
        <w:spacing w:after="160" w:line="320" w:lineRule="auto"/>
        <w:jc w:val="both"/>
      </w:pPr>
      <w:r>
        <w:t>Two additional technical recommendations were adopted: (a) move the live deployment off short-lived tunnels onto a persistent Railway host, so that coach reviewers had a stable URL to return to; (b) decouple the Energy Core’s real-time visualisation from the Postgres write path via a published sync event, so that visual feedback degrades gracefully if the database is slow.</w:t>
      </w:r>
    </w:p>
    <w:p w14:paraId="0CC7AC31" w14:textId="77777777" w:rsidR="00E603AD" w:rsidRDefault="00000000">
      <w:pPr>
        <w:pStyle w:val="Heading2"/>
      </w:pPr>
      <w:r>
        <w:t>6.3 User Testing</w:t>
      </w:r>
    </w:p>
    <w:p w14:paraId="632595A9" w14:textId="77777777" w:rsidR="00E603AD" w:rsidRDefault="00000000">
      <w:pPr>
        <w:spacing w:after="160" w:line="320" w:lineRule="auto"/>
        <w:jc w:val="both"/>
      </w:pPr>
      <w:r>
        <w:t xml:space="preserve">A think-aloud session was conducted on the live PWA with two co-resident testers (a sample size acknowledged as a clear limitation). The recurring finding across both sessions was lexical: testers consistently mis-tapped </w:t>
      </w:r>
      <w:r>
        <w:lastRenderedPageBreak/>
        <w:t>between the Tasks tab and the Rituals tab, treating them as synonyms. This is the empirical confirmation of the conceptual split Jasper’s review had introduced — testers needed an additional perceptual cue, not just a labelling change, to feel which mode they were in. The design response was tri-zone iconography (operational glyph for Tasks, ritual glyph for Rituals, distilled-orb glyph for Today) and a one-time onboarding tooltip on first navigation between zones.</w:t>
      </w:r>
    </w:p>
    <w:p w14:paraId="33EB67A3" w14:textId="77777777" w:rsidR="00E603AD" w:rsidRDefault="00000000">
      <w:pPr>
        <w:pStyle w:val="Heading2"/>
      </w:pPr>
      <w:r>
        <w:t>6.4 Internal Heuristic Review</w:t>
      </w:r>
    </w:p>
    <w:p w14:paraId="68F399A0" w14:textId="77777777" w:rsidR="00E603AD" w:rsidRDefault="00000000">
      <w:pPr>
        <w:spacing w:after="160" w:line="320" w:lineRule="auto"/>
        <w:jc w:val="both"/>
      </w:pPr>
      <w:r>
        <w:t>In parallel with the mentor sessions, an internal heuristic review was performed against Nielsen’s (1994) usability heuristics applied to interface state V2. The principal finding was an aesthetic register problem rather than a functional one: cool greys, hard borders, and high-contrast neutral iconography read as clinical — the V2 surface looked closer to a patient portal or productivity SaaS than to a domestic, community product. The Match-between-system-and-real-world heuristic was failing at the emotional level: the design was correctly modelling the domain but mis-modelling the feeling of being at home. This drove the full palette migration to the Warm Cream / Amber / Sage tokens documented in Chapter 4. The palette change is treated here as an evidence-driven design decision rather than a stylistic preference.</w:t>
      </w:r>
    </w:p>
    <w:p w14:paraId="64597EEB" w14:textId="77777777" w:rsidR="00E603AD" w:rsidRDefault="00000000">
      <w:pPr>
        <w:pStyle w:val="Heading2"/>
      </w:pPr>
      <w:r>
        <w:t>6.5 Survey as Validation</w:t>
      </w:r>
    </w:p>
    <w:p w14:paraId="5866D782" w14:textId="77777777" w:rsidR="00E603AD" w:rsidRDefault="00000000">
      <w:pPr>
        <w:spacing w:after="160" w:line="320" w:lineRule="auto"/>
        <w:jc w:val="both"/>
      </w:pPr>
      <w:r>
        <w:t>The n = 41 survey serves a dual role: it is primary research for the Methodology chapter and a validation lens for the design. Three items provide direct design acceptance signal. Q9 (interest in a fairness-algorithm-based assignment system) returned a mean of 3.46/5 with a median of 4 and 22 of 41 respondents (53.7%) scoring 4 or 5 — directional acceptance, not enthusiasm. Q10 (landlord visibility) returned 12 of 41 (29.3%) accepting unrestricted visibility, 11 of 41 (26.8%) accepting only a tenant toggle, 5 of 41 (12.2%) explicitly rejecting it as surveillance, and 13 of 41 (31.7%) hands-off — confirming the Privacy Line as the correct primary design constraint. Q11 (preferred contact channel) returned WhatsApp dominant at 24 of 41 (58.5%), reinforcing the asynchronous-channel design assumption and validating the decision not to build a synchronous chat surface inside the MVP.</w:t>
      </w:r>
    </w:p>
    <w:p w14:paraId="7C6683C5" w14:textId="77777777" w:rsidR="00E603AD" w:rsidRDefault="00000000">
      <w:pPr>
        <w:pStyle w:val="Heading2"/>
      </w:pPr>
      <w:r>
        <w:lastRenderedPageBreak/>
        <w:t>6.6 Limitations of Validation</w:t>
      </w:r>
    </w:p>
    <w:p w14:paraId="03DA0BD7" w14:textId="77777777" w:rsidR="00E603AD" w:rsidRDefault="00000000">
      <w:pPr>
        <w:spacing w:after="160" w:line="320" w:lineRule="auto"/>
        <w:jc w:val="both"/>
      </w:pPr>
      <w:r>
        <w:t>This validation campaign is bounded in five known ways. First, only one formal coach session per coach pair was conducted, plus asynchronous mentor review; longer-arc evaluation is post-thesis work. Second, no production cohort of households was observed over time; the artefact has not been left in real use long enough to measure behaviour change. Third, no Belgian co-living operator was interviewed, which leaves the B2B2C side of the model supported by Mark’s role-play landlord position and industry data, rather than by a real operator interview — the single largest open evaluation gap. Fourth, the think-aloud test was n = 2 and is therefore directional only. Fifth, the industry mentor was a single technical reviewer; a multi-reviewer code review pass is not part of this thesis.</w:t>
      </w:r>
    </w:p>
    <w:p w14:paraId="5F04E08A" w14:textId="77777777" w:rsidR="00E603AD" w:rsidRDefault="00000000">
      <w:pPr>
        <w:pStyle w:val="Heading2"/>
      </w:pPr>
      <w:r>
        <w:t>6.7 Summary</w:t>
      </w:r>
    </w:p>
    <w:p w14:paraId="5926F921" w14:textId="77777777" w:rsidR="00E603AD" w:rsidRDefault="00000000">
      <w:pPr>
        <w:spacing w:after="160" w:line="320" w:lineRule="auto"/>
        <w:jc w:val="both"/>
      </w:pPr>
      <w:r>
        <w:t>The Validation chapter does not claim that Shared Living Harmony has been proven to reduce household conflict. It claims something narrower and more honest: every consequential design decision in the MVP — the Operational / Affective split, the tri-zone interface, the Privacy Line, the Warm Cream / Amber / Sage palette, the corrected Smart Rotation, the asynchronous-first communication model — can be traced to a specific piece of feedback evidence from a named source, triangulated where possible against the survey. Traceability, not volume, is what this chapter offers the jury.</w:t>
      </w:r>
    </w:p>
    <w:p w14:paraId="47304F83" w14:textId="77777777" w:rsidR="00E603AD" w:rsidRDefault="00000000">
      <w:r>
        <w:br w:type="page"/>
      </w:r>
    </w:p>
    <w:p w14:paraId="23673D57" w14:textId="77777777" w:rsidR="00E603AD" w:rsidRDefault="00000000">
      <w:pPr>
        <w:pStyle w:val="Heading1"/>
      </w:pPr>
      <w:r>
        <w:lastRenderedPageBreak/>
        <w:t>7. Business Plan</w:t>
      </w:r>
    </w:p>
    <w:p w14:paraId="4AA909E6" w14:textId="77777777" w:rsidR="00E603AD" w:rsidRDefault="00000000">
      <w:pPr>
        <w:pStyle w:val="Heading2"/>
      </w:pPr>
      <w:r>
        <w:t>7.1 Market Analysis: Europe</w:t>
      </w:r>
    </w:p>
    <w:p w14:paraId="51ED877B" w14:textId="77777777" w:rsidR="00E603AD" w:rsidRDefault="00000000">
      <w:pPr>
        <w:spacing w:after="160" w:line="320" w:lineRule="auto"/>
        <w:jc w:val="both"/>
      </w:pPr>
      <w:r>
        <w:t>The European co-living and student housing markets are experiencing robust growth. As of 2024, over 18.6 million people lived in structured co-living (42% in major cities), with the market projected to grow from approximately USD 3.1 billion in 2025 to USD 23.3 billion by 2034 (CAGR approximately 28.6%). Europe accounts for roughly 27% of global co-living occupancy, second only to Asia-Pacific. The student accommodation market in Europe grew from an estimated USD 15.6 billion in 2025 to USD 17.1 billion in 2026 and is forecast to reach USD 27.5 billion by 2031 (CAGR approximately 9.9%). Major cities — London, Madrid, Berlin, Antwerp — are driving demand, with rising international student enrolment and rental supply shortages bolstering occupancy.</w:t>
      </w:r>
    </w:p>
    <w:p w14:paraId="20736C1A" w14:textId="77777777" w:rsidR="00E603AD" w:rsidRDefault="00000000">
      <w:pPr>
        <w:spacing w:after="160" w:line="320" w:lineRule="auto"/>
        <w:jc w:val="both"/>
      </w:pPr>
      <w:r>
        <w:t>Within this context, the PropTech sector is becoming increasingly important. Recent industry research finds that apps helping residents engage with the community are highly valued by tenants, second only to management staff in resident satisfaction surveys (Conscious Coliving, n.d.). In student hubs, digital adoption is mature but few tools focus on social harmony or emotional climate. Market surveys suggest that over 37% of 18–35-year-olds seek community-centric living, indicating latent demand for solutions enhancing group cohesion.</w:t>
      </w:r>
    </w:p>
    <w:p w14:paraId="0706E2F0" w14:textId="77777777" w:rsidR="00E603AD" w:rsidRDefault="00000000">
      <w:pPr>
        <w:pStyle w:val="Heading2"/>
      </w:pPr>
      <w:r>
        <w:t>7.2 Competitor and SWOT Analysis</w:t>
      </w:r>
    </w:p>
    <w:p w14:paraId="2E3CBB39" w14:textId="77777777" w:rsidR="00E603AD" w:rsidRDefault="00000000">
      <w:pPr>
        <w:spacing w:after="160" w:line="320" w:lineRule="auto"/>
        <w:jc w:val="both"/>
      </w:pPr>
      <w:r>
        <w:t>Existing household apps — Flatify, Sweepy, Nipto, Splitwise — provide useful features: chore schedules, expense splitting, shopping lists, and gamification. Sweepy gamifies cleaning with points and leaderboards. Flatify distributes tasks fairly. However, none explicitly address the social or emotional climate of the home. They lack features to visualise group mood or promote collective accountability beyond task counting. Shared Living Harmony integrates the 3D Energy Core and collective scoring to reflect house well-being, adding an emotional/social layer that competitors lack.</w:t>
      </w:r>
    </w:p>
    <w:p w14:paraId="6AE74FB9" w14:textId="77777777" w:rsidR="00E603AD" w:rsidRDefault="00000000">
      <w:pPr>
        <w:spacing w:after="160" w:line="320" w:lineRule="auto"/>
        <w:jc w:val="both"/>
      </w:pPr>
      <w:r>
        <w:t xml:space="preserve">SWOT analysis. Strengths: innovative use of PWA and 3D visualisation makes the product distinctive; the playful 3D interface engages younger </w:t>
      </w:r>
      <w:r>
        <w:lastRenderedPageBreak/>
        <w:t>users; the focus on harmony appeals to both residents and landlords. Weaknesses: high technical complexity may raise adoption hurdles; dependence on resident participation is a risk — if not everyone uses it, scores become less meaningful. Opportunities: growing PropTech interest among student housing operators; partnerships with universities can drive uptake; the emotional focus is a differentiator. Threats: established free household apps compete on familiarity; user privacy concerns may arise; maintaining user engagement long-term is challenging.</w:t>
      </w:r>
    </w:p>
    <w:p w14:paraId="46EA5A20" w14:textId="77777777" w:rsidR="00E603AD" w:rsidRDefault="00000000">
      <w:pPr>
        <w:pStyle w:val="Heading2"/>
      </w:pPr>
      <w:r>
        <w:t>7.3 B2B2C Business Model</w:t>
      </w:r>
    </w:p>
    <w:p w14:paraId="27906973" w14:textId="77777777" w:rsidR="00E603AD" w:rsidRDefault="00000000">
      <w:pPr>
        <w:spacing w:after="160" w:line="320" w:lineRule="auto"/>
        <w:jc w:val="both"/>
      </w:pPr>
      <w:r>
        <w:t>Offering the service through landlords or co-living operators is strategic. Each retained renter generates roughly USD 900 per year in additional profit, making conflict reduction a quantifiable business outcome (Conscious Coliving, n.d.). Reducing household friction directly supports retention: when residents feel heard and conflicts are minimised, renewal rates rise.</w:t>
      </w:r>
    </w:p>
    <w:p w14:paraId="6A2A22DD" w14:textId="77777777" w:rsidR="00E603AD" w:rsidRDefault="00000000">
      <w:pPr>
        <w:spacing w:after="160" w:line="320" w:lineRule="auto"/>
        <w:jc w:val="both"/>
      </w:pPr>
      <w:r>
        <w:t>Pricing logic: Residents — free (full dashboard, chores, harmony, supplies). Landlord Basic (€9/property/month) — Property Health Score + Maintenance Alerts. Landlord Pro (€19/property/month) — everything plus trend graphs, retention risk indicators, and incident rate tracking. Portfolio landlords (10+ properties) receive a single dashboard across all properties.</w:t>
      </w:r>
    </w:p>
    <w:p w14:paraId="6D885A10" w14:textId="77777777" w:rsidR="00E603AD" w:rsidRDefault="00000000">
      <w:pPr>
        <w:spacing w:after="160" w:line="320" w:lineRule="auto"/>
        <w:jc w:val="both"/>
      </w:pPr>
      <w:r>
        <w:t>This B2B2C approach avoids low consumer pricing sensitivity and positions the app as a modern management tool. Many modern Property Management Systems — Yardi, Buildium, AppFolio — already allow plugins for resident engagement, making a harmony module a natural extension.</w:t>
      </w:r>
    </w:p>
    <w:p w14:paraId="22F41997" w14:textId="77777777" w:rsidR="00E603AD" w:rsidRDefault="00000000">
      <w:pPr>
        <w:pStyle w:val="Heading2"/>
      </w:pPr>
      <w:r>
        <w:t>7.4 Go-To-Market Strategy: Antwerp Pilot</w:t>
      </w:r>
    </w:p>
    <w:p w14:paraId="0986806A" w14:textId="77777777" w:rsidR="00E603AD" w:rsidRDefault="00000000">
      <w:pPr>
        <w:spacing w:after="160" w:line="320" w:lineRule="auto"/>
        <w:jc w:val="both"/>
      </w:pPr>
      <w:r>
        <w:t xml:space="preserve">For launch in Antwerp, the plan is to partner with one or two major student housing providers to pilot the app in selected residences. Working with Erasmus Student Network (ESN) chapters and university student unions can drive word-of-mouth among international students. A “Coliveathon” onboarding contest — where houses compete via Smart Rotation games to earn points in the first month — would generate engagement data and social proof simultaneously. Offering a free trial period with incentives — a pizza party reward for the first house to achieve a Harmonized score — can </w:t>
      </w:r>
      <w:r>
        <w:lastRenderedPageBreak/>
        <w:t>encourage initial uptake. Gamified messaging (“Turn your chaos into harmony!”) in social media ads targets students in Antwerp.</w:t>
      </w:r>
    </w:p>
    <w:p w14:paraId="07F90BB9" w14:textId="77777777" w:rsidR="00E603AD" w:rsidRDefault="00000000">
      <w:pPr>
        <w:pStyle w:val="Heading2"/>
      </w:pPr>
      <w:r>
        <w:t>7.5 Product Roadmap</w:t>
      </w:r>
    </w:p>
    <w:p w14:paraId="784367EF" w14:textId="77777777" w:rsidR="00E603AD" w:rsidRDefault="00000000">
      <w:pPr>
        <w:spacing w:after="160" w:line="320" w:lineRule="auto"/>
        <w:jc w:val="both"/>
      </w:pPr>
      <w:r>
        <w:t>The product roadmap beyond the MVP includes five priority lines. First, landlord-side primary research: interviews with three to five Antwerp co-living operators to validate the B2B2C pricing logic. Second, production infrastructure migration: photo storage from inline Postgres to an external object store (AWS S3 or equivalent), real-time eventing for multi-session harmony updates, push notification support for the Today zone. Third, integration with external service platforms: the Ring Twice handyman marketplace for maintenance escalations, as suggested in the Mark/Oscar coach session. Fourth, analytics dashboard V2: once the ambient surface has been internalised by a household over a full academic term, introduce per-house analytics framed as household retrospective, not individual leaderboard. Fifth, AI tone assistant: a natural-language layer that helps residents phrase difficult household conversations.</w:t>
      </w:r>
    </w:p>
    <w:p w14:paraId="4CF730B6" w14:textId="77777777" w:rsidR="00E603AD" w:rsidRDefault="00000000">
      <w:r>
        <w:br w:type="page"/>
      </w:r>
    </w:p>
    <w:p w14:paraId="42149DBE" w14:textId="77777777" w:rsidR="00E603AD" w:rsidRDefault="00000000">
      <w:pPr>
        <w:pStyle w:val="Heading1"/>
      </w:pPr>
      <w:r>
        <w:lastRenderedPageBreak/>
        <w:t>8. Conclusions and Future Work</w:t>
      </w:r>
    </w:p>
    <w:p w14:paraId="2BF463E2" w14:textId="77777777" w:rsidR="00E603AD" w:rsidRDefault="00000000">
      <w:pPr>
        <w:pStyle w:val="Heading2"/>
      </w:pPr>
      <w:r>
        <w:t>8.1 Summary of the Project</w:t>
      </w:r>
    </w:p>
    <w:p w14:paraId="59A8911E" w14:textId="77777777" w:rsidR="00E603AD" w:rsidRDefault="00000000">
      <w:pPr>
        <w:spacing w:after="160" w:line="320" w:lineRule="auto"/>
        <w:jc w:val="both"/>
      </w:pPr>
      <w:r>
        <w:t>This bachelor project set out to design, build, and validate a Progressive Web Application — Shared Living Harmony, released under the product wordmark HOOMA — that would reduce the everyday emotional friction of shared student housing in the 18–30 cohort. The project produced four interlocking outputs: a mixed-methods evidence base (Chapters 2 and 3), a working deployed artefact (Chapter 5), a documented design-science validation trail (Chapter 6), and a B2B2C business plan grounded in a concrete Antwerp go-to-market plan (Chapter 7). The artefact is end-to-end demonstrable: a new resident can sign up, join a household, receive an algorithmically-assigned chore, complete it with photographic proof, and observe the household’s response in the ambient 3D Energy Core. Each design move is traceable to a specific feedback loop or survey data point.</w:t>
      </w:r>
    </w:p>
    <w:p w14:paraId="32D418B2" w14:textId="77777777" w:rsidR="00E603AD" w:rsidRDefault="00000000">
      <w:pPr>
        <w:pStyle w:val="Heading2"/>
      </w:pPr>
      <w:r>
        <w:t>8.2 Findings Against the Research Questions</w:t>
      </w:r>
    </w:p>
    <w:p w14:paraId="0DC4349E" w14:textId="77777777" w:rsidR="00E603AD" w:rsidRDefault="00000000">
      <w:pPr>
        <w:spacing w:after="160" w:line="320" w:lineRule="auto"/>
        <w:jc w:val="both"/>
      </w:pPr>
      <w:r>
        <w:t>RQ1 — Prevalence. Shared-housing friction in the 18–30 cohort is not marginal. The survey returned majority-level signal on chore-related tension within the past month (70.7%). The open-text incident stories triangulated the closed-question result, naming kitchen hygiene, silent tension, uneven labour, supply shortages, landlord opacity, and noise as the recurring failure modes. This prevalence finding replaces the original personal-experience justification that the Jasper coach review flagged as under-evidenced.</w:t>
      </w:r>
    </w:p>
    <w:p w14:paraId="3B233D9B" w14:textId="77777777" w:rsidR="00E603AD" w:rsidRDefault="00000000">
      <w:pPr>
        <w:spacing w:after="160" w:line="320" w:lineRule="auto"/>
        <w:jc w:val="both"/>
      </w:pPr>
      <w:r>
        <w:t>RQ2 — Coping. Existing coping behaviours converge on two patterns: silent absorption (residents notice the failure, do the task themselves, and accumulate resentment) and group-chat broadcast (a request issued to many, owned by none, ignored by most). Both patterns leave the enforcer role with the resident — the role the artefact is built to remove. This coping finding is the empirical basis for both Smart Rotation and Reactive Flagging.</w:t>
      </w:r>
    </w:p>
    <w:p w14:paraId="51FF4397" w14:textId="77777777" w:rsidR="00E603AD" w:rsidRDefault="00000000">
      <w:pPr>
        <w:spacing w:after="160" w:line="320" w:lineRule="auto"/>
        <w:jc w:val="both"/>
      </w:pPr>
      <w:r>
        <w:t xml:space="preserve">RQ3 — Design acceptance. Survey items measuring acceptance of algorithmic fairness and of a household-level harmony indicator visible to a landlord returned a clear split: residents accept algorithmic fairness readily (Q9 mean 3.46/5, 54% scoring 4–5); residents accept landlord visibility </w:t>
      </w:r>
      <w:r>
        <w:lastRenderedPageBreak/>
        <w:t>only under a tenant-controlled boundary (39% flagging surveillance risk if unbounded). The acceptance finding is the empirical basis for the Privacy Line and is what makes the B2B2C model defensible rather than aspirational.</w:t>
      </w:r>
    </w:p>
    <w:p w14:paraId="48D0E15B" w14:textId="77777777" w:rsidR="00E603AD" w:rsidRDefault="00000000">
      <w:pPr>
        <w:spacing w:after="160" w:line="320" w:lineRule="auto"/>
        <w:jc w:val="both"/>
      </w:pPr>
      <w:r>
        <w:t>RQ4 — Artefact viability. A working PWA implementing Smart Rotation, the House Harmony Score, the 3D Energy Core, Photo Proof of Completion, Reactive Flagging, and the Landlord Portal was built, deployed continuously to Railway, and held up to three independent feedback loops. The artefact viability finding is, in the simplest possible form, the deployed product itself.</w:t>
      </w:r>
    </w:p>
    <w:p w14:paraId="1062304F" w14:textId="77777777" w:rsidR="00E603AD" w:rsidRDefault="00000000">
      <w:pPr>
        <w:pStyle w:val="Heading2"/>
      </w:pPr>
      <w:r>
        <w:t>8.3 Contributions of the Project</w:t>
      </w:r>
    </w:p>
    <w:p w14:paraId="21E40EC8" w14:textId="77777777" w:rsidR="00E603AD" w:rsidRDefault="00000000">
      <w:pPr>
        <w:spacing w:after="160" w:line="320" w:lineRule="auto"/>
        <w:jc w:val="both"/>
      </w:pPr>
      <w:r>
        <w:t>Three contributions are claimed by this thesis. First, an operational definition of household harmony that does not collapse into a 1:1 task-completion ratio. The Operational / Affective split is the project’s design-level answer to the strongest concern in the coach feedback. Harmony is multi-source by construction: the Tasks zone contributes via on-time completion and overdue penalties; the Rituals zone contributes via shared meals, household events, and Bloom affective signals; the two streams are capped against each other so that neither can dominate.</w:t>
      </w:r>
    </w:p>
    <w:p w14:paraId="4517DE74" w14:textId="77777777" w:rsidR="00E603AD" w:rsidRDefault="00000000">
      <w:pPr>
        <w:spacing w:after="160" w:line="320" w:lineRule="auto"/>
        <w:jc w:val="both"/>
      </w:pPr>
      <w:r>
        <w:t>Second, a Privacy-Line-governed landlord channel that makes the B2B2C model defensible without converting the product into a surveillance tool. The redesign of the Landlord Portal from an “everyone sees everything” surface to a property-health overview is the most consequential commercial design change in the project.</w:t>
      </w:r>
    </w:p>
    <w:p w14:paraId="3FBDF323" w14:textId="77777777" w:rsidR="00E603AD" w:rsidRDefault="00000000">
      <w:pPr>
        <w:spacing w:after="160" w:line="320" w:lineRule="auto"/>
        <w:jc w:val="both"/>
      </w:pPr>
      <w:r>
        <w:t>Third, an integrated three-stream artefact — Web (the deployed PWA), 3D (the Energy Core), and Audio-Visual (the Product Movie) — that satisfies the KdG MCT bachelor-project disciplinary requirement as a single coherent product. The 3D Energy Core is the single design asset most responsible for that coherence: it is the visible centre of the brand, the ambient signal of the product, and the anchor of the Product Movie.</w:t>
      </w:r>
    </w:p>
    <w:p w14:paraId="75256E3D" w14:textId="77777777" w:rsidR="00E603AD" w:rsidRDefault="00000000">
      <w:pPr>
        <w:pStyle w:val="Heading2"/>
      </w:pPr>
      <w:r>
        <w:t>8.4 Limitations</w:t>
      </w:r>
    </w:p>
    <w:p w14:paraId="380302E9" w14:textId="77777777" w:rsidR="00E603AD" w:rsidRDefault="00000000">
      <w:pPr>
        <w:spacing w:after="160" w:line="320" w:lineRule="auto"/>
        <w:jc w:val="both"/>
      </w:pPr>
      <w:r>
        <w:t xml:space="preserve">The project carries four limitations the thesis names rather than hides. Sample size and recruitment: the n = 41 survey was distributed through the researcher’s personal network and is not a probability sample; the five </w:t>
      </w:r>
      <w:r>
        <w:lastRenderedPageBreak/>
        <w:t>respondents who opted in to a follow-up interview were not pursued within the thesis scope. Researcher positionality: the researcher is a member of the target population, which is both a methodological asset and a known source of confirmation bias. MVP scale: the deployed artefact has been validated against expert review, not against a live household trial. Stack divergence: the shipped stack (Next.js + NestJS + Postgres + Prisma + inline photo storage) diverges from the originally specified stack; the version-2 substrate is named in Section 8.5.</w:t>
      </w:r>
    </w:p>
    <w:p w14:paraId="66937C15" w14:textId="77777777" w:rsidR="00E603AD" w:rsidRDefault="00000000">
      <w:pPr>
        <w:pStyle w:val="Heading2"/>
      </w:pPr>
      <w:r>
        <w:t>8.5 Future Work</w:t>
      </w:r>
    </w:p>
    <w:p w14:paraId="430C30DB" w14:textId="77777777" w:rsidR="00E603AD" w:rsidRDefault="00000000">
      <w:pPr>
        <w:spacing w:after="160" w:line="320" w:lineRule="auto"/>
        <w:jc w:val="both"/>
      </w:pPr>
      <w:r>
        <w:t>Five lines of future work are committed to in order of priority. First, pilot deployment: a 4–8-week structured pilot across two to three Antwerp student kots, paired with a pre/post survey instrument, would convert the project from artefact-viable to outcome-validated. This is the single most important piece of evidence the next phase of work should produce. Second, the 30+ economic-pressure cohort: a focused comparative study of this segment would test whether the same three-pillar synthesis transfers, or whether the affective layer needs to be re-pitched. Third, analytics and weekly digest, re-introduced carefully: version 2, framed as a private household-only retrospective, not a leaderboard. Fourth, object-store-backed media and real-time eventing: the natural infrastructure step that allows the product to scale beyond the household size constraint (3–8 users). Fifth, AI-assisted affective-tone moderation: a focused investigation into softening escalation language — the “the bin needs taking out” register versus the “why does no one ever take the bin out” register.</w:t>
      </w:r>
    </w:p>
    <w:p w14:paraId="45BB2BBB" w14:textId="77777777" w:rsidR="00E603AD" w:rsidRDefault="00000000">
      <w:pPr>
        <w:pStyle w:val="Heading2"/>
      </w:pPr>
      <w:r>
        <w:t>8.6 Closing Remark</w:t>
      </w:r>
    </w:p>
    <w:p w14:paraId="38898D89" w14:textId="77777777" w:rsidR="00E603AD" w:rsidRDefault="00000000">
      <w:pPr>
        <w:spacing w:after="160" w:line="320" w:lineRule="auto"/>
        <w:jc w:val="both"/>
      </w:pPr>
      <w:r>
        <w:t xml:space="preserve">Shared Living Harmony was conceived in response to a problem the researcher first encountered as a resident in shared international student housing in Antwerp. The bachelor-project format imposed a hard constraint — one researcher, one academic year, one deployable artefact — and the project responded to that constraint by refusing to pretend that co-living could be solved in a single thesis. The contribution it claims is narrower and more defensible: that the way people co-live — the small operational and affective frictions that accumulate into resentment — can be addressed by a coordinating layer that is fair by construction, ambient by default, and </w:t>
      </w:r>
      <w:r>
        <w:lastRenderedPageBreak/>
        <w:t>respectful of the boundary between the household and the landlord. The deployed artefact is the evidence the thesis offers for that claim.</w:t>
      </w:r>
    </w:p>
    <w:p w14:paraId="10078A21" w14:textId="77777777" w:rsidR="00E603AD" w:rsidRDefault="00000000">
      <w:pPr>
        <w:pStyle w:val="Heading2"/>
      </w:pPr>
      <w:r>
        <w:t>8.7 Acknowledgements</w:t>
      </w:r>
    </w:p>
    <w:p w14:paraId="0C4AC0CD" w14:textId="760CCEC4" w:rsidR="00E603AD" w:rsidRDefault="00000000">
      <w:pPr>
        <w:spacing w:after="160" w:line="320" w:lineRule="auto"/>
        <w:jc w:val="both"/>
      </w:pPr>
      <w:r>
        <w:t>The researcher thanks</w:t>
      </w:r>
      <w:r>
        <w:rPr>
          <w:b/>
          <w:bCs/>
        </w:rPr>
        <w:t xml:space="preserve"> KdG</w:t>
      </w:r>
      <w:r>
        <w:t xml:space="preserve"> coach </w:t>
      </w:r>
      <w:r>
        <w:rPr>
          <w:b/>
          <w:bCs/>
        </w:rPr>
        <w:t>Jasper</w:t>
      </w:r>
      <w:r>
        <w:t xml:space="preserve"> for the strategic intervention that produced the Operational / Affective split; </w:t>
      </w:r>
      <w:r>
        <w:rPr>
          <w:b/>
          <w:bCs/>
        </w:rPr>
        <w:t>KdG coaches</w:t>
      </w:r>
      <w:r>
        <w:t xml:space="preserve"> and </w:t>
      </w:r>
      <w:r>
        <w:rPr>
          <w:b/>
          <w:bCs/>
        </w:rPr>
        <w:t>classmates</w:t>
      </w:r>
      <w:r>
        <w:t xml:space="preserve"> for the commercial pushback that produced the Privacy Line; the industry mentor </w:t>
      </w:r>
      <w:r>
        <w:rPr>
          <w:b/>
          <w:bCs/>
        </w:rPr>
        <w:t xml:space="preserve">Mohamed El Jafoufi </w:t>
      </w:r>
      <w:r>
        <w:t xml:space="preserve">whose engineering review shaped the technical stack and corrected the Smart Rotation algorithm; </w:t>
      </w:r>
      <w:r>
        <w:rPr>
          <w:b/>
          <w:bCs/>
        </w:rPr>
        <w:t>the forty-one survey respondents</w:t>
      </w:r>
      <w:r>
        <w:t xml:space="preserve"> who took ninety seconds to make this thesis possible; and the housemates, past and present, without whom there would have been no problem worth solving.</w:t>
      </w:r>
    </w:p>
    <w:p w14:paraId="2AD31D6A" w14:textId="77777777" w:rsidR="00E603AD" w:rsidRDefault="00000000">
      <w:r>
        <w:br w:type="page"/>
      </w:r>
    </w:p>
    <w:p w14:paraId="001C340B" w14:textId="77777777" w:rsidR="00E603AD" w:rsidRDefault="00000000">
      <w:pPr>
        <w:pStyle w:val="Heading1"/>
      </w:pPr>
      <w:r>
        <w:lastRenderedPageBreak/>
        <w:t>Sources &amp; Annexes</w:t>
      </w:r>
    </w:p>
    <w:p w14:paraId="550536E1" w14:textId="77777777" w:rsidR="00E603AD" w:rsidRDefault="00000000">
      <w:pPr>
        <w:pStyle w:val="Heading2"/>
      </w:pPr>
      <w:r>
        <w:t>Reference List</w:t>
      </w:r>
    </w:p>
    <w:p w14:paraId="44172803" w14:textId="77777777" w:rsidR="00E603AD" w:rsidRDefault="00000000">
      <w:pPr>
        <w:spacing w:after="160" w:line="320" w:lineRule="auto"/>
        <w:jc w:val="both"/>
      </w:pPr>
      <w:r>
        <w:t>Anderson, L. (2006). Analytic autoethnography. Journal of Contemporary Ethnography, 35(4), 373–395. https://doi.org/10.1177/0891241605280449</w:t>
      </w:r>
    </w:p>
    <w:p w14:paraId="4766CDE3" w14:textId="77777777" w:rsidR="00E603AD" w:rsidRDefault="00000000">
      <w:pPr>
        <w:spacing w:after="160" w:line="320" w:lineRule="auto"/>
        <w:jc w:val="both"/>
      </w:pPr>
      <w:r>
        <w:t>Braun, V., &amp; Clarke, V. (2006). Using thematic analysis in psychology. Qualitative Research in Psychology, 3(2), 77–101. https://doi.org/10.1191/1478088706qp063oa</w:t>
      </w:r>
    </w:p>
    <w:p w14:paraId="4DF54C4A" w14:textId="77777777" w:rsidR="00E603AD" w:rsidRDefault="00000000">
      <w:pPr>
        <w:spacing w:after="160" w:line="320" w:lineRule="auto"/>
        <w:jc w:val="both"/>
      </w:pPr>
      <w:r>
        <w:t>Braun, V., &amp; Clarke, V. (2019). Reflecting on reflexive thematic analysis. Qualitative Research in Sport, Exercise and Health, 11(4), 589–597. https://doi.org/10.1080/2159676X.2019.1628806</w:t>
      </w:r>
    </w:p>
    <w:p w14:paraId="567C9005" w14:textId="77777777" w:rsidR="00E603AD" w:rsidRDefault="00000000">
      <w:pPr>
        <w:spacing w:after="160" w:line="320" w:lineRule="auto"/>
        <w:jc w:val="both"/>
      </w:pPr>
      <w:r>
        <w:t>Brown, T. (2009). Change by design: How design thinking transforms organizations and inspires innovation. HarperBusiness.</w:t>
      </w:r>
    </w:p>
    <w:p w14:paraId="03ADE131" w14:textId="77777777" w:rsidR="00E603AD" w:rsidRDefault="00000000">
      <w:pPr>
        <w:spacing w:after="160" w:line="320" w:lineRule="auto"/>
        <w:jc w:val="both"/>
      </w:pPr>
      <w:r>
        <w:t>Carlson, D. L. (2022). The best way to split chores to improve relationships. TIME. Retrieved from https://time.com</w:t>
      </w:r>
    </w:p>
    <w:p w14:paraId="40A4D251" w14:textId="77777777" w:rsidR="00E603AD" w:rsidRDefault="00000000">
      <w:pPr>
        <w:spacing w:after="160" w:line="320" w:lineRule="auto"/>
        <w:jc w:val="both"/>
      </w:pPr>
      <w:r>
        <w:t>Collins, R. (2004). Interaction ritual chains. Princeton University Press.</w:t>
      </w:r>
    </w:p>
    <w:p w14:paraId="0E254C23" w14:textId="77777777" w:rsidR="00E603AD" w:rsidRDefault="00000000">
      <w:pPr>
        <w:spacing w:after="160" w:line="320" w:lineRule="auto"/>
        <w:jc w:val="both"/>
      </w:pPr>
      <w:r>
        <w:t>Columbia University. (n.d.). Facilitating team awareness through ambient displays. Retrieved from https://cs.columbia.edu</w:t>
      </w:r>
    </w:p>
    <w:p w14:paraId="47E6A4F8" w14:textId="77777777" w:rsidR="00E603AD" w:rsidRDefault="00000000">
      <w:pPr>
        <w:spacing w:after="160" w:line="320" w:lineRule="auto"/>
        <w:jc w:val="both"/>
      </w:pPr>
      <w:r>
        <w:t>Conscious Coliving. (n.d.). Benefits of using a tenant experience platform for your shared living community. Retrieved from https://consciouscoliving.com</w:t>
      </w:r>
    </w:p>
    <w:p w14:paraId="76539828" w14:textId="77777777" w:rsidR="00E603AD" w:rsidRDefault="00000000">
      <w:pPr>
        <w:spacing w:after="160" w:line="320" w:lineRule="auto"/>
        <w:jc w:val="both"/>
      </w:pPr>
      <w:r>
        <w:t>Conscious Coliving. (n.d.). Tenant experience platforms and leasing benefits in coliving. Retrieved from https://consciouscoliving.com</w:t>
      </w:r>
    </w:p>
    <w:p w14:paraId="00011D1D" w14:textId="77777777" w:rsidR="00E603AD" w:rsidRDefault="00000000">
      <w:pPr>
        <w:spacing w:after="160" w:line="320" w:lineRule="auto"/>
        <w:jc w:val="both"/>
      </w:pPr>
      <w:r>
        <w:t>Creswell, J. W., &amp; Plano Clark, V. L. (2018). Designing and conducting mixed methods research (3rd ed.). SAGE Publications.</w:t>
      </w:r>
    </w:p>
    <w:p w14:paraId="45C68846" w14:textId="77777777" w:rsidR="00E603AD" w:rsidRDefault="00000000">
      <w:pPr>
        <w:spacing w:after="160" w:line="320" w:lineRule="auto"/>
        <w:jc w:val="both"/>
      </w:pPr>
      <w:r>
        <w:t>Forbes Woman. (n.d.). Mental load: How household responsibilities lead to burnout among working women. Retrieved from https://forbes.ru</w:t>
      </w:r>
    </w:p>
    <w:p w14:paraId="6C66BBBF" w14:textId="77777777" w:rsidR="00E603AD" w:rsidRDefault="00000000">
      <w:pPr>
        <w:spacing w:after="160" w:line="320" w:lineRule="auto"/>
        <w:jc w:val="both"/>
      </w:pPr>
      <w:r>
        <w:t>Nielsen, J. (1994). Usability engineering. Academic Press.</w:t>
      </w:r>
    </w:p>
    <w:p w14:paraId="6C66BBCF" w14:textId="77777777" w:rsidR="00E603AD" w:rsidRDefault="00000000">
      <w:pPr>
        <w:spacing w:after="160" w:line="320" w:lineRule="auto"/>
        <w:jc w:val="both"/>
      </w:pPr>
      <w:r>
        <w:t>Norman, D. A. (2004). Emotional design: Why we love (or hate) everyday things. Basic Books.</w:t>
      </w:r>
    </w:p>
    <w:p w14:paraId="6C66BBCE" w14:textId="77777777" w:rsidR="00E603AD" w:rsidRDefault="00000000">
      <w:pPr>
        <w:spacing w:after="160" w:line="320" w:lineRule="auto"/>
        <w:jc w:val="both"/>
      </w:pPr>
      <w:r>
        <w:lastRenderedPageBreak/>
        <w:t>Fogg, B. J. (2009). A behavior model for persuasive design. In Proceedings of the 4th International Conference on Persuasive Technology (Persuasive ’09). ACM. https://doi.org/10.1145/1541948.1541999</w:t>
      </w:r>
    </w:p>
    <w:p w14:paraId="3C3D7FAE" w14:textId="77777777" w:rsidR="00E603AD" w:rsidRDefault="00000000">
      <w:pPr>
        <w:spacing w:after="160" w:line="320" w:lineRule="auto"/>
        <w:jc w:val="both"/>
      </w:pPr>
      <w:r>
        <w:t>Patton, M. Q. (2015). Qualitative research and evaluation methods (4th ed.). SAGE Publications.</w:t>
      </w:r>
    </w:p>
    <w:p w14:paraId="1E580244" w14:textId="77777777" w:rsidR="00E603AD" w:rsidRDefault="00000000">
      <w:pPr>
        <w:spacing w:after="160" w:line="320" w:lineRule="auto"/>
        <w:jc w:val="both"/>
      </w:pPr>
      <w:r>
        <w:t>Peffers, K., Tuunanen, T., Rothenberger, M. A., &amp; Chatterjee, S. (2007). A design science research methodology for information systems research. Journal of Management Information Systems, 24(3), 45–77. https://doi.org/10.2753/MIS0742-1222240302</w:t>
      </w:r>
    </w:p>
    <w:p w14:paraId="315BAC31" w14:textId="77777777" w:rsidR="00E603AD" w:rsidRDefault="00000000">
      <w:pPr>
        <w:spacing w:after="160" w:line="320" w:lineRule="auto"/>
        <w:jc w:val="both"/>
      </w:pPr>
      <w:r>
        <w:t>Putnam, R. D. (2000). Bowling alone: The collapse and revival of American community. Simon &amp; Schuster.</w:t>
      </w:r>
    </w:p>
    <w:p w14:paraId="24E9A433" w14:textId="77777777" w:rsidR="00E603AD" w:rsidRDefault="00000000">
      <w:pPr>
        <w:spacing w:after="160" w:line="320" w:lineRule="auto"/>
        <w:jc w:val="both"/>
      </w:pPr>
      <w:r>
        <w:t>Schedgy. (n.d.). Share the load, not the stress. Retrieved from https://schedgy.app</w:t>
      </w:r>
    </w:p>
    <w:p w14:paraId="324D0E8C" w14:textId="77777777" w:rsidR="00E603AD" w:rsidRDefault="00000000">
      <w:pPr>
        <w:spacing w:after="160" w:line="320" w:lineRule="auto"/>
        <w:jc w:val="both"/>
      </w:pPr>
      <w:r>
        <w:t>Tyler, T. R. (1990). Why people obey the law. Yale University Press.</w:t>
      </w:r>
    </w:p>
    <w:p w14:paraId="5133D86A" w14:textId="77777777" w:rsidR="00E603AD" w:rsidRDefault="00000000">
      <w:pPr>
        <w:spacing w:after="160" w:line="320" w:lineRule="auto"/>
        <w:jc w:val="both"/>
      </w:pPr>
      <w:r>
        <w:t>Wikipedia contributors. (n.d.). Diffusion of responsibility. In Wikipedia, The Free Encyclopedia. Retrieved from https://en.wikipedia.org/wiki/Diffusion_of_responsibility</w:t>
      </w:r>
    </w:p>
    <w:p w14:paraId="4D024641" w14:textId="77777777" w:rsidR="00E603AD" w:rsidRDefault="00E603AD">
      <w:pPr>
        <w:spacing w:after="120"/>
      </w:pPr>
    </w:p>
    <w:p w14:paraId="6B4E0D18" w14:textId="77777777" w:rsidR="00E603AD" w:rsidRDefault="00000000">
      <w:pPr>
        <w:pStyle w:val="Heading2"/>
      </w:pPr>
      <w:r>
        <w:t>AI Assistance Acknowledgement</w:t>
      </w:r>
    </w:p>
    <w:p w14:paraId="2C59379F" w14:textId="77777777" w:rsidR="00E603AD" w:rsidRDefault="00000000">
      <w:pPr>
        <w:spacing w:after="160" w:line="320" w:lineRule="auto"/>
        <w:jc w:val="both"/>
      </w:pPr>
      <w:r>
        <w:t>AI tools were used during the research, drafting, and development phases of this project. Claude (Anthropic) was used for thesis drafting assistance, structure review, and content organisation. ChatGPT (OpenAI) was used for brainstorming and research exploration. An AI development agent (Kai, built on Claude Code by Anthropic) was used by the industry mentor to accelerate MVP development. All AI-generated content was reviewed, edited, and verified by the researcher before inclusion. This disclosure is made in accordance with KdG MCT academic integrity requirements.</w:t>
      </w:r>
    </w:p>
    <w:p w14:paraId="75B7A9CC" w14:textId="77777777" w:rsidR="00E603AD" w:rsidRDefault="00000000">
      <w:pPr>
        <w:pStyle w:val="Heading2"/>
      </w:pPr>
      <w:r>
        <w:t>Annexes</w:t>
      </w:r>
    </w:p>
    <w:p w14:paraId="21F9EB8D" w14:textId="77777777" w:rsidR="00E603AD" w:rsidRDefault="00000000">
      <w:pPr>
        <w:spacing w:after="160" w:line="320" w:lineRule="auto"/>
        <w:jc w:val="both"/>
      </w:pPr>
      <w:r>
        <w:t>Annex A: Survey instrument — Shared Living 90-second survey (13 questions, full instrument).</w:t>
      </w:r>
    </w:p>
    <w:p w14:paraId="0BCE3E31" w14:textId="77777777" w:rsidR="00E603AD" w:rsidRDefault="00000000">
      <w:pPr>
        <w:spacing w:after="160" w:line="320" w:lineRule="auto"/>
        <w:jc w:val="both"/>
      </w:pPr>
      <w:r>
        <w:t>Annex B: Wireframes and interface mockups (Miro boards).</w:t>
      </w:r>
    </w:p>
    <w:p w14:paraId="02349999" w14:textId="77777777" w:rsidR="00E603AD" w:rsidRPr="005012D2" w:rsidRDefault="00000000">
      <w:pPr>
        <w:spacing w:after="160" w:line="320" w:lineRule="auto"/>
        <w:jc w:val="both"/>
        <w:rPr>
          <w:lang w:val="nl-NL"/>
        </w:rPr>
      </w:pPr>
      <w:r>
        <w:rPr>
          <w:lang w:val="nl-NL"/>
        </w:rPr>
        <w:lastRenderedPageBreak/>
        <w:t>Annex C: Database schema diagram.</w:t>
      </w:r>
    </w:p>
    <w:p w14:paraId="36F5341C" w14:textId="77777777" w:rsidR="00E603AD" w:rsidRDefault="00000000">
      <w:pPr>
        <w:spacing w:after="160" w:line="320" w:lineRule="auto"/>
        <w:jc w:val="both"/>
      </w:pPr>
      <w:r>
        <w:t>Annex D: MVP deployment URL — https://web-production-96525.up.railway.app/dashboard</w:t>
      </w:r>
    </w:p>
    <w:p w14:paraId="77DCF27C" w14:textId="77777777" w:rsidR="00E603AD" w:rsidRDefault="00000000">
      <w:pPr>
        <w:spacing w:after="160" w:line="320" w:lineRule="auto"/>
        <w:jc w:val="both"/>
      </w:pPr>
      <w:r>
        <w:t>Annex E: Product Movie (40-second promotional video) — [link to be added before submission].</w:t>
      </w:r>
    </w:p>
    <w:p w14:paraId="724F677F" w14:textId="77777777" w:rsidR="00E603AD" w:rsidRDefault="00000000">
      <w:pPr>
        <w:spacing w:after="160" w:line="320" w:lineRule="auto"/>
        <w:jc w:val="both"/>
      </w:pPr>
      <w:r>
        <w:t>Annex F: Demo Reel version with Lower Third — [link to be added before submission].</w:t>
      </w:r>
    </w:p>
    <w:p w14:paraId="6B425511" w14:textId="77777777" w:rsidR="00E603AD" w:rsidRDefault="00E603AD">
      <w:pPr>
        <w:spacing w:after="240"/>
      </w:pPr>
    </w:p>
    <w:p w14:paraId="6AC65699" w14:textId="77777777" w:rsidR="00E603AD" w:rsidRDefault="00000000">
      <w:pPr>
        <w:jc w:val="center"/>
      </w:pPr>
      <w:r>
        <w:rPr>
          <w:i/>
          <w:iCs/>
          <w:color w:val="555555"/>
          <w:sz w:val="18"/>
          <w:szCs w:val="18"/>
        </w:rPr>
        <w:t>Shared Living Harmony · Ecaterina Moraru · BP 2026 · KdG MCT</w:t>
      </w:r>
    </w:p>
    <w:sectPr w:rsidR="00E603AD">
      <w:foot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741AC" w14:textId="77777777" w:rsidR="004C0263" w:rsidRDefault="004C0263">
      <w:r>
        <w:separator/>
      </w:r>
    </w:p>
  </w:endnote>
  <w:endnote w:type="continuationSeparator" w:id="0">
    <w:p w14:paraId="06FD4EE5" w14:textId="77777777" w:rsidR="004C0263" w:rsidRDefault="004C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8B3A" w14:textId="77777777" w:rsidR="00E603AD" w:rsidRDefault="00000000">
    <w:pPr>
      <w:jc w:val="center"/>
    </w:pPr>
    <w:r>
      <w:rPr>
        <w:color w:val="555555"/>
        <w:sz w:val="18"/>
        <w:szCs w:val="18"/>
      </w:rPr>
      <w:t xml:space="preserve">Shared Living Harmony · Ecaterina Moraru · KdG MCT 2026 · </w:t>
    </w:r>
    <w:r>
      <w:rPr>
        <w:color w:val="555555"/>
        <w:sz w:val="18"/>
        <w:szCs w:val="18"/>
      </w:rPr>
      <w:fldChar w:fldCharType="begin"/>
    </w:r>
    <w:r>
      <w:rPr>
        <w:color w:val="555555"/>
        <w:sz w:val="18"/>
        <w:szCs w:val="18"/>
      </w:rPr>
      <w:instrText>PAGE</w:instrText>
    </w:r>
    <w:r>
      <w:rPr>
        <w:color w:val="555555"/>
        <w:sz w:val="18"/>
        <w:szCs w:val="18"/>
      </w:rPr>
      <w:fldChar w:fldCharType="separate"/>
    </w:r>
    <w:r w:rsidR="005012D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71D8" w14:textId="77777777" w:rsidR="004C0263" w:rsidRDefault="004C0263">
      <w:r>
        <w:separator/>
      </w:r>
    </w:p>
  </w:footnote>
  <w:footnote w:type="continuationSeparator" w:id="0">
    <w:p w14:paraId="69DA6BD8" w14:textId="77777777" w:rsidR="004C0263" w:rsidRDefault="004C0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01E9"/>
    <w:multiLevelType w:val="hybridMultilevel"/>
    <w:tmpl w:val="DADA6E0C"/>
    <w:lvl w:ilvl="0" w:tplc="594AEDCA">
      <w:start w:val="1"/>
      <w:numFmt w:val="bullet"/>
      <w:lvlText w:val="•"/>
      <w:lvlJc w:val="left"/>
      <w:pPr>
        <w:ind w:left="720" w:hanging="360"/>
      </w:pPr>
    </w:lvl>
    <w:lvl w:ilvl="1" w:tplc="EE5CCC7A">
      <w:numFmt w:val="decimal"/>
      <w:lvlText w:val=""/>
      <w:lvlJc w:val="left"/>
    </w:lvl>
    <w:lvl w:ilvl="2" w:tplc="D85262BC">
      <w:numFmt w:val="decimal"/>
      <w:lvlText w:val=""/>
      <w:lvlJc w:val="left"/>
    </w:lvl>
    <w:lvl w:ilvl="3" w:tplc="54801262">
      <w:numFmt w:val="decimal"/>
      <w:lvlText w:val=""/>
      <w:lvlJc w:val="left"/>
    </w:lvl>
    <w:lvl w:ilvl="4" w:tplc="7932EE68">
      <w:numFmt w:val="decimal"/>
      <w:lvlText w:val=""/>
      <w:lvlJc w:val="left"/>
    </w:lvl>
    <w:lvl w:ilvl="5" w:tplc="9FB6A45E">
      <w:numFmt w:val="decimal"/>
      <w:lvlText w:val=""/>
      <w:lvlJc w:val="left"/>
    </w:lvl>
    <w:lvl w:ilvl="6" w:tplc="373EB0E6">
      <w:numFmt w:val="decimal"/>
      <w:lvlText w:val=""/>
      <w:lvlJc w:val="left"/>
    </w:lvl>
    <w:lvl w:ilvl="7" w:tplc="16FC237C">
      <w:numFmt w:val="decimal"/>
      <w:lvlText w:val=""/>
      <w:lvlJc w:val="left"/>
    </w:lvl>
    <w:lvl w:ilvl="8" w:tplc="BF166626">
      <w:numFmt w:val="decimal"/>
      <w:lvlText w:val=""/>
      <w:lvlJc w:val="left"/>
    </w:lvl>
  </w:abstractNum>
  <w:abstractNum w:abstractNumId="1" w15:restartNumberingAfterBreak="0">
    <w:nsid w:val="31926611"/>
    <w:multiLevelType w:val="hybridMultilevel"/>
    <w:tmpl w:val="D98C4D56"/>
    <w:lvl w:ilvl="0" w:tplc="709C8418">
      <w:start w:val="1"/>
      <w:numFmt w:val="decimal"/>
      <w:lvlText w:val="%1."/>
      <w:lvlJc w:val="left"/>
      <w:pPr>
        <w:ind w:left="720" w:hanging="360"/>
      </w:pPr>
    </w:lvl>
    <w:lvl w:ilvl="1" w:tplc="05DC437E">
      <w:numFmt w:val="decimal"/>
      <w:lvlText w:val=""/>
      <w:lvlJc w:val="left"/>
    </w:lvl>
    <w:lvl w:ilvl="2" w:tplc="99968AF2">
      <w:numFmt w:val="decimal"/>
      <w:lvlText w:val=""/>
      <w:lvlJc w:val="left"/>
    </w:lvl>
    <w:lvl w:ilvl="3" w:tplc="F2681678">
      <w:numFmt w:val="decimal"/>
      <w:lvlText w:val=""/>
      <w:lvlJc w:val="left"/>
    </w:lvl>
    <w:lvl w:ilvl="4" w:tplc="438E0956">
      <w:numFmt w:val="decimal"/>
      <w:lvlText w:val=""/>
      <w:lvlJc w:val="left"/>
    </w:lvl>
    <w:lvl w:ilvl="5" w:tplc="80BC5412">
      <w:numFmt w:val="decimal"/>
      <w:lvlText w:val=""/>
      <w:lvlJc w:val="left"/>
    </w:lvl>
    <w:lvl w:ilvl="6" w:tplc="9106378E">
      <w:numFmt w:val="decimal"/>
      <w:lvlText w:val=""/>
      <w:lvlJc w:val="left"/>
    </w:lvl>
    <w:lvl w:ilvl="7" w:tplc="D2968408">
      <w:numFmt w:val="decimal"/>
      <w:lvlText w:val=""/>
      <w:lvlJc w:val="left"/>
    </w:lvl>
    <w:lvl w:ilvl="8" w:tplc="BC5CA274">
      <w:numFmt w:val="decimal"/>
      <w:lvlText w:val=""/>
      <w:lvlJc w:val="left"/>
    </w:lvl>
  </w:abstractNum>
  <w:abstractNum w:abstractNumId="2" w15:restartNumberingAfterBreak="0">
    <w:nsid w:val="6D825E0B"/>
    <w:multiLevelType w:val="hybridMultilevel"/>
    <w:tmpl w:val="42D08E02"/>
    <w:lvl w:ilvl="0" w:tplc="8710EF58">
      <w:start w:val="1"/>
      <w:numFmt w:val="bullet"/>
      <w:lvlText w:val="●"/>
      <w:lvlJc w:val="left"/>
      <w:pPr>
        <w:ind w:left="720" w:hanging="360"/>
      </w:pPr>
    </w:lvl>
    <w:lvl w:ilvl="1" w:tplc="A7807368">
      <w:start w:val="1"/>
      <w:numFmt w:val="bullet"/>
      <w:lvlText w:val="○"/>
      <w:lvlJc w:val="left"/>
      <w:pPr>
        <w:ind w:left="1440" w:hanging="360"/>
      </w:pPr>
    </w:lvl>
    <w:lvl w:ilvl="2" w:tplc="0024A026">
      <w:start w:val="1"/>
      <w:numFmt w:val="bullet"/>
      <w:lvlText w:val="■"/>
      <w:lvlJc w:val="left"/>
      <w:pPr>
        <w:ind w:left="2160" w:hanging="360"/>
      </w:pPr>
    </w:lvl>
    <w:lvl w:ilvl="3" w:tplc="813A2F9E">
      <w:start w:val="1"/>
      <w:numFmt w:val="bullet"/>
      <w:lvlText w:val="●"/>
      <w:lvlJc w:val="left"/>
      <w:pPr>
        <w:ind w:left="2880" w:hanging="360"/>
      </w:pPr>
    </w:lvl>
    <w:lvl w:ilvl="4" w:tplc="4E2A3956">
      <w:start w:val="1"/>
      <w:numFmt w:val="bullet"/>
      <w:lvlText w:val="○"/>
      <w:lvlJc w:val="left"/>
      <w:pPr>
        <w:ind w:left="3600" w:hanging="360"/>
      </w:pPr>
    </w:lvl>
    <w:lvl w:ilvl="5" w:tplc="12A6BCB6">
      <w:start w:val="1"/>
      <w:numFmt w:val="bullet"/>
      <w:lvlText w:val="■"/>
      <w:lvlJc w:val="left"/>
      <w:pPr>
        <w:ind w:left="4320" w:hanging="360"/>
      </w:pPr>
    </w:lvl>
    <w:lvl w:ilvl="6" w:tplc="261ECD5E">
      <w:start w:val="1"/>
      <w:numFmt w:val="bullet"/>
      <w:lvlText w:val="●"/>
      <w:lvlJc w:val="left"/>
      <w:pPr>
        <w:ind w:left="5040" w:hanging="360"/>
      </w:pPr>
    </w:lvl>
    <w:lvl w:ilvl="7" w:tplc="3E3E37D8">
      <w:start w:val="1"/>
      <w:numFmt w:val="bullet"/>
      <w:lvlText w:val="●"/>
      <w:lvlJc w:val="left"/>
      <w:pPr>
        <w:ind w:left="5760" w:hanging="360"/>
      </w:pPr>
    </w:lvl>
    <w:lvl w:ilvl="8" w:tplc="E71CA96E">
      <w:start w:val="1"/>
      <w:numFmt w:val="bullet"/>
      <w:lvlText w:val="●"/>
      <w:lvlJc w:val="left"/>
      <w:pPr>
        <w:ind w:left="6480" w:hanging="360"/>
      </w:pPr>
    </w:lvl>
  </w:abstractNum>
  <w:num w:numId="1" w16cid:durableId="815534731">
    <w:abstractNumId w:val="2"/>
    <w:lvlOverride w:ilvl="0">
      <w:startOverride w:val="1"/>
    </w:lvlOverride>
  </w:num>
  <w:num w:numId="2" w16cid:durableId="749931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3AD"/>
    <w:rsid w:val="004C0263"/>
    <w:rsid w:val="005012D2"/>
    <w:rsid w:val="007E7C8E"/>
    <w:rsid w:val="00A87A5B"/>
    <w:rsid w:val="00AB3293"/>
    <w:rsid w:val="00E603AD"/>
    <w:rsid w:val="00F74196"/>
    <w:rsid w:val="00F95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6ADB"/>
  <w15:docId w15:val="{D4C22306-E160-4266-9C71-B839F8A9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5E"/>
      <w:sz w:val="30"/>
      <w:szCs w:val="30"/>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40</Pages>
  <Words>10649</Words>
  <Characters>60704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Moraru Katia</cp:lastModifiedBy>
  <cp:revision>4</cp:revision>
  <dcterms:created xsi:type="dcterms:W3CDTF">2026-06-03T09:38:00Z</dcterms:created>
  <dcterms:modified xsi:type="dcterms:W3CDTF">2026-06-03T11:55:00Z</dcterms:modified>
</cp:coreProperties>
</file>