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C8CBD" w14:textId="77777777" w:rsidR="00D9647D" w:rsidRDefault="00DA2E9A" w:rsidP="00D9647D">
      <w:pPr>
        <w:spacing w:line="360" w:lineRule="auto"/>
        <w:jc w:val="center"/>
        <w:rPr>
          <w:rFonts w:cstheme="minorHAnsi"/>
          <w:b/>
          <w:bCs/>
        </w:rPr>
      </w:pPr>
      <w:r>
        <w:rPr>
          <w:rFonts w:cstheme="minorHAnsi"/>
          <w:b/>
          <w:bCs/>
        </w:rPr>
        <w:t>Weeks 1-6 discussion board entries</w:t>
      </w:r>
    </w:p>
    <w:p w14:paraId="5854497C" w14:textId="6FD22B1B" w:rsidR="001A0F61" w:rsidRPr="00DA2E9A" w:rsidRDefault="00965E2E" w:rsidP="00D9647D">
      <w:pPr>
        <w:spacing w:line="360" w:lineRule="auto"/>
        <w:rPr>
          <w:rFonts w:cstheme="minorHAnsi"/>
        </w:rPr>
      </w:pPr>
      <w:r w:rsidRPr="00D9647D">
        <w:rPr>
          <w:rFonts w:cstheme="minorHAnsi"/>
          <w:b/>
          <w:bCs/>
          <w:u w:val="single"/>
        </w:rPr>
        <w:t>Week 1:</w:t>
      </w:r>
      <w:r w:rsidRPr="00D9647D">
        <w:rPr>
          <w:rFonts w:cstheme="minorHAnsi"/>
          <w:b/>
          <w:bCs/>
          <w:u w:val="single"/>
        </w:rPr>
        <w:br/>
      </w:r>
      <w:r w:rsidRPr="00DA2E9A">
        <w:rPr>
          <w:rFonts w:cstheme="minorHAnsi"/>
          <w:b/>
          <w:bCs/>
        </w:rPr>
        <w:t xml:space="preserve"> </w:t>
      </w:r>
      <w:r w:rsidR="001A0F61" w:rsidRPr="00DA2E9A">
        <w:rPr>
          <w:rFonts w:cstheme="minorHAnsi"/>
          <w:b/>
          <w:bCs/>
        </w:rPr>
        <w:t>The Real</w:t>
      </w:r>
    </w:p>
    <w:p w14:paraId="4D888211" w14:textId="3BD1A7C1" w:rsidR="00DB3861" w:rsidRPr="00DA2E9A" w:rsidRDefault="00DB3861" w:rsidP="00DA2E9A">
      <w:pPr>
        <w:spacing w:line="360" w:lineRule="auto"/>
        <w:rPr>
          <w:rFonts w:cstheme="minorHAnsi"/>
        </w:rPr>
      </w:pPr>
      <w:r w:rsidRPr="00DA2E9A">
        <w:rPr>
          <w:rFonts w:cstheme="minorHAnsi"/>
        </w:rPr>
        <w:t xml:space="preserve">At Our Lady of the Sacred Heart Thamarrurr Catholic College (OLSH), there are 591 enrolments; 584 being Indigenous. Through conversation with my mentor, the school nurse, and other staff and auxiliary at the school, I found that there was anecdotal evidence that nearly half the students suffered from hearing problems (primarily Otis Media). Research shows that poor hearing can impede cognitive development, auditory processing skills, and speech and language development, resulting in poor attention and listening (Burns &amp; Thomson 2013; Williams &amp; Jacob 2009). </w:t>
      </w:r>
    </w:p>
    <w:p w14:paraId="53566DCE" w14:textId="77777777" w:rsidR="001A0F61" w:rsidRPr="00DA2E9A" w:rsidRDefault="001A0F61" w:rsidP="00DA2E9A">
      <w:pPr>
        <w:spacing w:line="360" w:lineRule="auto"/>
        <w:rPr>
          <w:rFonts w:cstheme="minorHAnsi"/>
        </w:rPr>
      </w:pPr>
      <w:r w:rsidRPr="00DA2E9A">
        <w:rPr>
          <w:rFonts w:cstheme="minorHAnsi"/>
          <w:b/>
          <w:bCs/>
        </w:rPr>
        <w:t>The ideal</w:t>
      </w:r>
    </w:p>
    <w:p w14:paraId="0AEBE626" w14:textId="12FC8C92" w:rsidR="001A0F61" w:rsidRPr="00DA2E9A" w:rsidRDefault="00DB3861" w:rsidP="00DA2E9A">
      <w:pPr>
        <w:spacing w:line="360" w:lineRule="auto"/>
        <w:rPr>
          <w:rFonts w:cstheme="minorHAnsi"/>
        </w:rPr>
      </w:pPr>
      <w:r w:rsidRPr="00DA2E9A">
        <w:rPr>
          <w:rFonts w:cstheme="minorHAnsi"/>
        </w:rPr>
        <w:t xml:space="preserve">While OLSH is a school with an established bi-lingual program, the nurse did not speak Murrinhpatha. Perhaps an Indigenous practitioner to liaise with the nurses would facilitate support for the young students. Teachers could also conduct regular hearing tests both individually and through allied health companies- however, this would clearly be indicative of funding. Furthermore, all teachers had </w:t>
      </w:r>
      <w:proofErr w:type="spellStart"/>
      <w:r w:rsidRPr="00DA2E9A">
        <w:rPr>
          <w:rFonts w:cstheme="minorHAnsi"/>
        </w:rPr>
        <w:t>FrontRow</w:t>
      </w:r>
      <w:proofErr w:type="spellEnd"/>
      <w:r w:rsidRPr="00DA2E9A">
        <w:rPr>
          <w:rFonts w:cstheme="minorHAnsi"/>
        </w:rPr>
        <w:t xml:space="preserve"> microphones, however, they were often seen forgetting to wear it during lessons. Perhaps a PD day to remind teachers of the importance of them would be beneficial for the students. </w:t>
      </w:r>
    </w:p>
    <w:p w14:paraId="210150F8" w14:textId="3088F8E3" w:rsidR="00C86FC1" w:rsidRPr="00DA2E9A" w:rsidRDefault="00965E2E" w:rsidP="00DA2E9A">
      <w:pPr>
        <w:spacing w:line="360" w:lineRule="auto"/>
        <w:rPr>
          <w:rFonts w:cstheme="minorHAnsi"/>
        </w:rPr>
      </w:pPr>
      <w:r w:rsidRPr="00D9647D">
        <w:rPr>
          <w:rFonts w:cstheme="minorHAnsi"/>
          <w:b/>
          <w:bCs/>
          <w:u w:val="single"/>
        </w:rPr>
        <w:t xml:space="preserve">Week 2: </w:t>
      </w:r>
      <w:r w:rsidRPr="00D9647D">
        <w:rPr>
          <w:rFonts w:cstheme="minorHAnsi"/>
          <w:b/>
          <w:bCs/>
          <w:u w:val="single"/>
        </w:rPr>
        <w:br/>
      </w:r>
      <w:r w:rsidR="00C86FC1" w:rsidRPr="00DA2E9A">
        <w:rPr>
          <w:rFonts w:cstheme="minorHAnsi"/>
          <w:b/>
          <w:bCs/>
        </w:rPr>
        <w:t>The Real</w:t>
      </w:r>
    </w:p>
    <w:p w14:paraId="63C5FBD4" w14:textId="3902D2CC" w:rsidR="00C86FC1" w:rsidRPr="00DA2E9A" w:rsidRDefault="00C86FC1" w:rsidP="00DA2E9A">
      <w:pPr>
        <w:spacing w:line="360" w:lineRule="auto"/>
        <w:rPr>
          <w:rFonts w:cstheme="minorHAnsi"/>
        </w:rPr>
      </w:pPr>
      <w:r w:rsidRPr="00DA2E9A">
        <w:rPr>
          <w:rFonts w:cstheme="minorHAnsi"/>
        </w:rPr>
        <w:t xml:space="preserve">When on my three-week placement, every morning began with 15 minutes of sport. A student in my class was in a wheelchair and I asked my mentor of ways I could include her in the sessions.  Her response was, “don’t worry about her. She generally doesn’t like to join in on these sessions”. </w:t>
      </w:r>
    </w:p>
    <w:p w14:paraId="539BC4BD" w14:textId="1DA8F482" w:rsidR="00C86FC1" w:rsidRPr="00DA2E9A" w:rsidRDefault="00C86FC1" w:rsidP="00DA2E9A">
      <w:pPr>
        <w:spacing w:line="360" w:lineRule="auto"/>
        <w:rPr>
          <w:rFonts w:cstheme="minorHAnsi"/>
          <w:b/>
          <w:bCs/>
        </w:rPr>
      </w:pPr>
      <w:r w:rsidRPr="00DA2E9A">
        <w:rPr>
          <w:rFonts w:cstheme="minorHAnsi"/>
          <w:b/>
          <w:bCs/>
        </w:rPr>
        <w:t xml:space="preserve">The ideal </w:t>
      </w:r>
    </w:p>
    <w:p w14:paraId="75B8E056" w14:textId="46EC530B" w:rsidR="00C86FC1" w:rsidRPr="00DA2E9A" w:rsidRDefault="00C86FC1" w:rsidP="00DA2E9A">
      <w:pPr>
        <w:spacing w:line="360" w:lineRule="auto"/>
        <w:rPr>
          <w:rFonts w:cstheme="minorHAnsi"/>
        </w:rPr>
      </w:pPr>
      <w:r w:rsidRPr="00DA2E9A">
        <w:rPr>
          <w:rFonts w:cstheme="minorHAnsi"/>
        </w:rPr>
        <w:t xml:space="preserve">According to the Disability Discrimination Act (cited in Foreman &amp; Arthur-Kelly, 2017), students with a disability must be able to participate in courses or programs without discrimination. The ideal would have been me advocating for this student and thinking of ways to include her in morning fitness games, rather than allowing my mentor to exclude the student. </w:t>
      </w:r>
    </w:p>
    <w:p w14:paraId="1D50E723" w14:textId="3F86C6E4" w:rsidR="00965E2E" w:rsidRPr="00DA2E9A" w:rsidRDefault="00965E2E" w:rsidP="00DA2E9A">
      <w:pPr>
        <w:spacing w:line="360" w:lineRule="auto"/>
        <w:rPr>
          <w:rFonts w:eastAsia="Times New Roman" w:cstheme="minorHAnsi"/>
          <w:lang w:eastAsia="en-AU"/>
        </w:rPr>
      </w:pPr>
      <w:r w:rsidRPr="00D9647D">
        <w:rPr>
          <w:rFonts w:eastAsia="Times New Roman" w:cstheme="minorHAnsi"/>
          <w:b/>
          <w:bCs/>
          <w:u w:val="single"/>
          <w:lang w:eastAsia="en-AU"/>
        </w:rPr>
        <w:t xml:space="preserve">Week 3: </w:t>
      </w:r>
      <w:r w:rsidRPr="00D9647D">
        <w:rPr>
          <w:rFonts w:eastAsia="Times New Roman" w:cstheme="minorHAnsi"/>
          <w:b/>
          <w:bCs/>
          <w:u w:val="single"/>
          <w:lang w:eastAsia="en-AU"/>
        </w:rPr>
        <w:br/>
      </w:r>
      <w:r w:rsidRPr="00DA2E9A">
        <w:rPr>
          <w:rFonts w:eastAsia="Times New Roman" w:cstheme="minorHAnsi"/>
          <w:b/>
          <w:bCs/>
          <w:lang w:eastAsia="en-AU"/>
        </w:rPr>
        <w:t>The Real</w:t>
      </w:r>
    </w:p>
    <w:p w14:paraId="43BFF551" w14:textId="77777777" w:rsidR="00965E2E" w:rsidRPr="00DA2E9A" w:rsidRDefault="00965E2E" w:rsidP="00DA2E9A">
      <w:pPr>
        <w:spacing w:line="360" w:lineRule="auto"/>
        <w:rPr>
          <w:rFonts w:eastAsia="Times New Roman" w:cstheme="minorHAnsi"/>
          <w:lang w:eastAsia="en-AU"/>
        </w:rPr>
      </w:pPr>
      <w:r w:rsidRPr="00DA2E9A">
        <w:rPr>
          <w:rFonts w:eastAsia="Times New Roman" w:cstheme="minorHAnsi"/>
          <w:lang w:eastAsia="en-AU"/>
        </w:rPr>
        <w:t xml:space="preserve">On my second placement, I recall an exceedingly bright student with ADHD would always call out the answers during a class discussion, or yarning time circle. It became a big issue, as his peers never got </w:t>
      </w:r>
      <w:r w:rsidRPr="00DA2E9A">
        <w:rPr>
          <w:rFonts w:eastAsia="Times New Roman" w:cstheme="minorHAnsi"/>
          <w:lang w:eastAsia="en-AU"/>
        </w:rPr>
        <w:lastRenderedPageBreak/>
        <w:t>an opportunity to answer questions, and the young boy with ADHD really struggled with not being able to call out.</w:t>
      </w:r>
    </w:p>
    <w:p w14:paraId="363308D5" w14:textId="77777777" w:rsidR="00965E2E" w:rsidRPr="00DA2E9A" w:rsidRDefault="00965E2E" w:rsidP="00DA2E9A">
      <w:pPr>
        <w:spacing w:line="360" w:lineRule="auto"/>
        <w:rPr>
          <w:rFonts w:eastAsia="Times New Roman" w:cstheme="minorHAnsi"/>
          <w:lang w:eastAsia="en-AU"/>
        </w:rPr>
      </w:pPr>
      <w:r w:rsidRPr="00DA2E9A">
        <w:rPr>
          <w:rFonts w:eastAsia="Times New Roman" w:cstheme="minorHAnsi"/>
          <w:b/>
          <w:bCs/>
          <w:lang w:eastAsia="en-AU"/>
        </w:rPr>
        <w:t>The ideal</w:t>
      </w:r>
    </w:p>
    <w:p w14:paraId="5EE69623" w14:textId="45D54DB5" w:rsidR="00965E2E" w:rsidRPr="00DA2E9A" w:rsidRDefault="00965E2E" w:rsidP="00DA2E9A">
      <w:pPr>
        <w:spacing w:line="360" w:lineRule="auto"/>
        <w:rPr>
          <w:rFonts w:eastAsia="Times New Roman" w:cstheme="minorHAnsi"/>
          <w:lang w:eastAsia="en-AU"/>
        </w:rPr>
      </w:pPr>
      <w:r w:rsidRPr="00DA2E9A">
        <w:rPr>
          <w:rFonts w:eastAsia="Times New Roman" w:cstheme="minorHAnsi"/>
          <w:lang w:eastAsia="en-AU"/>
        </w:rPr>
        <w:t>After a week of observation, I decided I would try a few changes when it was my turn to take the class. I began using pop-sticks as a to promote randomised selection, encouraging the young student to see that it was not always him that was able to answer questions. With conversation with my mentor, we also implemented whiteboards to write down their answers. This enabled an opportunity for every student to answer the question, and this particular young student never felt left out. These ideas came from the book Reflections in the Classroom (</w:t>
      </w:r>
      <w:proofErr w:type="spellStart"/>
      <w:r w:rsidRPr="00DA2E9A">
        <w:rPr>
          <w:rFonts w:eastAsia="Times New Roman" w:cstheme="minorHAnsi"/>
          <w:lang w:eastAsia="en-AU"/>
        </w:rPr>
        <w:t>Singal</w:t>
      </w:r>
      <w:proofErr w:type="spellEnd"/>
      <w:r w:rsidRPr="00DA2E9A">
        <w:rPr>
          <w:rFonts w:eastAsia="Times New Roman" w:cstheme="minorHAnsi"/>
          <w:lang w:eastAsia="en-AU"/>
        </w:rPr>
        <w:t xml:space="preserve">, N. 2008), which I still refer to as needed. </w:t>
      </w:r>
    </w:p>
    <w:p w14:paraId="71987F24" w14:textId="33DA3CA1" w:rsidR="00C86FC1" w:rsidRPr="00DA2E9A" w:rsidRDefault="00965E2E" w:rsidP="00DA2E9A">
      <w:pPr>
        <w:pStyle w:val="NormalWeb"/>
        <w:spacing w:line="360" w:lineRule="auto"/>
        <w:rPr>
          <w:rFonts w:asciiTheme="minorHAnsi" w:hAnsiTheme="minorHAnsi" w:cstheme="minorHAnsi"/>
          <w:b/>
          <w:bCs/>
          <w:sz w:val="22"/>
          <w:szCs w:val="22"/>
        </w:rPr>
      </w:pPr>
      <w:r w:rsidRPr="00D9647D">
        <w:rPr>
          <w:rFonts w:asciiTheme="minorHAnsi" w:hAnsiTheme="minorHAnsi" w:cstheme="minorHAnsi"/>
          <w:b/>
          <w:bCs/>
          <w:sz w:val="22"/>
          <w:szCs w:val="22"/>
          <w:u w:val="single"/>
        </w:rPr>
        <w:t xml:space="preserve">Week 4: </w:t>
      </w:r>
      <w:r w:rsidR="00DA2E9A" w:rsidRPr="00D9647D">
        <w:rPr>
          <w:rFonts w:asciiTheme="minorHAnsi" w:hAnsiTheme="minorHAnsi" w:cstheme="minorHAnsi"/>
          <w:b/>
          <w:bCs/>
          <w:sz w:val="22"/>
          <w:szCs w:val="22"/>
          <w:u w:val="single"/>
        </w:rPr>
        <w:br/>
      </w:r>
      <w:r w:rsidRPr="00DA2E9A">
        <w:rPr>
          <w:rFonts w:asciiTheme="minorHAnsi" w:hAnsiTheme="minorHAnsi" w:cstheme="minorHAnsi"/>
          <w:b/>
          <w:bCs/>
          <w:sz w:val="22"/>
          <w:szCs w:val="22"/>
        </w:rPr>
        <w:t xml:space="preserve">The Real </w:t>
      </w:r>
      <w:r w:rsidRPr="00DA2E9A">
        <w:rPr>
          <w:rFonts w:asciiTheme="minorHAnsi" w:hAnsiTheme="minorHAnsi" w:cstheme="minorHAnsi"/>
          <w:b/>
          <w:bCs/>
          <w:sz w:val="22"/>
          <w:szCs w:val="22"/>
        </w:rPr>
        <w:br/>
      </w:r>
      <w:r w:rsidRPr="00DA2E9A">
        <w:rPr>
          <w:rFonts w:asciiTheme="minorHAnsi" w:hAnsiTheme="minorHAnsi" w:cstheme="minorHAnsi"/>
          <w:sz w:val="22"/>
          <w:szCs w:val="22"/>
        </w:rPr>
        <w:t xml:space="preserve">A young student in year 4 presented extreme difficulty with social interactions and would often become withdrawn from lessons; hindering her learning and ostracising herself from her peers. The mentor </w:t>
      </w:r>
      <w:r w:rsidR="00B30424" w:rsidRPr="00DA2E9A">
        <w:rPr>
          <w:rFonts w:asciiTheme="minorHAnsi" w:hAnsiTheme="minorHAnsi" w:cstheme="minorHAnsi"/>
          <w:sz w:val="22"/>
          <w:szCs w:val="22"/>
        </w:rPr>
        <w:t>noted to me</w:t>
      </w:r>
      <w:r w:rsidRPr="00DA2E9A">
        <w:rPr>
          <w:rFonts w:asciiTheme="minorHAnsi" w:hAnsiTheme="minorHAnsi" w:cstheme="minorHAnsi"/>
          <w:sz w:val="22"/>
          <w:szCs w:val="22"/>
        </w:rPr>
        <w:t xml:space="preserve"> that these concerns stemmed from high levels of trauma, anxiety, and depression. The student had currently been removed from immediate family and was struggling with the transition</w:t>
      </w:r>
      <w:r w:rsidR="00B30424" w:rsidRPr="00DA2E9A">
        <w:rPr>
          <w:rFonts w:asciiTheme="minorHAnsi" w:hAnsiTheme="minorHAnsi" w:cstheme="minorHAnsi"/>
          <w:sz w:val="22"/>
          <w:szCs w:val="22"/>
        </w:rPr>
        <w:t xml:space="preserve">. The student did not have an ISA and was seeing allied health professional’s fortnightly. </w:t>
      </w:r>
    </w:p>
    <w:p w14:paraId="223ADA24" w14:textId="0C2CC2FF" w:rsidR="00B30424" w:rsidRPr="00DA2E9A" w:rsidRDefault="00B30424" w:rsidP="00DA2E9A">
      <w:pPr>
        <w:spacing w:line="360" w:lineRule="auto"/>
        <w:rPr>
          <w:rFonts w:cstheme="minorHAnsi"/>
          <w:b/>
          <w:bCs/>
        </w:rPr>
      </w:pPr>
      <w:r w:rsidRPr="00DA2E9A">
        <w:rPr>
          <w:rFonts w:cstheme="minorHAnsi"/>
          <w:b/>
          <w:bCs/>
        </w:rPr>
        <w:t>The ideal</w:t>
      </w:r>
      <w:r w:rsidR="00DA2E9A">
        <w:rPr>
          <w:rFonts w:cstheme="minorHAnsi"/>
          <w:b/>
          <w:bCs/>
        </w:rPr>
        <w:br/>
      </w:r>
      <w:r w:rsidRPr="00DA2E9A">
        <w:rPr>
          <w:rFonts w:cstheme="minorHAnsi"/>
        </w:rPr>
        <w:t xml:space="preserve">In 2003, the Australian Council for Educational Research (ACER) released the largest and only investigation into the emotional wellbeing of school aged students from pre-school to year 12. The data collected on ten thousand students disclosed a large percentage of students were experiencing social and emotional difficulties such as: </w:t>
      </w:r>
    </w:p>
    <w:p w14:paraId="1B26A758" w14:textId="3C42C99C" w:rsidR="00B30424" w:rsidRPr="00DA2E9A" w:rsidRDefault="00B30424" w:rsidP="00DA2E9A">
      <w:pPr>
        <w:pStyle w:val="ListParagraph"/>
        <w:numPr>
          <w:ilvl w:val="0"/>
          <w:numId w:val="1"/>
        </w:numPr>
        <w:spacing w:line="240" w:lineRule="auto"/>
        <w:rPr>
          <w:rFonts w:cstheme="minorHAnsi"/>
          <w:b/>
          <w:bCs/>
          <w:i/>
          <w:iCs/>
        </w:rPr>
      </w:pPr>
      <w:r w:rsidRPr="00DA2E9A">
        <w:rPr>
          <w:rFonts w:cstheme="minorHAnsi"/>
        </w:rPr>
        <w:t xml:space="preserve"> Forty percent of students said they felt they worry too much. </w:t>
      </w:r>
    </w:p>
    <w:p w14:paraId="34EE9F87" w14:textId="07CB0A1E" w:rsidR="00B30424" w:rsidRPr="00DA2E9A" w:rsidRDefault="00B30424" w:rsidP="00DA2E9A">
      <w:pPr>
        <w:pStyle w:val="ListParagraph"/>
        <w:numPr>
          <w:ilvl w:val="0"/>
          <w:numId w:val="1"/>
        </w:numPr>
        <w:spacing w:line="240" w:lineRule="auto"/>
        <w:rPr>
          <w:rFonts w:cstheme="minorHAnsi"/>
          <w:b/>
          <w:bCs/>
          <w:i/>
          <w:iCs/>
        </w:rPr>
      </w:pPr>
      <w:r w:rsidRPr="00DA2E9A">
        <w:rPr>
          <w:rFonts w:cstheme="minorHAnsi"/>
        </w:rPr>
        <w:t>Twenty percent of students said they have had feelings of hopelessness and depression for at least a week</w:t>
      </w:r>
    </w:p>
    <w:p w14:paraId="416ADF9A" w14:textId="77777777" w:rsidR="00B30424" w:rsidRPr="00DA2E9A" w:rsidRDefault="00B30424" w:rsidP="00DA2E9A">
      <w:pPr>
        <w:pStyle w:val="ListParagraph"/>
        <w:numPr>
          <w:ilvl w:val="0"/>
          <w:numId w:val="1"/>
        </w:numPr>
        <w:spacing w:line="240" w:lineRule="auto"/>
        <w:rPr>
          <w:rFonts w:cstheme="minorHAnsi"/>
          <w:b/>
          <w:bCs/>
          <w:i/>
          <w:iCs/>
        </w:rPr>
      </w:pPr>
      <w:r w:rsidRPr="00DA2E9A">
        <w:rPr>
          <w:rFonts w:cstheme="minorHAnsi"/>
        </w:rPr>
        <w:t>A third of all students said they often lose their temper and can be mean to their peers (bully).</w:t>
      </w:r>
    </w:p>
    <w:p w14:paraId="6E0C820E" w14:textId="77777777" w:rsidR="00B30424" w:rsidRPr="00DA2E9A" w:rsidRDefault="00B30424" w:rsidP="00DA2E9A">
      <w:pPr>
        <w:pStyle w:val="ListParagraph"/>
        <w:numPr>
          <w:ilvl w:val="0"/>
          <w:numId w:val="1"/>
        </w:numPr>
        <w:spacing w:line="240" w:lineRule="auto"/>
        <w:rPr>
          <w:rFonts w:cstheme="minorHAnsi"/>
          <w:b/>
          <w:bCs/>
          <w:i/>
          <w:iCs/>
        </w:rPr>
      </w:pPr>
      <w:r w:rsidRPr="00DA2E9A">
        <w:rPr>
          <w:rFonts w:cstheme="minorHAnsi"/>
        </w:rPr>
        <w:t>Half of the students said they had trouble regaining composure after being agitated (poor resilience).</w:t>
      </w:r>
    </w:p>
    <w:p w14:paraId="70E647E6" w14:textId="4F7D58FA" w:rsidR="00B30424" w:rsidRPr="00DA2E9A" w:rsidRDefault="005978D2" w:rsidP="00DA2E9A">
      <w:pPr>
        <w:spacing w:line="360" w:lineRule="auto"/>
        <w:rPr>
          <w:rFonts w:cstheme="minorHAnsi"/>
        </w:rPr>
      </w:pPr>
      <w:r w:rsidRPr="00DA2E9A">
        <w:rPr>
          <w:rFonts w:cstheme="minorHAnsi"/>
        </w:rPr>
        <w:t xml:space="preserve"> </w:t>
      </w:r>
      <w:r w:rsidR="00B30424" w:rsidRPr="00DA2E9A">
        <w:rPr>
          <w:rFonts w:cstheme="minorHAnsi"/>
        </w:rPr>
        <w:t>These results show how</w:t>
      </w:r>
      <w:r w:rsidRPr="00DA2E9A">
        <w:rPr>
          <w:rFonts w:cstheme="minorHAnsi"/>
        </w:rPr>
        <w:t xml:space="preserve"> both academic and social child development are pivotal in education (Cross 2014; Fort et al, 2017)</w:t>
      </w:r>
      <w:r w:rsidR="00B30424" w:rsidRPr="00DA2E9A">
        <w:rPr>
          <w:rFonts w:cstheme="minorHAnsi"/>
        </w:rPr>
        <w:t xml:space="preserve">. </w:t>
      </w:r>
      <w:r w:rsidR="00B30424" w:rsidRPr="00DA2E9A">
        <w:rPr>
          <w:rFonts w:cstheme="minorHAnsi"/>
          <w:u w:val="single"/>
        </w:rPr>
        <w:t>Ideally</w:t>
      </w:r>
      <w:r w:rsidR="00B30424" w:rsidRPr="00DA2E9A">
        <w:rPr>
          <w:rFonts w:cstheme="minorHAnsi"/>
        </w:rPr>
        <w:t xml:space="preserve">, pre-service teachers preparing to teach would be aware of these statistics and endeavour to find effective ways of socially and emotionally supporting students.  </w:t>
      </w:r>
    </w:p>
    <w:p w14:paraId="305792A8" w14:textId="5BDC573B" w:rsidR="00965E2E" w:rsidRPr="00DA2E9A" w:rsidRDefault="0094559D" w:rsidP="00DA2E9A">
      <w:pPr>
        <w:pStyle w:val="NormalWeb"/>
        <w:spacing w:line="360" w:lineRule="auto"/>
        <w:rPr>
          <w:rFonts w:asciiTheme="minorHAnsi" w:hAnsiTheme="minorHAnsi" w:cstheme="minorHAnsi"/>
          <w:b/>
          <w:bCs/>
          <w:sz w:val="22"/>
          <w:szCs w:val="22"/>
        </w:rPr>
      </w:pPr>
      <w:r w:rsidRPr="00D9647D">
        <w:rPr>
          <w:rFonts w:asciiTheme="minorHAnsi" w:hAnsiTheme="minorHAnsi" w:cstheme="minorHAnsi"/>
          <w:b/>
          <w:bCs/>
          <w:sz w:val="22"/>
          <w:szCs w:val="22"/>
          <w:u w:val="single"/>
        </w:rPr>
        <w:t>Week 5:</w:t>
      </w:r>
      <w:r w:rsidRPr="00DA2E9A">
        <w:rPr>
          <w:rFonts w:asciiTheme="minorHAnsi" w:hAnsiTheme="minorHAnsi" w:cstheme="minorHAnsi"/>
          <w:b/>
          <w:bCs/>
          <w:sz w:val="22"/>
          <w:szCs w:val="22"/>
        </w:rPr>
        <w:t xml:space="preserve"> </w:t>
      </w:r>
      <w:r w:rsidR="00DA2E9A">
        <w:rPr>
          <w:rFonts w:asciiTheme="minorHAnsi" w:hAnsiTheme="minorHAnsi" w:cstheme="minorHAnsi"/>
          <w:b/>
          <w:bCs/>
          <w:sz w:val="22"/>
          <w:szCs w:val="22"/>
        </w:rPr>
        <w:br/>
      </w:r>
      <w:r w:rsidRPr="00DA2E9A">
        <w:rPr>
          <w:rFonts w:asciiTheme="minorHAnsi" w:hAnsiTheme="minorHAnsi" w:cstheme="minorHAnsi"/>
          <w:b/>
          <w:bCs/>
          <w:sz w:val="22"/>
          <w:szCs w:val="22"/>
        </w:rPr>
        <w:t xml:space="preserve">The Real </w:t>
      </w:r>
      <w:r w:rsidRPr="00DA2E9A">
        <w:rPr>
          <w:rFonts w:asciiTheme="minorHAnsi" w:hAnsiTheme="minorHAnsi" w:cstheme="minorHAnsi"/>
          <w:b/>
          <w:bCs/>
          <w:sz w:val="22"/>
          <w:szCs w:val="22"/>
        </w:rPr>
        <w:br/>
      </w:r>
      <w:r w:rsidR="00E001DA" w:rsidRPr="00DA2E9A">
        <w:rPr>
          <w:rFonts w:asciiTheme="minorHAnsi" w:hAnsiTheme="minorHAnsi" w:cstheme="minorHAnsi"/>
          <w:sz w:val="22"/>
          <w:szCs w:val="22"/>
        </w:rPr>
        <w:t xml:space="preserve">This week I am going to discuss the video from our lectures- “A School in the Bush”, published by </w:t>
      </w:r>
      <w:r w:rsidR="00E001DA" w:rsidRPr="00DA2E9A">
        <w:rPr>
          <w:rStyle w:val="last-name"/>
          <w:rFonts w:asciiTheme="minorHAnsi" w:hAnsiTheme="minorHAnsi" w:cstheme="minorHAnsi"/>
          <w:sz w:val="22"/>
          <w:szCs w:val="22"/>
        </w:rPr>
        <w:t xml:space="preserve">Australian Human Rights Commission in 2013. The video depicts a five-year-old girl with spina bifida, who was eager to begin school. </w:t>
      </w:r>
      <w:r w:rsidR="00E001DA" w:rsidRPr="00DA2E9A">
        <w:rPr>
          <w:rFonts w:asciiTheme="minorHAnsi" w:hAnsiTheme="minorHAnsi" w:cstheme="minorHAnsi"/>
          <w:sz w:val="22"/>
          <w:szCs w:val="22"/>
        </w:rPr>
        <w:t xml:space="preserve"> However, i</w:t>
      </w:r>
      <w:r w:rsidR="00E001DA" w:rsidRPr="00E001DA">
        <w:rPr>
          <w:rFonts w:asciiTheme="minorHAnsi" w:hAnsiTheme="minorHAnsi" w:cstheme="minorHAnsi"/>
          <w:sz w:val="22"/>
          <w:szCs w:val="22"/>
        </w:rPr>
        <w:t>nstead</w:t>
      </w:r>
      <w:r w:rsidR="00E001DA" w:rsidRPr="00DA2E9A">
        <w:rPr>
          <w:rFonts w:asciiTheme="minorHAnsi" w:hAnsiTheme="minorHAnsi" w:cstheme="minorHAnsi"/>
          <w:sz w:val="22"/>
          <w:szCs w:val="22"/>
        </w:rPr>
        <w:t xml:space="preserve"> </w:t>
      </w:r>
      <w:r w:rsidR="00E001DA" w:rsidRPr="00E001DA">
        <w:rPr>
          <w:rFonts w:asciiTheme="minorHAnsi" w:hAnsiTheme="minorHAnsi" w:cstheme="minorHAnsi"/>
          <w:sz w:val="22"/>
          <w:szCs w:val="22"/>
        </w:rPr>
        <w:t>she became the focus of a national debate about inclusive education</w:t>
      </w:r>
      <w:r w:rsidR="00E001DA" w:rsidRPr="00DA2E9A">
        <w:rPr>
          <w:rFonts w:asciiTheme="minorHAnsi" w:hAnsiTheme="minorHAnsi" w:cstheme="minorHAnsi"/>
          <w:sz w:val="22"/>
          <w:szCs w:val="22"/>
        </w:rPr>
        <w:t xml:space="preserve">. The girl’s application for the school was rejected, with the school saying, “they didn’t think they could cater to her disability”. The school went on to say that it would have caused unjustifiable hardship for the school, and that they couldn't justify having to put in a very excessive amount of money towards building ramps, widening </w:t>
      </w:r>
      <w:r w:rsidR="00EC5677" w:rsidRPr="00DA2E9A">
        <w:rPr>
          <w:rFonts w:asciiTheme="minorHAnsi" w:hAnsiTheme="minorHAnsi" w:cstheme="minorHAnsi"/>
          <w:sz w:val="22"/>
          <w:szCs w:val="22"/>
        </w:rPr>
        <w:t>doorways,</w:t>
      </w:r>
      <w:r w:rsidR="00E001DA" w:rsidRPr="00DA2E9A">
        <w:rPr>
          <w:rFonts w:asciiTheme="minorHAnsi" w:hAnsiTheme="minorHAnsi" w:cstheme="minorHAnsi"/>
          <w:sz w:val="22"/>
          <w:szCs w:val="22"/>
        </w:rPr>
        <w:t xml:space="preserve"> and training their teachers just for one student. </w:t>
      </w:r>
      <w:r w:rsidR="00EC5677" w:rsidRPr="00DA2E9A">
        <w:rPr>
          <w:rFonts w:asciiTheme="minorHAnsi" w:hAnsiTheme="minorHAnsi" w:cstheme="minorHAnsi"/>
          <w:sz w:val="22"/>
          <w:szCs w:val="22"/>
        </w:rPr>
        <w:t xml:space="preserve">Following this, a complaint was lodged to the Human Rights Commission with the school being found guilty of unlawful discrimination. </w:t>
      </w:r>
    </w:p>
    <w:p w14:paraId="6FA9AB1B" w14:textId="7C1341F7" w:rsidR="00680779" w:rsidRPr="00D9647D" w:rsidRDefault="00567D01" w:rsidP="00D9647D">
      <w:pPr>
        <w:pStyle w:val="NormalWeb"/>
        <w:spacing w:line="360" w:lineRule="auto"/>
        <w:rPr>
          <w:rFonts w:asciiTheme="minorHAnsi" w:hAnsiTheme="minorHAnsi" w:cstheme="minorHAnsi"/>
          <w:b/>
          <w:bCs/>
          <w:sz w:val="22"/>
          <w:szCs w:val="22"/>
        </w:rPr>
      </w:pPr>
      <w:r w:rsidRPr="00DA2E9A">
        <w:rPr>
          <w:rFonts w:asciiTheme="minorHAnsi" w:hAnsiTheme="minorHAnsi" w:cstheme="minorHAnsi"/>
          <w:b/>
          <w:bCs/>
          <w:sz w:val="22"/>
          <w:szCs w:val="22"/>
        </w:rPr>
        <w:t>The Ideal</w:t>
      </w:r>
      <w:r w:rsidR="00DA2E9A">
        <w:rPr>
          <w:rFonts w:asciiTheme="minorHAnsi" w:hAnsiTheme="minorHAnsi" w:cstheme="minorHAnsi"/>
          <w:b/>
          <w:bCs/>
          <w:sz w:val="22"/>
          <w:szCs w:val="22"/>
        </w:rPr>
        <w:br/>
      </w:r>
      <w:r w:rsidRPr="00DA2E9A">
        <w:rPr>
          <w:rFonts w:asciiTheme="minorHAnsi" w:hAnsiTheme="minorHAnsi" w:cstheme="minorHAnsi"/>
          <w:sz w:val="22"/>
          <w:szCs w:val="22"/>
        </w:rPr>
        <w:t xml:space="preserve">This case was the catalyst for </w:t>
      </w:r>
      <w:r w:rsidR="00543CB3" w:rsidRPr="00DA2E9A">
        <w:rPr>
          <w:rFonts w:asciiTheme="minorHAnsi" w:hAnsiTheme="minorHAnsi" w:cstheme="minorHAnsi"/>
          <w:sz w:val="22"/>
          <w:szCs w:val="22"/>
        </w:rPr>
        <w:t>well-needed</w:t>
      </w:r>
      <w:r w:rsidRPr="00DA2E9A">
        <w:rPr>
          <w:rFonts w:asciiTheme="minorHAnsi" w:hAnsiTheme="minorHAnsi" w:cstheme="minorHAnsi"/>
          <w:sz w:val="22"/>
          <w:szCs w:val="22"/>
        </w:rPr>
        <w:t xml:space="preserve"> change regarding education standards developed under the Disability Discrimination Act</w:t>
      </w:r>
      <w:r w:rsidR="00543CB3" w:rsidRPr="00DA2E9A">
        <w:rPr>
          <w:rFonts w:asciiTheme="minorHAnsi" w:hAnsiTheme="minorHAnsi" w:cstheme="minorHAnsi"/>
          <w:sz w:val="22"/>
          <w:szCs w:val="22"/>
        </w:rPr>
        <w:t xml:space="preserve">. The most important change being that all </w:t>
      </w:r>
      <w:r w:rsidRPr="00DA2E9A">
        <w:rPr>
          <w:rFonts w:asciiTheme="minorHAnsi" w:hAnsiTheme="minorHAnsi" w:cstheme="minorHAnsi"/>
          <w:sz w:val="22"/>
          <w:szCs w:val="22"/>
        </w:rPr>
        <w:t xml:space="preserve">people with a disability </w:t>
      </w:r>
      <w:r w:rsidR="00543CB3" w:rsidRPr="00DA2E9A">
        <w:rPr>
          <w:rFonts w:asciiTheme="minorHAnsi" w:hAnsiTheme="minorHAnsi" w:cstheme="minorHAnsi"/>
          <w:sz w:val="22"/>
          <w:szCs w:val="22"/>
        </w:rPr>
        <w:t>can</w:t>
      </w:r>
      <w:r w:rsidRPr="00DA2E9A">
        <w:rPr>
          <w:rFonts w:asciiTheme="minorHAnsi" w:hAnsiTheme="minorHAnsi" w:cstheme="minorHAnsi"/>
          <w:sz w:val="22"/>
          <w:szCs w:val="22"/>
        </w:rPr>
        <w:t xml:space="preserve"> </w:t>
      </w:r>
      <w:r w:rsidR="00543CB3" w:rsidRPr="00DA2E9A">
        <w:rPr>
          <w:rFonts w:asciiTheme="minorHAnsi" w:hAnsiTheme="minorHAnsi" w:cstheme="minorHAnsi"/>
          <w:sz w:val="22"/>
          <w:szCs w:val="22"/>
        </w:rPr>
        <w:t>be active participants within the mainstream</w:t>
      </w:r>
      <w:r w:rsidRPr="00DA2E9A">
        <w:rPr>
          <w:rFonts w:asciiTheme="minorHAnsi" w:hAnsiTheme="minorHAnsi" w:cstheme="minorHAnsi"/>
          <w:sz w:val="22"/>
          <w:szCs w:val="22"/>
        </w:rPr>
        <w:t xml:space="preserve"> education system</w:t>
      </w:r>
      <w:r w:rsidR="00B842D9" w:rsidRPr="00DA2E9A">
        <w:rPr>
          <w:rFonts w:asciiTheme="minorHAnsi" w:hAnsiTheme="minorHAnsi" w:cstheme="minorHAnsi"/>
          <w:sz w:val="22"/>
          <w:szCs w:val="22"/>
        </w:rPr>
        <w:t xml:space="preserve">, without deliberation. Foreman &amp; Arthur-Kelly </w:t>
      </w:r>
      <w:r w:rsidR="00DA2E9A" w:rsidRPr="00DA2E9A">
        <w:rPr>
          <w:rFonts w:asciiTheme="minorHAnsi" w:hAnsiTheme="minorHAnsi" w:cstheme="minorHAnsi"/>
          <w:sz w:val="22"/>
          <w:szCs w:val="22"/>
        </w:rPr>
        <w:t>(</w:t>
      </w:r>
      <w:r w:rsidR="00B842D9" w:rsidRPr="00DA2E9A">
        <w:rPr>
          <w:rFonts w:asciiTheme="minorHAnsi" w:hAnsiTheme="minorHAnsi" w:cstheme="minorHAnsi"/>
          <w:sz w:val="22"/>
          <w:szCs w:val="22"/>
        </w:rPr>
        <w:t>2017) say that students with a disability must be able to contribute to classrooms and programs without discrimination. Ideally, this student would not have experienced this</w:t>
      </w:r>
      <w:r w:rsidR="00DA2E9A" w:rsidRPr="00DA2E9A">
        <w:rPr>
          <w:rFonts w:asciiTheme="minorHAnsi" w:hAnsiTheme="minorHAnsi" w:cstheme="minorHAnsi"/>
          <w:sz w:val="22"/>
          <w:szCs w:val="22"/>
        </w:rPr>
        <w:t xml:space="preserve"> type of exclusion to begin with</w:t>
      </w:r>
      <w:r w:rsidR="00B842D9" w:rsidRPr="00DA2E9A">
        <w:rPr>
          <w:rFonts w:asciiTheme="minorHAnsi" w:hAnsiTheme="minorHAnsi" w:cstheme="minorHAnsi"/>
          <w:sz w:val="22"/>
          <w:szCs w:val="22"/>
        </w:rPr>
        <w:t xml:space="preserve">, </w:t>
      </w:r>
      <w:r w:rsidR="00DA2E9A" w:rsidRPr="00DA2E9A">
        <w:rPr>
          <w:rFonts w:asciiTheme="minorHAnsi" w:hAnsiTheme="minorHAnsi" w:cstheme="minorHAnsi"/>
          <w:sz w:val="22"/>
          <w:szCs w:val="22"/>
        </w:rPr>
        <w:t xml:space="preserve">as the school should have known that </w:t>
      </w:r>
      <w:r w:rsidR="00B842D9" w:rsidRPr="00DA2E9A">
        <w:rPr>
          <w:rFonts w:asciiTheme="minorHAnsi" w:hAnsiTheme="minorHAnsi" w:cstheme="minorHAnsi"/>
          <w:sz w:val="22"/>
          <w:szCs w:val="22"/>
        </w:rPr>
        <w:t xml:space="preserve">every child </w:t>
      </w:r>
      <w:r w:rsidR="00DA2E9A" w:rsidRPr="00DA2E9A">
        <w:rPr>
          <w:rFonts w:asciiTheme="minorHAnsi" w:hAnsiTheme="minorHAnsi" w:cstheme="minorHAnsi"/>
          <w:sz w:val="22"/>
          <w:szCs w:val="22"/>
        </w:rPr>
        <w:t>is</w:t>
      </w:r>
      <w:r w:rsidR="00B842D9" w:rsidRPr="00DA2E9A">
        <w:rPr>
          <w:rFonts w:asciiTheme="minorHAnsi" w:hAnsiTheme="minorHAnsi" w:cstheme="minorHAnsi"/>
          <w:sz w:val="22"/>
          <w:szCs w:val="22"/>
        </w:rPr>
        <w:t xml:space="preserve"> entitled to a rich and convivial learning environment. Furthermore, the </w:t>
      </w:r>
      <w:r w:rsidR="00DA2E9A" w:rsidRPr="00DA2E9A">
        <w:rPr>
          <w:rFonts w:asciiTheme="minorHAnsi" w:hAnsiTheme="minorHAnsi" w:cstheme="minorHAnsi"/>
          <w:sz w:val="22"/>
          <w:szCs w:val="22"/>
        </w:rPr>
        <w:t xml:space="preserve">student should not have experienced the </w:t>
      </w:r>
      <w:r w:rsidR="00B842D9" w:rsidRPr="00DA2E9A">
        <w:rPr>
          <w:rFonts w:asciiTheme="minorHAnsi" w:hAnsiTheme="minorHAnsi" w:cstheme="minorHAnsi"/>
          <w:sz w:val="22"/>
          <w:szCs w:val="22"/>
        </w:rPr>
        <w:t xml:space="preserve">generalisations and stereotyping </w:t>
      </w:r>
      <w:r w:rsidR="00DA2E9A" w:rsidRPr="00DA2E9A">
        <w:rPr>
          <w:rFonts w:asciiTheme="minorHAnsi" w:hAnsiTheme="minorHAnsi" w:cstheme="minorHAnsi"/>
          <w:sz w:val="22"/>
          <w:szCs w:val="22"/>
        </w:rPr>
        <w:t xml:space="preserve">from the school that she did. </w:t>
      </w:r>
    </w:p>
    <w:p w14:paraId="5FAE6C42" w14:textId="66EEBBDB" w:rsidR="00DA2E9A" w:rsidRPr="00DA2E9A" w:rsidRDefault="00DA2E9A" w:rsidP="00546428">
      <w:pPr>
        <w:rPr>
          <w:rFonts w:ascii="Times New Roman" w:eastAsia="Times New Roman" w:hAnsi="Times New Roman" w:cs="Times New Roman"/>
          <w:sz w:val="24"/>
          <w:szCs w:val="24"/>
          <w:lang w:eastAsia="en-AU"/>
        </w:rPr>
      </w:pPr>
      <w:r w:rsidRPr="00D9647D">
        <w:rPr>
          <w:rFonts w:cstheme="minorHAnsi"/>
          <w:b/>
          <w:bCs/>
          <w:u w:val="single"/>
        </w:rPr>
        <w:t>Week 6</w:t>
      </w:r>
      <w:r w:rsidRPr="00D9647D">
        <w:rPr>
          <w:rFonts w:cstheme="minorHAnsi"/>
          <w:b/>
          <w:bCs/>
          <w:u w:val="single"/>
        </w:rPr>
        <w:br/>
      </w:r>
      <w:r>
        <w:rPr>
          <w:rFonts w:cstheme="minorHAnsi"/>
          <w:b/>
          <w:bCs/>
        </w:rPr>
        <w:t xml:space="preserve">The Real </w:t>
      </w:r>
      <w:r w:rsidRPr="00DA2E9A">
        <w:rPr>
          <w:rFonts w:ascii="Arial" w:eastAsia="Times New Roman" w:hAnsi="Arial" w:cs="Arial"/>
          <w:vanish/>
          <w:sz w:val="16"/>
          <w:szCs w:val="16"/>
          <w:lang w:eastAsia="en-AU"/>
        </w:rPr>
        <w:t>Top of Form</w:t>
      </w:r>
    </w:p>
    <w:p w14:paraId="3C0A0386" w14:textId="77777777" w:rsidR="00680779" w:rsidRDefault="00DA2E9A" w:rsidP="00680779">
      <w:pPr>
        <w:spacing w:before="100" w:beforeAutospacing="1" w:after="100" w:afterAutospacing="1" w:line="360" w:lineRule="auto"/>
        <w:rPr>
          <w:rFonts w:eastAsia="Times New Roman" w:cstheme="minorHAnsi"/>
          <w:color w:val="000000"/>
          <w:sz w:val="20"/>
          <w:szCs w:val="20"/>
          <w:lang w:eastAsia="en-AU"/>
        </w:rPr>
      </w:pPr>
      <w:r w:rsidRPr="00DA2E9A">
        <w:rPr>
          <w:rFonts w:eastAsia="Times New Roman" w:cstheme="minorHAnsi"/>
          <w:color w:val="000000"/>
          <w:sz w:val="20"/>
          <w:szCs w:val="20"/>
          <w:lang w:eastAsia="en-AU"/>
        </w:rPr>
        <w:t xml:space="preserve">On </w:t>
      </w:r>
      <w:r w:rsidR="00546428" w:rsidRPr="00546428">
        <w:rPr>
          <w:rFonts w:eastAsia="Times New Roman" w:cstheme="minorHAnsi"/>
          <w:color w:val="000000"/>
          <w:sz w:val="20"/>
          <w:szCs w:val="20"/>
          <w:lang w:eastAsia="en-AU"/>
        </w:rPr>
        <w:t xml:space="preserve">my third placement, I was given a student overview of my class prior to my commencement. It entailed a general overview of all the students with any diagnosis’s, special needs requirements and individual learning plans for particular students. In the coming weeks, along with this resource I developed lesson plans that were able to cater to the diverse students within my class. </w:t>
      </w:r>
      <w:r w:rsidR="00546428">
        <w:rPr>
          <w:rFonts w:eastAsia="Times New Roman" w:cstheme="minorHAnsi"/>
          <w:color w:val="000000"/>
          <w:sz w:val="20"/>
          <w:szCs w:val="20"/>
          <w:lang w:eastAsia="en-AU"/>
        </w:rPr>
        <w:t xml:space="preserve">One adaptation and differentiation technique I had noted for a student with ADHD was regular breaks, and when feasible, a quick walk around our classroom block before moving onto the next task. When I showed my mentor, she </w:t>
      </w:r>
      <w:r w:rsidR="008E5447">
        <w:rPr>
          <w:rFonts w:eastAsia="Times New Roman" w:cstheme="minorHAnsi"/>
          <w:color w:val="000000"/>
          <w:sz w:val="20"/>
          <w:szCs w:val="20"/>
          <w:lang w:eastAsia="en-AU"/>
        </w:rPr>
        <w:t xml:space="preserve">advised me not to allow the student to </w:t>
      </w:r>
      <w:r w:rsidR="008E5447">
        <w:rPr>
          <w:rFonts w:eastAsia="Times New Roman" w:cstheme="minorHAnsi"/>
          <w:color w:val="000000"/>
          <w:sz w:val="20"/>
          <w:szCs w:val="20"/>
          <w:lang w:eastAsia="en-AU"/>
        </w:rPr>
        <w:br/>
        <w:t xml:space="preserve">go for a walk, as he would take advantage”. </w:t>
      </w:r>
    </w:p>
    <w:p w14:paraId="730CF8A1" w14:textId="2B7AEA79" w:rsidR="00833E7E" w:rsidRPr="00DD2E85" w:rsidRDefault="00DA2E9A" w:rsidP="00DD2E85">
      <w:pPr>
        <w:pStyle w:val="box-title-primary"/>
        <w:spacing w:line="360" w:lineRule="auto"/>
        <w:rPr>
          <w:rFonts w:asciiTheme="minorHAnsi" w:hAnsiTheme="minorHAnsi" w:cstheme="minorHAnsi"/>
          <w:sz w:val="22"/>
          <w:szCs w:val="22"/>
        </w:rPr>
      </w:pPr>
      <w:r w:rsidRPr="00DD2E85">
        <w:rPr>
          <w:rFonts w:asciiTheme="minorHAnsi" w:hAnsiTheme="minorHAnsi" w:cstheme="minorHAnsi"/>
          <w:b/>
          <w:bCs/>
          <w:color w:val="000000"/>
          <w:sz w:val="22"/>
          <w:szCs w:val="22"/>
        </w:rPr>
        <w:t>The ideal</w:t>
      </w:r>
      <w:r w:rsidRPr="00DD2E85">
        <w:rPr>
          <w:rFonts w:asciiTheme="minorHAnsi" w:hAnsiTheme="minorHAnsi" w:cstheme="minorHAnsi"/>
          <w:b/>
          <w:bCs/>
          <w:color w:val="000000"/>
          <w:sz w:val="22"/>
          <w:szCs w:val="22"/>
        </w:rPr>
        <w:br/>
      </w:r>
      <w:r w:rsidR="00BF70CD" w:rsidRPr="00DD2E85">
        <w:rPr>
          <w:rFonts w:asciiTheme="minorHAnsi" w:hAnsiTheme="minorHAnsi" w:cstheme="minorHAnsi"/>
          <w:sz w:val="22"/>
          <w:szCs w:val="22"/>
        </w:rPr>
        <w:t xml:space="preserve"> </w:t>
      </w:r>
      <w:r w:rsidR="00833E7E" w:rsidRPr="00DD2E85">
        <w:rPr>
          <w:rFonts w:asciiTheme="minorHAnsi" w:hAnsiTheme="minorHAnsi" w:cstheme="minorHAnsi"/>
          <w:sz w:val="22"/>
          <w:szCs w:val="22"/>
        </w:rPr>
        <w:t>S</w:t>
      </w:r>
      <w:r w:rsidR="00BF70CD" w:rsidRPr="00DD2E85">
        <w:rPr>
          <w:rFonts w:asciiTheme="minorHAnsi" w:hAnsiTheme="minorHAnsi" w:cstheme="minorHAnsi"/>
          <w:sz w:val="22"/>
          <w:szCs w:val="22"/>
        </w:rPr>
        <w:t xml:space="preserve">tudents </w:t>
      </w:r>
      <w:r w:rsidR="00833E7E" w:rsidRPr="00DD2E85">
        <w:rPr>
          <w:rFonts w:asciiTheme="minorHAnsi" w:hAnsiTheme="minorHAnsi" w:cstheme="minorHAnsi"/>
          <w:sz w:val="22"/>
          <w:szCs w:val="22"/>
        </w:rPr>
        <w:t>with ADHD experience high l</w:t>
      </w:r>
      <w:r w:rsidR="00833E7E" w:rsidRPr="00DD2E85">
        <w:rPr>
          <w:rFonts w:asciiTheme="minorHAnsi" w:hAnsiTheme="minorHAnsi" w:cstheme="minorHAnsi"/>
          <w:color w:val="000000"/>
          <w:sz w:val="22"/>
          <w:szCs w:val="22"/>
        </w:rPr>
        <w:t>evels of hyperactivity and impulsive behaviours (</w:t>
      </w:r>
      <w:r w:rsidR="00833E7E" w:rsidRPr="00DD2E85">
        <w:rPr>
          <w:rFonts w:asciiTheme="minorHAnsi" w:hAnsiTheme="minorHAnsi" w:cstheme="minorHAnsi"/>
          <w:sz w:val="22"/>
          <w:szCs w:val="22"/>
        </w:rPr>
        <w:t>Wender, P 2001).</w:t>
      </w:r>
      <w:r w:rsidR="00833E7E" w:rsidRPr="00DD2E85">
        <w:rPr>
          <w:rFonts w:asciiTheme="minorHAnsi" w:hAnsiTheme="minorHAnsi" w:cstheme="minorHAnsi"/>
          <w:sz w:val="22"/>
          <w:szCs w:val="22"/>
        </w:rPr>
        <w:t xml:space="preserve"> </w:t>
      </w:r>
      <w:r w:rsidR="00DD2E85" w:rsidRPr="00DD2E85">
        <w:rPr>
          <w:rFonts w:asciiTheme="minorHAnsi" w:hAnsiTheme="minorHAnsi" w:cstheme="minorHAnsi"/>
          <w:sz w:val="22"/>
          <w:szCs w:val="22"/>
        </w:rPr>
        <w:t>T</w:t>
      </w:r>
      <w:r w:rsidR="00833E7E" w:rsidRPr="00DD2E85">
        <w:rPr>
          <w:rFonts w:asciiTheme="minorHAnsi" w:hAnsiTheme="minorHAnsi" w:cstheme="minorHAnsi"/>
          <w:sz w:val="22"/>
          <w:szCs w:val="22"/>
        </w:rPr>
        <w:t>hese students</w:t>
      </w:r>
      <w:r w:rsidR="005E04F9" w:rsidRPr="00DD2E85">
        <w:rPr>
          <w:rFonts w:asciiTheme="minorHAnsi" w:hAnsiTheme="minorHAnsi" w:cstheme="minorHAnsi"/>
          <w:sz w:val="22"/>
          <w:szCs w:val="22"/>
        </w:rPr>
        <w:t xml:space="preserve"> also have trouble </w:t>
      </w:r>
      <w:r w:rsidR="005E04F9" w:rsidRPr="00DD2E85">
        <w:rPr>
          <w:rFonts w:asciiTheme="minorHAnsi" w:hAnsiTheme="minorHAnsi" w:cstheme="minorHAnsi"/>
          <w:sz w:val="22"/>
          <w:szCs w:val="22"/>
        </w:rPr>
        <w:t>following instructions</w:t>
      </w:r>
      <w:r w:rsidR="005E04F9" w:rsidRPr="00DD2E85">
        <w:rPr>
          <w:rFonts w:asciiTheme="minorHAnsi" w:hAnsiTheme="minorHAnsi" w:cstheme="minorHAnsi"/>
          <w:sz w:val="22"/>
          <w:szCs w:val="22"/>
        </w:rPr>
        <w:t xml:space="preserve">, </w:t>
      </w:r>
      <w:r w:rsidR="005E04F9" w:rsidRPr="00DD2E85">
        <w:rPr>
          <w:rFonts w:asciiTheme="minorHAnsi" w:hAnsiTheme="minorHAnsi" w:cstheme="minorHAnsi"/>
          <w:sz w:val="22"/>
          <w:szCs w:val="22"/>
        </w:rPr>
        <w:t>lack fine motor control</w:t>
      </w:r>
      <w:r w:rsidR="005E04F9" w:rsidRPr="00DD2E85">
        <w:rPr>
          <w:rFonts w:asciiTheme="minorHAnsi" w:hAnsiTheme="minorHAnsi" w:cstheme="minorHAnsi"/>
          <w:sz w:val="22"/>
          <w:szCs w:val="22"/>
        </w:rPr>
        <w:t xml:space="preserve"> (making</w:t>
      </w:r>
      <w:r w:rsidR="005E04F9" w:rsidRPr="00DD2E85">
        <w:rPr>
          <w:rFonts w:asciiTheme="minorHAnsi" w:hAnsiTheme="minorHAnsi" w:cstheme="minorHAnsi"/>
          <w:sz w:val="22"/>
          <w:szCs w:val="22"/>
        </w:rPr>
        <w:t xml:space="preserve"> note-taking difficult</w:t>
      </w:r>
      <w:r w:rsidR="005E04F9" w:rsidRPr="00DD2E85">
        <w:rPr>
          <w:rFonts w:asciiTheme="minorHAnsi" w:hAnsiTheme="minorHAnsi" w:cstheme="minorHAnsi"/>
          <w:sz w:val="22"/>
          <w:szCs w:val="22"/>
        </w:rPr>
        <w:t xml:space="preserve">) and often have trouble engaging with long term projects both individually and with their peers (Greene, 1995). </w:t>
      </w:r>
      <w:r w:rsidR="00DD2E85" w:rsidRPr="00DD2E85">
        <w:rPr>
          <w:rFonts w:asciiTheme="minorHAnsi" w:hAnsiTheme="minorHAnsi" w:cstheme="minorHAnsi"/>
          <w:sz w:val="22"/>
          <w:szCs w:val="22"/>
        </w:rPr>
        <w:t xml:space="preserve">However, research shows to combat this, teachers can implement a multitude of accommodations </w:t>
      </w:r>
      <w:r w:rsidR="00DD2E85" w:rsidRPr="00DD2E85">
        <w:rPr>
          <w:rFonts w:asciiTheme="minorHAnsi" w:hAnsiTheme="minorHAnsi" w:cstheme="minorHAnsi"/>
          <w:sz w:val="22"/>
          <w:szCs w:val="22"/>
        </w:rPr>
        <w:t>to make learning easier for students with ADHD.</w:t>
      </w:r>
      <w:r w:rsidR="00DD2E85" w:rsidRPr="00DD2E85">
        <w:rPr>
          <w:rFonts w:asciiTheme="minorHAnsi" w:hAnsiTheme="minorHAnsi" w:cstheme="minorHAnsi"/>
          <w:sz w:val="22"/>
          <w:szCs w:val="22"/>
        </w:rPr>
        <w:t xml:space="preserve"> This can include, but is not limited to specific instruction, refined rules, an optimistic and flexible learning environment, and regular interval breaks. </w:t>
      </w:r>
    </w:p>
    <w:p w14:paraId="5D9C99F9" w14:textId="78950221" w:rsidR="00D9647D" w:rsidRDefault="00D9647D">
      <w:pPr>
        <w:rPr>
          <w:rFonts w:eastAsia="Times New Roman" w:cstheme="minorHAnsi"/>
          <w:lang w:eastAsia="en-AU"/>
        </w:rPr>
      </w:pPr>
      <w:r>
        <w:rPr>
          <w:rFonts w:cstheme="minorHAnsi"/>
        </w:rPr>
        <w:br w:type="page"/>
      </w:r>
    </w:p>
    <w:p w14:paraId="077FB530" w14:textId="3FFF31AB" w:rsidR="00DA2E9A" w:rsidRDefault="00D9647D" w:rsidP="00D9647D">
      <w:pPr>
        <w:pStyle w:val="NormalWeb"/>
        <w:jc w:val="center"/>
        <w:rPr>
          <w:rFonts w:asciiTheme="minorHAnsi" w:hAnsiTheme="minorHAnsi" w:cstheme="minorHAnsi"/>
          <w:b/>
          <w:bCs/>
          <w:sz w:val="22"/>
          <w:szCs w:val="22"/>
        </w:rPr>
      </w:pPr>
      <w:r>
        <w:rPr>
          <w:rFonts w:asciiTheme="minorHAnsi" w:hAnsiTheme="minorHAnsi" w:cstheme="minorHAnsi"/>
          <w:b/>
          <w:bCs/>
          <w:sz w:val="22"/>
          <w:szCs w:val="22"/>
        </w:rPr>
        <w:t>References</w:t>
      </w:r>
    </w:p>
    <w:p w14:paraId="07D13EFB" w14:textId="77777777" w:rsidR="00D9647D" w:rsidRPr="00D9647D" w:rsidRDefault="00D9647D" w:rsidP="00D9647D">
      <w:pPr>
        <w:spacing w:before="100" w:beforeAutospacing="1" w:after="100" w:afterAutospacing="1" w:line="240" w:lineRule="auto"/>
        <w:rPr>
          <w:rFonts w:eastAsia="Times New Roman" w:cstheme="minorHAnsi"/>
          <w:lang w:eastAsia="en-AU"/>
        </w:rPr>
      </w:pPr>
      <w:r w:rsidRPr="00D9647D">
        <w:rPr>
          <w:rFonts w:cstheme="minorHAnsi"/>
        </w:rPr>
        <w:t xml:space="preserve">Wender, P. H. (2001). </w:t>
      </w:r>
      <w:r w:rsidRPr="00D9647D">
        <w:rPr>
          <w:rFonts w:cstheme="minorHAnsi"/>
          <w:i/>
          <w:iCs/>
        </w:rPr>
        <w:t xml:space="preserve">ADHD: Attention-deficit hyperactivity disorder in children, adolescents, and </w:t>
      </w:r>
      <w:r w:rsidRPr="00D9647D">
        <w:rPr>
          <w:rFonts w:cstheme="minorHAnsi"/>
          <w:i/>
          <w:iCs/>
        </w:rPr>
        <w:tab/>
        <w:t>adults</w:t>
      </w:r>
      <w:r w:rsidRPr="00D9647D">
        <w:rPr>
          <w:rFonts w:cstheme="minorHAnsi"/>
        </w:rPr>
        <w:t>. Oxford University Press.</w:t>
      </w:r>
      <w:r w:rsidRPr="00D9647D">
        <w:rPr>
          <w:rFonts w:eastAsia="Times New Roman" w:cstheme="minorHAnsi"/>
          <w:vanish/>
          <w:lang w:eastAsia="en-AU"/>
        </w:rPr>
        <w:t>Bottom of Form</w:t>
      </w:r>
    </w:p>
    <w:p w14:paraId="0169D158" w14:textId="77777777" w:rsidR="00D9647D" w:rsidRPr="00D9647D" w:rsidRDefault="00D9647D" w:rsidP="00D9647D">
      <w:pPr>
        <w:pStyle w:val="NormalWeb"/>
        <w:spacing w:line="360" w:lineRule="auto"/>
        <w:rPr>
          <w:rFonts w:asciiTheme="minorHAnsi" w:hAnsiTheme="minorHAnsi" w:cstheme="minorHAnsi"/>
          <w:sz w:val="22"/>
          <w:szCs w:val="22"/>
        </w:rPr>
      </w:pPr>
      <w:r w:rsidRPr="00D9647D">
        <w:rPr>
          <w:rFonts w:asciiTheme="minorHAnsi" w:hAnsiTheme="minorHAnsi" w:cstheme="minorHAnsi"/>
          <w:sz w:val="22"/>
          <w:szCs w:val="22"/>
        </w:rPr>
        <w:t xml:space="preserve">Greene, R. W. (1995). Students with ADHD in school classrooms: Teacher factors related to </w:t>
      </w:r>
      <w:r w:rsidRPr="00D9647D">
        <w:rPr>
          <w:rFonts w:asciiTheme="minorHAnsi" w:hAnsiTheme="minorHAnsi" w:cstheme="minorHAnsi"/>
          <w:sz w:val="22"/>
          <w:szCs w:val="22"/>
        </w:rPr>
        <w:tab/>
        <w:t xml:space="preserve">compatibility, assessment, and intervention. </w:t>
      </w:r>
      <w:r w:rsidRPr="00D9647D">
        <w:rPr>
          <w:rFonts w:asciiTheme="minorHAnsi" w:hAnsiTheme="minorHAnsi" w:cstheme="minorHAnsi"/>
          <w:i/>
          <w:iCs/>
          <w:sz w:val="22"/>
          <w:szCs w:val="22"/>
        </w:rPr>
        <w:t>School Psychology Review</w:t>
      </w:r>
      <w:r w:rsidRPr="00D9647D">
        <w:rPr>
          <w:rFonts w:asciiTheme="minorHAnsi" w:hAnsiTheme="minorHAnsi" w:cstheme="minorHAnsi"/>
          <w:sz w:val="22"/>
          <w:szCs w:val="22"/>
        </w:rPr>
        <w:t xml:space="preserve">, </w:t>
      </w:r>
      <w:r w:rsidRPr="00D9647D">
        <w:rPr>
          <w:rFonts w:asciiTheme="minorHAnsi" w:hAnsiTheme="minorHAnsi" w:cstheme="minorHAnsi"/>
          <w:i/>
          <w:iCs/>
          <w:sz w:val="22"/>
          <w:szCs w:val="22"/>
        </w:rPr>
        <w:t>24</w:t>
      </w:r>
      <w:r w:rsidRPr="00D9647D">
        <w:rPr>
          <w:rFonts w:asciiTheme="minorHAnsi" w:hAnsiTheme="minorHAnsi" w:cstheme="minorHAnsi"/>
          <w:sz w:val="22"/>
          <w:szCs w:val="22"/>
        </w:rPr>
        <w:t>(1), 81-93.</w:t>
      </w:r>
    </w:p>
    <w:p w14:paraId="3ACD2D51" w14:textId="77777777" w:rsidR="00D9647D" w:rsidRPr="00D9647D" w:rsidRDefault="00D9647D" w:rsidP="00D9647D">
      <w:pPr>
        <w:pStyle w:val="NormalWeb"/>
        <w:spacing w:line="360" w:lineRule="auto"/>
        <w:rPr>
          <w:rFonts w:asciiTheme="minorHAnsi" w:hAnsiTheme="minorHAnsi" w:cstheme="minorHAnsi"/>
          <w:sz w:val="22"/>
          <w:szCs w:val="22"/>
        </w:rPr>
      </w:pPr>
      <w:proofErr w:type="spellStart"/>
      <w:r w:rsidRPr="00D9647D">
        <w:rPr>
          <w:rFonts w:asciiTheme="minorHAnsi" w:hAnsiTheme="minorHAnsi" w:cstheme="minorHAnsi"/>
          <w:sz w:val="22"/>
          <w:szCs w:val="22"/>
        </w:rPr>
        <w:t>Basser</w:t>
      </w:r>
      <w:proofErr w:type="spellEnd"/>
      <w:r w:rsidRPr="00D9647D">
        <w:rPr>
          <w:rFonts w:asciiTheme="minorHAnsi" w:hAnsiTheme="minorHAnsi" w:cstheme="minorHAnsi"/>
          <w:sz w:val="22"/>
          <w:szCs w:val="22"/>
        </w:rPr>
        <w:t>, L. A., Jones, M. (</w:t>
      </w:r>
      <w:r w:rsidRPr="00D9647D">
        <w:rPr>
          <w:rStyle w:val="nlmyear"/>
          <w:rFonts w:asciiTheme="minorHAnsi" w:hAnsiTheme="minorHAnsi" w:cstheme="minorHAnsi"/>
          <w:sz w:val="22"/>
          <w:szCs w:val="22"/>
        </w:rPr>
        <w:t>2002</w:t>
      </w:r>
      <w:r w:rsidRPr="00D9647D">
        <w:rPr>
          <w:rFonts w:asciiTheme="minorHAnsi" w:hAnsiTheme="minorHAnsi" w:cstheme="minorHAnsi"/>
          <w:sz w:val="22"/>
          <w:szCs w:val="22"/>
        </w:rPr>
        <w:t xml:space="preserve">) </w:t>
      </w:r>
      <w:r w:rsidRPr="00D9647D">
        <w:rPr>
          <w:rStyle w:val="nlmarticle-title"/>
          <w:rFonts w:asciiTheme="minorHAnsi" w:hAnsiTheme="minorHAnsi" w:cstheme="minorHAnsi"/>
          <w:i/>
          <w:iCs/>
          <w:sz w:val="22"/>
          <w:szCs w:val="22"/>
        </w:rPr>
        <w:t>The Disability Discrimination Act</w:t>
      </w:r>
      <w:r w:rsidRPr="00D9647D">
        <w:rPr>
          <w:rStyle w:val="nlmarticle-title"/>
          <w:rFonts w:asciiTheme="minorHAnsi" w:hAnsiTheme="minorHAnsi" w:cstheme="minorHAnsi"/>
          <w:sz w:val="22"/>
          <w:szCs w:val="22"/>
        </w:rPr>
        <w:t xml:space="preserve"> 1992 (</w:t>
      </w:r>
      <w:proofErr w:type="spellStart"/>
      <w:r w:rsidRPr="00D9647D">
        <w:rPr>
          <w:rStyle w:val="nlmarticle-title"/>
          <w:rFonts w:asciiTheme="minorHAnsi" w:hAnsiTheme="minorHAnsi" w:cstheme="minorHAnsi"/>
          <w:sz w:val="22"/>
          <w:szCs w:val="22"/>
        </w:rPr>
        <w:t>Cth</w:t>
      </w:r>
      <w:proofErr w:type="spellEnd"/>
      <w:r w:rsidRPr="00D9647D">
        <w:rPr>
          <w:rStyle w:val="nlmarticle-title"/>
          <w:rFonts w:asciiTheme="minorHAnsi" w:hAnsiTheme="minorHAnsi" w:cstheme="minorHAnsi"/>
          <w:sz w:val="22"/>
          <w:szCs w:val="22"/>
        </w:rPr>
        <w:t xml:space="preserve">): a three-dimensional </w:t>
      </w:r>
      <w:r w:rsidRPr="00D9647D">
        <w:rPr>
          <w:rStyle w:val="nlmarticle-title"/>
          <w:rFonts w:asciiTheme="minorHAnsi" w:hAnsiTheme="minorHAnsi" w:cstheme="minorHAnsi"/>
          <w:sz w:val="22"/>
          <w:szCs w:val="22"/>
        </w:rPr>
        <w:tab/>
        <w:t>approach to operationalising human rights</w:t>
      </w:r>
      <w:r w:rsidRPr="00D9647D">
        <w:rPr>
          <w:rFonts w:asciiTheme="minorHAnsi" w:hAnsiTheme="minorHAnsi" w:cstheme="minorHAnsi"/>
          <w:sz w:val="22"/>
          <w:szCs w:val="22"/>
        </w:rPr>
        <w:t xml:space="preserve">. Melbourne University Law Review Vol. 16, No. 2, </w:t>
      </w:r>
      <w:r w:rsidRPr="00D9647D">
        <w:rPr>
          <w:rFonts w:asciiTheme="minorHAnsi" w:hAnsiTheme="minorHAnsi" w:cstheme="minorHAnsi"/>
          <w:sz w:val="22"/>
          <w:szCs w:val="22"/>
        </w:rPr>
        <w:tab/>
      </w:r>
      <w:r w:rsidRPr="00D9647D">
        <w:rPr>
          <w:rStyle w:val="nlmfpage"/>
          <w:rFonts w:asciiTheme="minorHAnsi" w:hAnsiTheme="minorHAnsi" w:cstheme="minorHAnsi"/>
          <w:sz w:val="22"/>
          <w:szCs w:val="22"/>
        </w:rPr>
        <w:t>267</w:t>
      </w:r>
      <w:r w:rsidRPr="00D9647D">
        <w:rPr>
          <w:rFonts w:asciiTheme="minorHAnsi" w:hAnsiTheme="minorHAnsi" w:cstheme="minorHAnsi"/>
          <w:sz w:val="22"/>
          <w:szCs w:val="22"/>
        </w:rPr>
        <w:t xml:space="preserve"> </w:t>
      </w:r>
      <w:r w:rsidRPr="00D9647D">
        <w:rPr>
          <w:rFonts w:asciiTheme="minorHAnsi" w:hAnsiTheme="minorHAnsi" w:cstheme="minorHAnsi"/>
          <w:sz w:val="22"/>
          <w:szCs w:val="22"/>
        </w:rPr>
        <w:br/>
        <w:t>Foreman, P. &amp; Arthur-Kelly, M. (2017). Inclusion in Action (5th Ed). Cengage.</w:t>
      </w:r>
    </w:p>
    <w:p w14:paraId="3C213B59" w14:textId="1692FBCC" w:rsidR="00D9647D" w:rsidRPr="00D9647D" w:rsidRDefault="00D9647D" w:rsidP="00D9647D">
      <w:pPr>
        <w:pStyle w:val="NormalWeb"/>
        <w:spacing w:line="360" w:lineRule="auto"/>
        <w:rPr>
          <w:rFonts w:asciiTheme="minorHAnsi" w:hAnsiTheme="minorHAnsi" w:cstheme="minorHAnsi"/>
          <w:sz w:val="22"/>
          <w:szCs w:val="22"/>
        </w:rPr>
      </w:pPr>
      <w:proofErr w:type="spellStart"/>
      <w:r w:rsidRPr="00D9647D">
        <w:rPr>
          <w:rFonts w:asciiTheme="minorHAnsi" w:hAnsiTheme="minorHAnsi" w:cstheme="minorHAnsi"/>
          <w:sz w:val="22"/>
          <w:szCs w:val="22"/>
        </w:rPr>
        <w:t>Singal</w:t>
      </w:r>
      <w:proofErr w:type="spellEnd"/>
      <w:r w:rsidRPr="00D9647D">
        <w:rPr>
          <w:rFonts w:asciiTheme="minorHAnsi" w:hAnsiTheme="minorHAnsi" w:cstheme="minorHAnsi"/>
          <w:sz w:val="22"/>
          <w:szCs w:val="22"/>
        </w:rPr>
        <w:t xml:space="preserve">, N. (2008). Working towards inclusion: Reflections from the classroom. </w:t>
      </w:r>
      <w:r w:rsidRPr="00D9647D">
        <w:rPr>
          <w:rFonts w:asciiTheme="minorHAnsi" w:hAnsiTheme="minorHAnsi" w:cstheme="minorHAnsi"/>
          <w:i/>
          <w:iCs/>
          <w:sz w:val="22"/>
          <w:szCs w:val="22"/>
        </w:rPr>
        <w:t xml:space="preserve">Teaching and </w:t>
      </w:r>
      <w:r w:rsidRPr="00D9647D">
        <w:rPr>
          <w:rFonts w:asciiTheme="minorHAnsi" w:hAnsiTheme="minorHAnsi" w:cstheme="minorHAnsi"/>
          <w:i/>
          <w:iCs/>
          <w:sz w:val="22"/>
          <w:szCs w:val="22"/>
        </w:rPr>
        <w:tab/>
      </w:r>
      <w:r w:rsidRPr="00D9647D">
        <w:rPr>
          <w:rFonts w:asciiTheme="minorHAnsi" w:hAnsiTheme="minorHAnsi" w:cstheme="minorHAnsi"/>
          <w:i/>
          <w:iCs/>
          <w:sz w:val="22"/>
          <w:szCs w:val="22"/>
        </w:rPr>
        <w:t>Teacher education</w:t>
      </w:r>
      <w:r w:rsidRPr="00D9647D">
        <w:rPr>
          <w:rFonts w:asciiTheme="minorHAnsi" w:hAnsiTheme="minorHAnsi" w:cstheme="minorHAnsi"/>
          <w:sz w:val="22"/>
          <w:szCs w:val="22"/>
        </w:rPr>
        <w:t xml:space="preserve">, </w:t>
      </w:r>
      <w:r w:rsidRPr="00D9647D">
        <w:rPr>
          <w:rFonts w:asciiTheme="minorHAnsi" w:hAnsiTheme="minorHAnsi" w:cstheme="minorHAnsi"/>
          <w:i/>
          <w:iCs/>
          <w:sz w:val="22"/>
          <w:szCs w:val="22"/>
        </w:rPr>
        <w:t>24</w:t>
      </w:r>
      <w:r w:rsidRPr="00D9647D">
        <w:rPr>
          <w:rFonts w:asciiTheme="minorHAnsi" w:hAnsiTheme="minorHAnsi" w:cstheme="minorHAnsi"/>
          <w:sz w:val="22"/>
          <w:szCs w:val="22"/>
        </w:rPr>
        <w:t>(6), 1516-1529.</w:t>
      </w:r>
    </w:p>
    <w:p w14:paraId="5CA4EF5B" w14:textId="77777777" w:rsidR="00D9647D" w:rsidRPr="00D9647D" w:rsidRDefault="00D9647D" w:rsidP="00D9647D">
      <w:pPr>
        <w:pStyle w:val="NormalWeb"/>
        <w:spacing w:line="360" w:lineRule="auto"/>
        <w:rPr>
          <w:rFonts w:asciiTheme="minorHAnsi" w:hAnsiTheme="minorHAnsi" w:cstheme="minorHAnsi"/>
          <w:sz w:val="22"/>
          <w:szCs w:val="22"/>
        </w:rPr>
      </w:pPr>
      <w:r w:rsidRPr="00D9647D">
        <w:rPr>
          <w:rFonts w:asciiTheme="minorHAnsi" w:hAnsiTheme="minorHAnsi" w:cstheme="minorHAnsi"/>
          <w:sz w:val="22"/>
          <w:szCs w:val="22"/>
        </w:rPr>
        <w:t xml:space="preserve">Baum, S., Cooper, C., &amp; Neu, T. (2001). Dual differentiation: An approach for meeting the curricular </w:t>
      </w:r>
      <w:r w:rsidRPr="00D9647D">
        <w:rPr>
          <w:rFonts w:asciiTheme="minorHAnsi" w:hAnsiTheme="minorHAnsi" w:cstheme="minorHAnsi"/>
          <w:sz w:val="22"/>
          <w:szCs w:val="22"/>
        </w:rPr>
        <w:tab/>
        <w:t xml:space="preserve">needs of gifted students with learning disabilities,. </w:t>
      </w:r>
      <w:r w:rsidRPr="00D9647D">
        <w:rPr>
          <w:rStyle w:val="Emphasis"/>
          <w:rFonts w:asciiTheme="minorHAnsi" w:hAnsiTheme="minorHAnsi" w:cstheme="minorHAnsi"/>
          <w:sz w:val="22"/>
          <w:szCs w:val="22"/>
        </w:rPr>
        <w:t>Education Faculty Publications. </w:t>
      </w:r>
      <w:r w:rsidRPr="00D9647D">
        <w:rPr>
          <w:rFonts w:asciiTheme="minorHAnsi" w:hAnsiTheme="minorHAnsi" w:cstheme="minorHAnsi"/>
          <w:sz w:val="22"/>
          <w:szCs w:val="22"/>
        </w:rPr>
        <w:t>Paper 82.</w:t>
      </w:r>
    </w:p>
    <w:p w14:paraId="1FD2848C" w14:textId="3FB15D1A" w:rsidR="00D9647D" w:rsidRPr="00D9647D" w:rsidRDefault="00D9647D" w:rsidP="00D9647D">
      <w:pPr>
        <w:pStyle w:val="NormalWeb"/>
        <w:spacing w:line="360" w:lineRule="auto"/>
        <w:rPr>
          <w:rFonts w:asciiTheme="minorHAnsi" w:hAnsiTheme="minorHAnsi" w:cstheme="minorHAnsi"/>
          <w:sz w:val="22"/>
          <w:szCs w:val="22"/>
        </w:rPr>
      </w:pPr>
      <w:r w:rsidRPr="00D9647D">
        <w:rPr>
          <w:rFonts w:asciiTheme="minorHAnsi" w:hAnsiTheme="minorHAnsi" w:cstheme="minorHAnsi"/>
          <w:sz w:val="22"/>
          <w:szCs w:val="22"/>
        </w:rPr>
        <w:t xml:space="preserve">Burns J &amp; Thomson N 2013. </w:t>
      </w:r>
      <w:r w:rsidRPr="00D9647D">
        <w:rPr>
          <w:rFonts w:asciiTheme="minorHAnsi" w:hAnsiTheme="minorHAnsi" w:cstheme="minorHAnsi"/>
          <w:i/>
          <w:iCs/>
          <w:sz w:val="22"/>
          <w:szCs w:val="22"/>
        </w:rPr>
        <w:t xml:space="preserve">Review of ear health and hearing among Indigenous Australians. Perth: </w:t>
      </w:r>
      <w:r w:rsidRPr="00D9647D">
        <w:rPr>
          <w:rFonts w:asciiTheme="minorHAnsi" w:hAnsiTheme="minorHAnsi" w:cstheme="minorHAnsi"/>
          <w:i/>
          <w:iCs/>
          <w:sz w:val="22"/>
          <w:szCs w:val="22"/>
        </w:rPr>
        <w:tab/>
      </w:r>
      <w:r w:rsidRPr="00D9647D">
        <w:rPr>
          <w:rFonts w:asciiTheme="minorHAnsi" w:hAnsiTheme="minorHAnsi" w:cstheme="minorHAnsi"/>
          <w:i/>
          <w:iCs/>
          <w:sz w:val="22"/>
          <w:szCs w:val="22"/>
        </w:rPr>
        <w:t>Edith Cowan University</w:t>
      </w:r>
      <w:r w:rsidRPr="00D9647D">
        <w:rPr>
          <w:rFonts w:asciiTheme="minorHAnsi" w:hAnsiTheme="minorHAnsi" w:cstheme="minorHAnsi"/>
          <w:sz w:val="22"/>
          <w:szCs w:val="22"/>
        </w:rPr>
        <w:t xml:space="preserve">. Australian Indigenous </w:t>
      </w:r>
      <w:proofErr w:type="spellStart"/>
      <w:r w:rsidRPr="00D9647D">
        <w:rPr>
          <w:rFonts w:asciiTheme="minorHAnsi" w:hAnsiTheme="minorHAnsi" w:cstheme="minorHAnsi"/>
          <w:sz w:val="22"/>
          <w:szCs w:val="22"/>
        </w:rPr>
        <w:t>HealthInfoNet</w:t>
      </w:r>
      <w:proofErr w:type="spellEnd"/>
      <w:r w:rsidRPr="00D9647D">
        <w:rPr>
          <w:rFonts w:asciiTheme="minorHAnsi" w:hAnsiTheme="minorHAnsi" w:cstheme="minorHAnsi"/>
          <w:sz w:val="22"/>
          <w:szCs w:val="22"/>
        </w:rPr>
        <w:t xml:space="preserve">. Viewed on 5 December 2017, </w:t>
      </w:r>
      <w:r w:rsidRPr="00D9647D">
        <w:rPr>
          <w:rFonts w:asciiTheme="minorHAnsi" w:hAnsiTheme="minorHAnsi" w:cstheme="minorHAnsi"/>
          <w:sz w:val="22"/>
          <w:szCs w:val="22"/>
        </w:rPr>
        <w:tab/>
        <w:t xml:space="preserve">retrieved from </w:t>
      </w:r>
      <w:r w:rsidRPr="00D9647D">
        <w:rPr>
          <w:rFonts w:asciiTheme="minorHAnsi" w:hAnsiTheme="minorHAnsi" w:cstheme="minorHAnsi"/>
          <w:sz w:val="22"/>
          <w:szCs w:val="22"/>
        </w:rPr>
        <w:t>www.healthinfonet.ecu.edu.au/other-health-conditions/ear/reviews/our-</w:t>
      </w:r>
      <w:r>
        <w:rPr>
          <w:rFonts w:asciiTheme="minorHAnsi" w:hAnsiTheme="minorHAnsi" w:cstheme="minorHAnsi"/>
          <w:sz w:val="22"/>
          <w:szCs w:val="22"/>
        </w:rPr>
        <w:tab/>
      </w:r>
      <w:r w:rsidRPr="00D9647D">
        <w:rPr>
          <w:rFonts w:asciiTheme="minorHAnsi" w:hAnsiTheme="minorHAnsi" w:cstheme="minorHAnsi"/>
          <w:sz w:val="22"/>
          <w:szCs w:val="22"/>
        </w:rPr>
        <w:t>review&gt;</w:t>
      </w:r>
    </w:p>
    <w:sectPr w:rsidR="00D9647D" w:rsidRPr="00D9647D" w:rsidSect="00D9647D">
      <w:headerReference w:type="default" r:id="rId7"/>
      <w:footerReference w:type="default" r:id="rId8"/>
      <w:pgSz w:w="11906" w:h="16838"/>
      <w:pgMar w:top="1276"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E10BA" w14:textId="77777777" w:rsidR="00977F50" w:rsidRDefault="00977F50" w:rsidP="00D9647D">
      <w:pPr>
        <w:spacing w:after="0" w:line="240" w:lineRule="auto"/>
      </w:pPr>
      <w:r>
        <w:separator/>
      </w:r>
    </w:p>
  </w:endnote>
  <w:endnote w:type="continuationSeparator" w:id="0">
    <w:p w14:paraId="1B6E5F2D" w14:textId="77777777" w:rsidR="00977F50" w:rsidRDefault="00977F50" w:rsidP="00D96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9792598"/>
      <w:docPartObj>
        <w:docPartGallery w:val="Page Numbers (Bottom of Page)"/>
        <w:docPartUnique/>
      </w:docPartObj>
    </w:sdtPr>
    <w:sdtEndPr>
      <w:rPr>
        <w:color w:val="7F7F7F" w:themeColor="background1" w:themeShade="7F"/>
        <w:spacing w:val="60"/>
      </w:rPr>
    </w:sdtEndPr>
    <w:sdtContent>
      <w:p w14:paraId="0B1AAA2C" w14:textId="0C55324D" w:rsidR="00D9647D" w:rsidRDefault="00D964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820225" w14:textId="5636E4CA" w:rsidR="00D9647D" w:rsidRDefault="00D9647D">
    <w:pPr>
      <w:pStyle w:val="Footer"/>
    </w:pPr>
    <w:r>
      <w:t>EST303, Discussion Board Posts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D6359" w14:textId="77777777" w:rsidR="00977F50" w:rsidRDefault="00977F50" w:rsidP="00D9647D">
      <w:pPr>
        <w:spacing w:after="0" w:line="240" w:lineRule="auto"/>
      </w:pPr>
      <w:r>
        <w:separator/>
      </w:r>
    </w:p>
  </w:footnote>
  <w:footnote w:type="continuationSeparator" w:id="0">
    <w:p w14:paraId="5CD46735" w14:textId="77777777" w:rsidR="00977F50" w:rsidRDefault="00977F50" w:rsidP="00D96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5FD8F" w14:textId="147440C3" w:rsidR="00D9647D" w:rsidRDefault="00D9647D">
    <w:pPr>
      <w:pStyle w:val="Header"/>
    </w:pPr>
    <w:bookmarkStart w:id="0" w:name="_Hlk21860553"/>
    <w:bookmarkStart w:id="1" w:name="_Hlk21860552"/>
    <w:bookmarkStart w:id="2" w:name="_Hlk48379642"/>
    <w:bookmarkStart w:id="3" w:name="_Hlk48379643"/>
    <w:r>
      <w:br/>
      <w:t>Taylor McCormack. S300316</w:t>
    </w:r>
    <w:r>
      <w:tab/>
    </w:r>
    <w:r>
      <w:tab/>
    </w:r>
    <w:bookmarkEnd w:id="0"/>
    <w:bookmarkEnd w:id="1"/>
    <w:r>
      <w:t xml:space="preserve">23/11/2020 </w:t>
    </w:r>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4F49"/>
    <w:multiLevelType w:val="multilevel"/>
    <w:tmpl w:val="EE9A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82E65"/>
    <w:multiLevelType w:val="hybridMultilevel"/>
    <w:tmpl w:val="149CF3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61"/>
    <w:rsid w:val="001357A5"/>
    <w:rsid w:val="001A0F61"/>
    <w:rsid w:val="00413479"/>
    <w:rsid w:val="00543CB3"/>
    <w:rsid w:val="00546428"/>
    <w:rsid w:val="00567D01"/>
    <w:rsid w:val="005978D2"/>
    <w:rsid w:val="005E04F9"/>
    <w:rsid w:val="00680779"/>
    <w:rsid w:val="00833E7E"/>
    <w:rsid w:val="0085275E"/>
    <w:rsid w:val="008E5447"/>
    <w:rsid w:val="0094559D"/>
    <w:rsid w:val="00965E2E"/>
    <w:rsid w:val="00977F50"/>
    <w:rsid w:val="00B30424"/>
    <w:rsid w:val="00B842D9"/>
    <w:rsid w:val="00BF70CD"/>
    <w:rsid w:val="00C86FC1"/>
    <w:rsid w:val="00D9647D"/>
    <w:rsid w:val="00DA2E9A"/>
    <w:rsid w:val="00DB3861"/>
    <w:rsid w:val="00DD2E85"/>
    <w:rsid w:val="00E001DA"/>
    <w:rsid w:val="00EC56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E966"/>
  <w15:chartTrackingRefBased/>
  <w15:docId w15:val="{51FC7100-D74A-4A76-AA70-B3950243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6FC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C86FC1"/>
    <w:rPr>
      <w:i/>
      <w:iCs/>
    </w:rPr>
  </w:style>
  <w:style w:type="paragraph" w:styleId="ListParagraph">
    <w:name w:val="List Paragraph"/>
    <w:basedOn w:val="Normal"/>
    <w:uiPriority w:val="34"/>
    <w:qFormat/>
    <w:rsid w:val="00B30424"/>
    <w:pPr>
      <w:ind w:left="720"/>
      <w:contextualSpacing/>
    </w:pPr>
  </w:style>
  <w:style w:type="character" w:customStyle="1" w:styleId="last-name">
    <w:name w:val="last-name"/>
    <w:basedOn w:val="DefaultParagraphFont"/>
    <w:rsid w:val="00E001DA"/>
  </w:style>
  <w:style w:type="character" w:customStyle="1" w:styleId="nlmyear">
    <w:name w:val="nlm_year"/>
    <w:basedOn w:val="DefaultParagraphFont"/>
    <w:rsid w:val="00B842D9"/>
  </w:style>
  <w:style w:type="character" w:customStyle="1" w:styleId="nlmarticle-title">
    <w:name w:val="nlm_article-title"/>
    <w:basedOn w:val="DefaultParagraphFont"/>
    <w:rsid w:val="00B842D9"/>
  </w:style>
  <w:style w:type="character" w:customStyle="1" w:styleId="nlmfpage">
    <w:name w:val="nlm_fpage"/>
    <w:basedOn w:val="DefaultParagraphFont"/>
    <w:rsid w:val="00B842D9"/>
  </w:style>
  <w:style w:type="character" w:styleId="Hyperlink">
    <w:name w:val="Hyperlink"/>
    <w:basedOn w:val="DefaultParagraphFont"/>
    <w:uiPriority w:val="99"/>
    <w:unhideWhenUsed/>
    <w:rsid w:val="00DA2E9A"/>
    <w:rPr>
      <w:color w:val="0000FF"/>
      <w:u w:val="single"/>
    </w:rPr>
  </w:style>
  <w:style w:type="paragraph" w:styleId="z-TopofForm">
    <w:name w:val="HTML Top of Form"/>
    <w:basedOn w:val="Normal"/>
    <w:next w:val="Normal"/>
    <w:link w:val="z-TopofFormChar"/>
    <w:hidden/>
    <w:uiPriority w:val="99"/>
    <w:semiHidden/>
    <w:unhideWhenUsed/>
    <w:rsid w:val="00DA2E9A"/>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DA2E9A"/>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A2E9A"/>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DA2E9A"/>
    <w:rPr>
      <w:rFonts w:ascii="Arial" w:eastAsia="Times New Roman" w:hAnsi="Arial" w:cs="Arial"/>
      <w:vanish/>
      <w:sz w:val="16"/>
      <w:szCs w:val="16"/>
      <w:lang w:eastAsia="en-AU"/>
    </w:rPr>
  </w:style>
  <w:style w:type="paragraph" w:customStyle="1" w:styleId="box-title-primary">
    <w:name w:val="box-title-primary"/>
    <w:basedOn w:val="Normal"/>
    <w:rsid w:val="00DD2E8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D2E85"/>
    <w:rPr>
      <w:b/>
      <w:bCs/>
    </w:rPr>
  </w:style>
  <w:style w:type="paragraph" w:styleId="Header">
    <w:name w:val="header"/>
    <w:basedOn w:val="Normal"/>
    <w:link w:val="HeaderChar"/>
    <w:uiPriority w:val="99"/>
    <w:unhideWhenUsed/>
    <w:rsid w:val="00D96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47D"/>
  </w:style>
  <w:style w:type="paragraph" w:styleId="Footer">
    <w:name w:val="footer"/>
    <w:basedOn w:val="Normal"/>
    <w:link w:val="FooterChar"/>
    <w:uiPriority w:val="99"/>
    <w:unhideWhenUsed/>
    <w:rsid w:val="00D96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47D"/>
  </w:style>
  <w:style w:type="character" w:styleId="UnresolvedMention">
    <w:name w:val="Unresolved Mention"/>
    <w:basedOn w:val="DefaultParagraphFont"/>
    <w:uiPriority w:val="99"/>
    <w:semiHidden/>
    <w:unhideWhenUsed/>
    <w:rsid w:val="00D96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118232">
      <w:bodyDiv w:val="1"/>
      <w:marLeft w:val="0"/>
      <w:marRight w:val="0"/>
      <w:marTop w:val="0"/>
      <w:marBottom w:val="0"/>
      <w:divBdr>
        <w:top w:val="none" w:sz="0" w:space="0" w:color="auto"/>
        <w:left w:val="none" w:sz="0" w:space="0" w:color="auto"/>
        <w:bottom w:val="none" w:sz="0" w:space="0" w:color="auto"/>
        <w:right w:val="none" w:sz="0" w:space="0" w:color="auto"/>
      </w:divBdr>
      <w:divsChild>
        <w:div w:id="346760188">
          <w:marLeft w:val="0"/>
          <w:marRight w:val="0"/>
          <w:marTop w:val="0"/>
          <w:marBottom w:val="0"/>
          <w:divBdr>
            <w:top w:val="none" w:sz="0" w:space="0" w:color="auto"/>
            <w:left w:val="none" w:sz="0" w:space="0" w:color="auto"/>
            <w:bottom w:val="none" w:sz="0" w:space="0" w:color="auto"/>
            <w:right w:val="none" w:sz="0" w:space="0" w:color="auto"/>
          </w:divBdr>
          <w:divsChild>
            <w:div w:id="21391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479">
      <w:bodyDiv w:val="1"/>
      <w:marLeft w:val="0"/>
      <w:marRight w:val="0"/>
      <w:marTop w:val="0"/>
      <w:marBottom w:val="0"/>
      <w:divBdr>
        <w:top w:val="none" w:sz="0" w:space="0" w:color="auto"/>
        <w:left w:val="none" w:sz="0" w:space="0" w:color="auto"/>
        <w:bottom w:val="none" w:sz="0" w:space="0" w:color="auto"/>
        <w:right w:val="none" w:sz="0" w:space="0" w:color="auto"/>
      </w:divBdr>
    </w:div>
    <w:div w:id="456607030">
      <w:bodyDiv w:val="1"/>
      <w:marLeft w:val="0"/>
      <w:marRight w:val="0"/>
      <w:marTop w:val="0"/>
      <w:marBottom w:val="0"/>
      <w:divBdr>
        <w:top w:val="none" w:sz="0" w:space="0" w:color="auto"/>
        <w:left w:val="none" w:sz="0" w:space="0" w:color="auto"/>
        <w:bottom w:val="none" w:sz="0" w:space="0" w:color="auto"/>
        <w:right w:val="none" w:sz="0" w:space="0" w:color="auto"/>
      </w:divBdr>
    </w:div>
    <w:div w:id="785274742">
      <w:bodyDiv w:val="1"/>
      <w:marLeft w:val="0"/>
      <w:marRight w:val="0"/>
      <w:marTop w:val="0"/>
      <w:marBottom w:val="0"/>
      <w:divBdr>
        <w:top w:val="none" w:sz="0" w:space="0" w:color="auto"/>
        <w:left w:val="none" w:sz="0" w:space="0" w:color="auto"/>
        <w:bottom w:val="none" w:sz="0" w:space="0" w:color="auto"/>
        <w:right w:val="none" w:sz="0" w:space="0" w:color="auto"/>
      </w:divBdr>
      <w:divsChild>
        <w:div w:id="1152939791">
          <w:marLeft w:val="0"/>
          <w:marRight w:val="0"/>
          <w:marTop w:val="0"/>
          <w:marBottom w:val="0"/>
          <w:divBdr>
            <w:top w:val="none" w:sz="0" w:space="0" w:color="auto"/>
            <w:left w:val="none" w:sz="0" w:space="0" w:color="auto"/>
            <w:bottom w:val="none" w:sz="0" w:space="0" w:color="auto"/>
            <w:right w:val="none" w:sz="0" w:space="0" w:color="auto"/>
          </w:divBdr>
          <w:divsChild>
            <w:div w:id="17704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2322">
      <w:bodyDiv w:val="1"/>
      <w:marLeft w:val="0"/>
      <w:marRight w:val="0"/>
      <w:marTop w:val="0"/>
      <w:marBottom w:val="0"/>
      <w:divBdr>
        <w:top w:val="none" w:sz="0" w:space="0" w:color="auto"/>
        <w:left w:val="none" w:sz="0" w:space="0" w:color="auto"/>
        <w:bottom w:val="none" w:sz="0" w:space="0" w:color="auto"/>
        <w:right w:val="none" w:sz="0" w:space="0" w:color="auto"/>
      </w:divBdr>
      <w:divsChild>
        <w:div w:id="170727330">
          <w:marLeft w:val="0"/>
          <w:marRight w:val="0"/>
          <w:marTop w:val="0"/>
          <w:marBottom w:val="0"/>
          <w:divBdr>
            <w:top w:val="none" w:sz="0" w:space="0" w:color="auto"/>
            <w:left w:val="none" w:sz="0" w:space="0" w:color="auto"/>
            <w:bottom w:val="none" w:sz="0" w:space="0" w:color="auto"/>
            <w:right w:val="none" w:sz="0" w:space="0" w:color="auto"/>
          </w:divBdr>
          <w:divsChild>
            <w:div w:id="11334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1038">
      <w:bodyDiv w:val="1"/>
      <w:marLeft w:val="0"/>
      <w:marRight w:val="0"/>
      <w:marTop w:val="0"/>
      <w:marBottom w:val="0"/>
      <w:divBdr>
        <w:top w:val="none" w:sz="0" w:space="0" w:color="auto"/>
        <w:left w:val="none" w:sz="0" w:space="0" w:color="auto"/>
        <w:bottom w:val="none" w:sz="0" w:space="0" w:color="auto"/>
        <w:right w:val="none" w:sz="0" w:space="0" w:color="auto"/>
      </w:divBdr>
    </w:div>
    <w:div w:id="1142576047">
      <w:bodyDiv w:val="1"/>
      <w:marLeft w:val="0"/>
      <w:marRight w:val="0"/>
      <w:marTop w:val="0"/>
      <w:marBottom w:val="0"/>
      <w:divBdr>
        <w:top w:val="none" w:sz="0" w:space="0" w:color="auto"/>
        <w:left w:val="none" w:sz="0" w:space="0" w:color="auto"/>
        <w:bottom w:val="none" w:sz="0" w:space="0" w:color="auto"/>
        <w:right w:val="none" w:sz="0" w:space="0" w:color="auto"/>
      </w:divBdr>
      <w:divsChild>
        <w:div w:id="1334529574">
          <w:marLeft w:val="0"/>
          <w:marRight w:val="0"/>
          <w:marTop w:val="0"/>
          <w:marBottom w:val="0"/>
          <w:divBdr>
            <w:top w:val="none" w:sz="0" w:space="0" w:color="auto"/>
            <w:left w:val="none" w:sz="0" w:space="0" w:color="auto"/>
            <w:bottom w:val="none" w:sz="0" w:space="0" w:color="auto"/>
            <w:right w:val="none" w:sz="0" w:space="0" w:color="auto"/>
          </w:divBdr>
          <w:divsChild>
            <w:div w:id="1847743089">
              <w:marLeft w:val="0"/>
              <w:marRight w:val="0"/>
              <w:marTop w:val="0"/>
              <w:marBottom w:val="0"/>
              <w:divBdr>
                <w:top w:val="none" w:sz="0" w:space="0" w:color="auto"/>
                <w:left w:val="none" w:sz="0" w:space="0" w:color="auto"/>
                <w:bottom w:val="none" w:sz="0" w:space="0" w:color="auto"/>
                <w:right w:val="none" w:sz="0" w:space="0" w:color="auto"/>
              </w:divBdr>
            </w:div>
          </w:divsChild>
        </w:div>
        <w:div w:id="703286856">
          <w:marLeft w:val="0"/>
          <w:marRight w:val="0"/>
          <w:marTop w:val="0"/>
          <w:marBottom w:val="0"/>
          <w:divBdr>
            <w:top w:val="none" w:sz="0" w:space="0" w:color="auto"/>
            <w:left w:val="none" w:sz="0" w:space="0" w:color="auto"/>
            <w:bottom w:val="none" w:sz="0" w:space="0" w:color="auto"/>
            <w:right w:val="none" w:sz="0" w:space="0" w:color="auto"/>
          </w:divBdr>
          <w:divsChild>
            <w:div w:id="2141806032">
              <w:marLeft w:val="0"/>
              <w:marRight w:val="0"/>
              <w:marTop w:val="0"/>
              <w:marBottom w:val="0"/>
              <w:divBdr>
                <w:top w:val="none" w:sz="0" w:space="0" w:color="auto"/>
                <w:left w:val="none" w:sz="0" w:space="0" w:color="auto"/>
                <w:bottom w:val="none" w:sz="0" w:space="0" w:color="auto"/>
                <w:right w:val="none" w:sz="0" w:space="0" w:color="auto"/>
              </w:divBdr>
              <w:divsChild>
                <w:div w:id="1618366830">
                  <w:marLeft w:val="0"/>
                  <w:marRight w:val="0"/>
                  <w:marTop w:val="0"/>
                  <w:marBottom w:val="0"/>
                  <w:divBdr>
                    <w:top w:val="none" w:sz="0" w:space="0" w:color="auto"/>
                    <w:left w:val="none" w:sz="0" w:space="0" w:color="auto"/>
                    <w:bottom w:val="none" w:sz="0" w:space="0" w:color="auto"/>
                    <w:right w:val="none" w:sz="0" w:space="0" w:color="auto"/>
                  </w:divBdr>
                  <w:divsChild>
                    <w:div w:id="8342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744981">
      <w:bodyDiv w:val="1"/>
      <w:marLeft w:val="0"/>
      <w:marRight w:val="0"/>
      <w:marTop w:val="0"/>
      <w:marBottom w:val="0"/>
      <w:divBdr>
        <w:top w:val="none" w:sz="0" w:space="0" w:color="auto"/>
        <w:left w:val="none" w:sz="0" w:space="0" w:color="auto"/>
        <w:bottom w:val="none" w:sz="0" w:space="0" w:color="auto"/>
        <w:right w:val="none" w:sz="0" w:space="0" w:color="auto"/>
      </w:divBdr>
    </w:div>
    <w:div w:id="1667395074">
      <w:bodyDiv w:val="1"/>
      <w:marLeft w:val="0"/>
      <w:marRight w:val="0"/>
      <w:marTop w:val="0"/>
      <w:marBottom w:val="0"/>
      <w:divBdr>
        <w:top w:val="none" w:sz="0" w:space="0" w:color="auto"/>
        <w:left w:val="none" w:sz="0" w:space="0" w:color="auto"/>
        <w:bottom w:val="none" w:sz="0" w:space="0" w:color="auto"/>
        <w:right w:val="none" w:sz="0" w:space="0" w:color="auto"/>
      </w:divBdr>
      <w:divsChild>
        <w:div w:id="1789468390">
          <w:marLeft w:val="0"/>
          <w:marRight w:val="0"/>
          <w:marTop w:val="0"/>
          <w:marBottom w:val="0"/>
          <w:divBdr>
            <w:top w:val="none" w:sz="0" w:space="0" w:color="auto"/>
            <w:left w:val="none" w:sz="0" w:space="0" w:color="auto"/>
            <w:bottom w:val="none" w:sz="0" w:space="0" w:color="auto"/>
            <w:right w:val="none" w:sz="0" w:space="0" w:color="auto"/>
          </w:divBdr>
        </w:div>
      </w:divsChild>
    </w:div>
    <w:div w:id="1759789566">
      <w:bodyDiv w:val="1"/>
      <w:marLeft w:val="0"/>
      <w:marRight w:val="0"/>
      <w:marTop w:val="0"/>
      <w:marBottom w:val="0"/>
      <w:divBdr>
        <w:top w:val="none" w:sz="0" w:space="0" w:color="auto"/>
        <w:left w:val="none" w:sz="0" w:space="0" w:color="auto"/>
        <w:bottom w:val="none" w:sz="0" w:space="0" w:color="auto"/>
        <w:right w:val="none" w:sz="0" w:space="0" w:color="auto"/>
      </w:divBdr>
    </w:div>
    <w:div w:id="191354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4705</TotalTime>
  <Pages>5</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SHBuild Brendon</dc:creator>
  <cp:keywords/>
  <dc:description/>
  <cp:lastModifiedBy>SHBuild Brendon</cp:lastModifiedBy>
  <cp:revision>4</cp:revision>
  <dcterms:created xsi:type="dcterms:W3CDTF">2020-11-11T06:09:00Z</dcterms:created>
  <dcterms:modified xsi:type="dcterms:W3CDTF">2021-01-03T11:35:00Z</dcterms:modified>
</cp:coreProperties>
</file>