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EF21F" w14:textId="2B4C60BB" w:rsidR="008C0A10" w:rsidRDefault="008C0A10" w:rsidP="008C0A10">
      <w:pPr>
        <w:pStyle w:val="Heading2"/>
      </w:pPr>
      <w:r>
        <w:t xml:space="preserve">An overview of </w:t>
      </w:r>
      <w:r w:rsidR="001A6592">
        <w:t>21</w:t>
      </w:r>
      <w:r w:rsidR="001A6592" w:rsidRPr="001A6592">
        <w:rPr>
          <w:vertAlign w:val="superscript"/>
        </w:rPr>
        <w:t>st</w:t>
      </w:r>
      <w:r w:rsidR="001A6592">
        <w:t xml:space="preserve"> Century Learners</w:t>
      </w:r>
      <w:r w:rsidR="00043E74">
        <w:t xml:space="preserve"> </w:t>
      </w:r>
      <w:bookmarkStart w:id="0" w:name="_GoBack"/>
      <w:bookmarkEnd w:id="0"/>
    </w:p>
    <w:p w14:paraId="704DCCA3" w14:textId="7FC332C0" w:rsidR="00E94782" w:rsidRPr="003D7EA2" w:rsidRDefault="00A74BDF" w:rsidP="00A74BDF">
      <w:pPr>
        <w:spacing w:line="360" w:lineRule="auto"/>
        <w:rPr>
          <w:rFonts w:cstheme="minorHAnsi"/>
          <w:sz w:val="24"/>
          <w:szCs w:val="24"/>
        </w:rPr>
      </w:pPr>
      <w:r w:rsidRPr="003D7EA2">
        <w:rPr>
          <w:rFonts w:cstheme="minorHAnsi"/>
          <w:sz w:val="24"/>
          <w:szCs w:val="24"/>
        </w:rPr>
        <w:t>In contemporary society many teachers have and continue to adapt to the unique</w:t>
      </w:r>
      <w:r w:rsidR="0074688B" w:rsidRPr="003D7EA2">
        <w:rPr>
          <w:rFonts w:cstheme="minorHAnsi"/>
          <w:sz w:val="24"/>
          <w:szCs w:val="24"/>
        </w:rPr>
        <w:t xml:space="preserve"> </w:t>
      </w:r>
      <w:r w:rsidR="00C50AA0" w:rsidRPr="003D7EA2">
        <w:rPr>
          <w:rFonts w:cstheme="minorHAnsi"/>
          <w:sz w:val="24"/>
          <w:szCs w:val="24"/>
        </w:rPr>
        <w:t>characteristics</w:t>
      </w:r>
      <w:r w:rsidR="000626D2" w:rsidRPr="003D7EA2">
        <w:rPr>
          <w:rFonts w:cstheme="minorHAnsi"/>
          <w:sz w:val="24"/>
          <w:szCs w:val="24"/>
        </w:rPr>
        <w:t xml:space="preserve"> of teaching </w:t>
      </w:r>
      <w:r w:rsidR="00C50AA0" w:rsidRPr="003D7EA2">
        <w:rPr>
          <w:rFonts w:cstheme="minorHAnsi"/>
          <w:sz w:val="24"/>
          <w:szCs w:val="24"/>
        </w:rPr>
        <w:t>contemporary learners. Although</w:t>
      </w:r>
      <w:r w:rsidR="004E285B" w:rsidRPr="003D7EA2">
        <w:rPr>
          <w:rFonts w:cstheme="minorHAnsi"/>
          <w:sz w:val="24"/>
          <w:szCs w:val="24"/>
        </w:rPr>
        <w:t xml:space="preserve">, this has proved to be a positive for the very nature of education professionals, </w:t>
      </w:r>
      <w:r w:rsidR="00DD0027" w:rsidRPr="003D7EA2">
        <w:rPr>
          <w:rFonts w:cstheme="minorHAnsi"/>
          <w:sz w:val="24"/>
          <w:szCs w:val="24"/>
        </w:rPr>
        <w:t>better understanding of 21</w:t>
      </w:r>
      <w:r w:rsidR="00DD0027" w:rsidRPr="003D7EA2">
        <w:rPr>
          <w:rFonts w:cstheme="minorHAnsi"/>
          <w:sz w:val="24"/>
          <w:szCs w:val="24"/>
          <w:vertAlign w:val="superscript"/>
        </w:rPr>
        <w:t>st</w:t>
      </w:r>
      <w:r w:rsidR="00DD0027" w:rsidRPr="003D7EA2">
        <w:rPr>
          <w:rFonts w:cstheme="minorHAnsi"/>
          <w:sz w:val="24"/>
          <w:szCs w:val="24"/>
        </w:rPr>
        <w:t xml:space="preserve"> century learners will confidently enable teachers to </w:t>
      </w:r>
      <w:r w:rsidR="009F04B4" w:rsidRPr="003D7EA2">
        <w:rPr>
          <w:rFonts w:cstheme="minorHAnsi"/>
          <w:sz w:val="24"/>
          <w:szCs w:val="24"/>
        </w:rPr>
        <w:t xml:space="preserve">pursue and integrate the necessary fundamentals of how to appropriately </w:t>
      </w:r>
      <w:r w:rsidR="007E78A2" w:rsidRPr="003D7EA2">
        <w:rPr>
          <w:rFonts w:cstheme="minorHAnsi"/>
          <w:sz w:val="24"/>
          <w:szCs w:val="24"/>
        </w:rPr>
        <w:t>implement relevant teaching strategies for 21</w:t>
      </w:r>
      <w:r w:rsidR="007E78A2" w:rsidRPr="003D7EA2">
        <w:rPr>
          <w:rFonts w:cstheme="minorHAnsi"/>
          <w:sz w:val="24"/>
          <w:szCs w:val="24"/>
          <w:vertAlign w:val="superscript"/>
        </w:rPr>
        <w:t>st</w:t>
      </w:r>
      <w:r w:rsidR="007E78A2" w:rsidRPr="003D7EA2">
        <w:rPr>
          <w:rFonts w:cstheme="minorHAnsi"/>
          <w:sz w:val="24"/>
          <w:szCs w:val="24"/>
        </w:rPr>
        <w:t xml:space="preserve"> century learners. </w:t>
      </w:r>
      <w:r w:rsidR="000D15ED" w:rsidRPr="003D7EA2">
        <w:rPr>
          <w:rFonts w:cstheme="minorHAnsi"/>
          <w:sz w:val="24"/>
          <w:szCs w:val="24"/>
        </w:rPr>
        <w:t xml:space="preserve">First and foremost, </w:t>
      </w:r>
      <w:r w:rsidR="005605A0" w:rsidRPr="003D7EA2">
        <w:rPr>
          <w:rFonts w:cstheme="minorHAnsi"/>
          <w:sz w:val="24"/>
          <w:szCs w:val="24"/>
        </w:rPr>
        <w:t>understanding</w:t>
      </w:r>
      <w:r w:rsidR="000D15ED" w:rsidRPr="003D7EA2">
        <w:rPr>
          <w:rFonts w:cstheme="minorHAnsi"/>
          <w:sz w:val="24"/>
          <w:szCs w:val="24"/>
        </w:rPr>
        <w:t xml:space="preserve"> as well as enabling creativity within the classroom it a necessary fundamental to </w:t>
      </w:r>
      <w:r w:rsidR="005605A0" w:rsidRPr="003D7EA2">
        <w:rPr>
          <w:rFonts w:cstheme="minorHAnsi"/>
          <w:sz w:val="24"/>
          <w:szCs w:val="24"/>
        </w:rPr>
        <w:t>provide to 21</w:t>
      </w:r>
      <w:r w:rsidR="005605A0" w:rsidRPr="003D7EA2">
        <w:rPr>
          <w:rFonts w:cstheme="minorHAnsi"/>
          <w:sz w:val="24"/>
          <w:szCs w:val="24"/>
          <w:vertAlign w:val="superscript"/>
        </w:rPr>
        <w:t>st</w:t>
      </w:r>
      <w:r w:rsidR="005605A0" w:rsidRPr="003D7EA2">
        <w:rPr>
          <w:rFonts w:cstheme="minorHAnsi"/>
          <w:sz w:val="24"/>
          <w:szCs w:val="24"/>
        </w:rPr>
        <w:t xml:space="preserve"> century learners. “</w:t>
      </w:r>
      <w:r w:rsidR="00381220" w:rsidRPr="003D7EA2">
        <w:rPr>
          <w:rFonts w:cstheme="minorHAnsi"/>
          <w:sz w:val="24"/>
          <w:szCs w:val="24"/>
        </w:rPr>
        <w:t>Creativity has been regarded as one of the crucial skills in the toolkit of the 21st century learner and indeed key to effective learning in higher education and beyond” (</w:t>
      </w:r>
      <w:r w:rsidR="00FF00E4" w:rsidRPr="003D7EA2">
        <w:rPr>
          <w:rFonts w:cstheme="minorHAnsi"/>
          <w:sz w:val="24"/>
          <w:szCs w:val="24"/>
        </w:rPr>
        <w:t xml:space="preserve">Jahnke, Haetel, &amp; Wildt, 2015; </w:t>
      </w:r>
      <w:r w:rsidR="00CD2645" w:rsidRPr="003D7EA2">
        <w:rPr>
          <w:rFonts w:cstheme="minorHAnsi"/>
          <w:sz w:val="24"/>
          <w:szCs w:val="24"/>
        </w:rPr>
        <w:t xml:space="preserve">Nissim, Weissbllueth, Scott-Webber, &amp; Amar, 2016; </w:t>
      </w:r>
      <w:r w:rsidR="006D60D2" w:rsidRPr="003D7EA2">
        <w:rPr>
          <w:rFonts w:cstheme="minorHAnsi"/>
          <w:sz w:val="24"/>
          <w:szCs w:val="24"/>
        </w:rPr>
        <w:t>Ram</w:t>
      </w:r>
      <w:r w:rsidR="006D37E0">
        <w:rPr>
          <w:rFonts w:cstheme="minorHAnsi"/>
          <w:sz w:val="24"/>
          <w:szCs w:val="24"/>
        </w:rPr>
        <w:t xml:space="preserve"> </w:t>
      </w:r>
      <w:proofErr w:type="spellStart"/>
      <w:r w:rsidR="006D60D2" w:rsidRPr="003D7EA2">
        <w:rPr>
          <w:rFonts w:cstheme="minorHAnsi"/>
          <w:sz w:val="24"/>
          <w:szCs w:val="24"/>
        </w:rPr>
        <w:t>persad</w:t>
      </w:r>
      <w:proofErr w:type="spellEnd"/>
      <w:r w:rsidR="006D60D2" w:rsidRPr="003D7EA2">
        <w:rPr>
          <w:rFonts w:cstheme="minorHAnsi"/>
          <w:sz w:val="24"/>
          <w:szCs w:val="24"/>
        </w:rPr>
        <w:t xml:space="preserve">, &amp; Patel 2014; as cited in, </w:t>
      </w:r>
      <w:r w:rsidR="00142030" w:rsidRPr="003D7EA2">
        <w:rPr>
          <w:rFonts w:cstheme="minorHAnsi"/>
          <w:sz w:val="24"/>
          <w:szCs w:val="24"/>
        </w:rPr>
        <w:t>Egan, Maguire, Christophers, &amp;</w:t>
      </w:r>
      <w:r w:rsidR="00035AB0" w:rsidRPr="003D7EA2">
        <w:rPr>
          <w:rFonts w:cstheme="minorHAnsi"/>
          <w:sz w:val="24"/>
          <w:szCs w:val="24"/>
        </w:rPr>
        <w:t xml:space="preserve"> Rooney, 2017). </w:t>
      </w:r>
      <w:r w:rsidR="00930163" w:rsidRPr="003D7EA2">
        <w:rPr>
          <w:rFonts w:cstheme="minorHAnsi"/>
          <w:sz w:val="24"/>
          <w:szCs w:val="24"/>
        </w:rPr>
        <w:t>Furthermore, creative concept has been a key factor into the education of</w:t>
      </w:r>
      <w:r w:rsidR="006F586F">
        <w:rPr>
          <w:rFonts w:cstheme="minorHAnsi"/>
          <w:sz w:val="24"/>
          <w:szCs w:val="24"/>
        </w:rPr>
        <w:t xml:space="preserve"> 21</w:t>
      </w:r>
      <w:r w:rsidR="006F586F" w:rsidRPr="006F586F">
        <w:rPr>
          <w:rFonts w:cstheme="minorHAnsi"/>
          <w:sz w:val="24"/>
          <w:szCs w:val="24"/>
          <w:vertAlign w:val="superscript"/>
        </w:rPr>
        <w:t>st</w:t>
      </w:r>
      <w:r w:rsidR="006F586F">
        <w:rPr>
          <w:rFonts w:cstheme="minorHAnsi"/>
          <w:sz w:val="24"/>
          <w:szCs w:val="24"/>
        </w:rPr>
        <w:t xml:space="preserve"> century</w:t>
      </w:r>
      <w:r w:rsidR="00930163" w:rsidRPr="003D7EA2">
        <w:rPr>
          <w:rFonts w:cstheme="minorHAnsi"/>
          <w:sz w:val="24"/>
          <w:szCs w:val="24"/>
        </w:rPr>
        <w:t xml:space="preserve"> learners, </w:t>
      </w:r>
      <w:r w:rsidR="004A5471" w:rsidRPr="003D7EA2">
        <w:rPr>
          <w:rFonts w:cstheme="minorHAnsi"/>
          <w:sz w:val="24"/>
          <w:szCs w:val="24"/>
        </w:rPr>
        <w:t>particularly within a contemporary context. Although</w:t>
      </w:r>
      <w:r w:rsidR="0075682F" w:rsidRPr="003D7EA2">
        <w:rPr>
          <w:rFonts w:cstheme="minorHAnsi"/>
          <w:sz w:val="24"/>
          <w:szCs w:val="24"/>
        </w:rPr>
        <w:t xml:space="preserve"> this may be</w:t>
      </w:r>
      <w:r w:rsidR="008E4A06" w:rsidRPr="003D7EA2">
        <w:rPr>
          <w:rFonts w:cstheme="minorHAnsi"/>
          <w:sz w:val="24"/>
          <w:szCs w:val="24"/>
        </w:rPr>
        <w:t>,</w:t>
      </w:r>
      <w:r w:rsidR="0075682F" w:rsidRPr="003D7EA2">
        <w:rPr>
          <w:rFonts w:cstheme="minorHAnsi"/>
          <w:sz w:val="24"/>
          <w:szCs w:val="24"/>
        </w:rPr>
        <w:t xml:space="preserve"> within the realm of teaching 21</w:t>
      </w:r>
      <w:r w:rsidR="0075682F" w:rsidRPr="003D7EA2">
        <w:rPr>
          <w:rFonts w:cstheme="minorHAnsi"/>
          <w:sz w:val="24"/>
          <w:szCs w:val="24"/>
          <w:vertAlign w:val="superscript"/>
        </w:rPr>
        <w:t>st</w:t>
      </w:r>
      <w:r w:rsidR="0075682F" w:rsidRPr="003D7EA2">
        <w:rPr>
          <w:rFonts w:cstheme="minorHAnsi"/>
          <w:sz w:val="24"/>
          <w:szCs w:val="24"/>
        </w:rPr>
        <w:t xml:space="preserve"> century </w:t>
      </w:r>
      <w:r w:rsidR="00342D6A">
        <w:rPr>
          <w:rFonts w:cstheme="minorHAnsi"/>
          <w:sz w:val="24"/>
          <w:szCs w:val="24"/>
        </w:rPr>
        <w:t>education</w:t>
      </w:r>
      <w:r w:rsidR="0075682F" w:rsidRPr="003D7EA2">
        <w:rPr>
          <w:rFonts w:cstheme="minorHAnsi"/>
          <w:sz w:val="24"/>
          <w:szCs w:val="24"/>
        </w:rPr>
        <w:t xml:space="preserve"> </w:t>
      </w:r>
      <w:r w:rsidR="008E4A06" w:rsidRPr="003D7EA2">
        <w:rPr>
          <w:rFonts w:cstheme="minorHAnsi"/>
          <w:sz w:val="24"/>
          <w:szCs w:val="24"/>
        </w:rPr>
        <w:t xml:space="preserve">the </w:t>
      </w:r>
      <w:r w:rsidR="008F7216" w:rsidRPr="003D7EA2">
        <w:rPr>
          <w:rFonts w:cstheme="minorHAnsi"/>
          <w:sz w:val="24"/>
          <w:szCs w:val="24"/>
        </w:rPr>
        <w:t xml:space="preserve">very idea of creativeness has </w:t>
      </w:r>
      <w:r w:rsidR="00AA33BB" w:rsidRPr="003D7EA2">
        <w:rPr>
          <w:rFonts w:cstheme="minorHAnsi"/>
          <w:sz w:val="24"/>
          <w:szCs w:val="24"/>
        </w:rPr>
        <w:t xml:space="preserve">and continues to become a forgotten notion. </w:t>
      </w:r>
      <w:r w:rsidR="00C66E10" w:rsidRPr="003D7EA2">
        <w:rPr>
          <w:rFonts w:cstheme="minorHAnsi"/>
          <w:sz w:val="24"/>
          <w:szCs w:val="24"/>
        </w:rPr>
        <w:t>“</w:t>
      </w:r>
      <w:r w:rsidR="00206D01" w:rsidRPr="003D7EA2">
        <w:rPr>
          <w:rFonts w:cstheme="minorHAnsi"/>
          <w:sz w:val="24"/>
          <w:szCs w:val="24"/>
        </w:rPr>
        <w:t xml:space="preserve">Creativity has been described as ‘maligned, neglected and misunderstood” </w:t>
      </w:r>
      <w:r w:rsidR="00B7070C" w:rsidRPr="003D7EA2">
        <w:rPr>
          <w:rFonts w:cstheme="minorHAnsi"/>
          <w:sz w:val="24"/>
          <w:szCs w:val="24"/>
        </w:rPr>
        <w:t>(</w:t>
      </w:r>
      <w:r w:rsidR="00831DD5" w:rsidRPr="003D7EA2">
        <w:rPr>
          <w:rFonts w:cstheme="minorHAnsi"/>
          <w:sz w:val="24"/>
          <w:szCs w:val="24"/>
        </w:rPr>
        <w:t xml:space="preserve">Azzam as cited in, </w:t>
      </w:r>
      <w:r w:rsidR="00B7070C" w:rsidRPr="003D7EA2">
        <w:rPr>
          <w:rFonts w:cstheme="minorHAnsi"/>
          <w:sz w:val="24"/>
          <w:szCs w:val="24"/>
        </w:rPr>
        <w:t>Egan et al., 2017). In brief, understanding and ackn</w:t>
      </w:r>
      <w:r w:rsidR="00A02454" w:rsidRPr="003D7EA2">
        <w:rPr>
          <w:rFonts w:cstheme="minorHAnsi"/>
          <w:sz w:val="24"/>
          <w:szCs w:val="24"/>
        </w:rPr>
        <w:t>owledging the creativeness of 21</w:t>
      </w:r>
      <w:r w:rsidR="00A02454" w:rsidRPr="003D7EA2">
        <w:rPr>
          <w:rFonts w:cstheme="minorHAnsi"/>
          <w:sz w:val="24"/>
          <w:szCs w:val="24"/>
          <w:vertAlign w:val="superscript"/>
        </w:rPr>
        <w:t>st</w:t>
      </w:r>
      <w:r w:rsidR="00A02454" w:rsidRPr="003D7EA2">
        <w:rPr>
          <w:rFonts w:cstheme="minorHAnsi"/>
          <w:sz w:val="24"/>
          <w:szCs w:val="24"/>
        </w:rPr>
        <w:t xml:space="preserve"> century student is and must be a crucial focal point for contemporary teachers. </w:t>
      </w:r>
    </w:p>
    <w:p w14:paraId="4DA0D942" w14:textId="1DA12B5E" w:rsidR="007F16B5" w:rsidRDefault="003A4DEF" w:rsidP="00A74BDF">
      <w:pPr>
        <w:spacing w:line="360" w:lineRule="auto"/>
        <w:rPr>
          <w:rFonts w:cstheme="minorHAnsi"/>
          <w:sz w:val="24"/>
          <w:szCs w:val="24"/>
        </w:rPr>
      </w:pPr>
      <w:r w:rsidRPr="003D7EA2">
        <w:rPr>
          <w:rFonts w:cstheme="minorHAnsi"/>
          <w:sz w:val="24"/>
          <w:szCs w:val="24"/>
        </w:rPr>
        <w:t>Moreover</w:t>
      </w:r>
      <w:r w:rsidR="000148EB" w:rsidRPr="003D7EA2">
        <w:rPr>
          <w:rFonts w:cstheme="minorHAnsi"/>
          <w:sz w:val="24"/>
          <w:szCs w:val="24"/>
        </w:rPr>
        <w:t xml:space="preserve">, </w:t>
      </w:r>
      <w:r w:rsidRPr="003D7EA2">
        <w:rPr>
          <w:rFonts w:cstheme="minorHAnsi"/>
          <w:sz w:val="24"/>
          <w:szCs w:val="24"/>
        </w:rPr>
        <w:t>strong</w:t>
      </w:r>
      <w:r w:rsidR="00EC2B39" w:rsidRPr="003D7EA2">
        <w:rPr>
          <w:rFonts w:cstheme="minorHAnsi"/>
          <w:sz w:val="24"/>
          <w:szCs w:val="24"/>
        </w:rPr>
        <w:t xml:space="preserve"> leadership is </w:t>
      </w:r>
      <w:r w:rsidR="00152DF4" w:rsidRPr="003D7EA2">
        <w:rPr>
          <w:rFonts w:cstheme="minorHAnsi"/>
          <w:sz w:val="24"/>
          <w:szCs w:val="24"/>
        </w:rPr>
        <w:t>an</w:t>
      </w:r>
      <w:r w:rsidR="00EC2B39" w:rsidRPr="003D7EA2">
        <w:rPr>
          <w:rFonts w:cstheme="minorHAnsi"/>
          <w:sz w:val="24"/>
          <w:szCs w:val="24"/>
        </w:rPr>
        <w:t xml:space="preserve"> integral aspect within the realm of teaching </w:t>
      </w:r>
      <w:r w:rsidRPr="003D7EA2">
        <w:rPr>
          <w:rFonts w:cstheme="minorHAnsi"/>
          <w:sz w:val="24"/>
          <w:szCs w:val="24"/>
        </w:rPr>
        <w:t>21</w:t>
      </w:r>
      <w:r w:rsidRPr="003D7EA2">
        <w:rPr>
          <w:rFonts w:cstheme="minorHAnsi"/>
          <w:sz w:val="24"/>
          <w:szCs w:val="24"/>
          <w:vertAlign w:val="superscript"/>
        </w:rPr>
        <w:t>st</w:t>
      </w:r>
      <w:r w:rsidRPr="003D7EA2">
        <w:rPr>
          <w:rFonts w:cstheme="minorHAnsi"/>
          <w:sz w:val="24"/>
          <w:szCs w:val="24"/>
        </w:rPr>
        <w:t xml:space="preserve"> century learners, however combined with effective pedagogical approaches </w:t>
      </w:r>
      <w:r w:rsidR="00120486" w:rsidRPr="003D7EA2">
        <w:rPr>
          <w:rFonts w:cstheme="minorHAnsi"/>
          <w:sz w:val="24"/>
          <w:szCs w:val="24"/>
        </w:rPr>
        <w:t xml:space="preserve">teachers should ultimately be enabled to </w:t>
      </w:r>
      <w:r w:rsidR="00035631" w:rsidRPr="003D7EA2">
        <w:rPr>
          <w:rFonts w:cstheme="minorHAnsi"/>
          <w:sz w:val="24"/>
          <w:szCs w:val="24"/>
        </w:rPr>
        <w:t xml:space="preserve">appropriately and accurately </w:t>
      </w:r>
      <w:r w:rsidR="00AA413A" w:rsidRPr="003D7EA2">
        <w:rPr>
          <w:rFonts w:cstheme="minorHAnsi"/>
          <w:sz w:val="24"/>
          <w:szCs w:val="24"/>
        </w:rPr>
        <w:t>enhance the learning of 21</w:t>
      </w:r>
      <w:r w:rsidR="00AA413A" w:rsidRPr="003D7EA2">
        <w:rPr>
          <w:rFonts w:cstheme="minorHAnsi"/>
          <w:sz w:val="24"/>
          <w:szCs w:val="24"/>
          <w:vertAlign w:val="superscript"/>
        </w:rPr>
        <w:t>st</w:t>
      </w:r>
      <w:r w:rsidR="00AA413A" w:rsidRPr="003D7EA2">
        <w:rPr>
          <w:rFonts w:cstheme="minorHAnsi"/>
          <w:sz w:val="24"/>
          <w:szCs w:val="24"/>
        </w:rPr>
        <w:t xml:space="preserve"> century students.</w:t>
      </w:r>
      <w:r w:rsidR="007F16B5" w:rsidRPr="003D7EA2">
        <w:rPr>
          <w:rFonts w:cstheme="minorHAnsi"/>
          <w:sz w:val="24"/>
          <w:szCs w:val="24"/>
        </w:rPr>
        <w:t xml:space="preserve"> In order to achieve this, teachers must </w:t>
      </w:r>
      <w:r w:rsidR="00D879FD" w:rsidRPr="003D7EA2">
        <w:rPr>
          <w:rFonts w:cstheme="minorHAnsi"/>
          <w:sz w:val="24"/>
          <w:szCs w:val="24"/>
        </w:rPr>
        <w:t>construct</w:t>
      </w:r>
      <w:r w:rsidR="007F16B5" w:rsidRPr="003D7EA2">
        <w:rPr>
          <w:rFonts w:cstheme="minorHAnsi"/>
          <w:sz w:val="24"/>
          <w:szCs w:val="24"/>
        </w:rPr>
        <w:t xml:space="preserve"> to pedagogical narratives which ultimately</w:t>
      </w:r>
      <w:r w:rsidR="00D879FD" w:rsidRPr="003D7EA2">
        <w:rPr>
          <w:rFonts w:cstheme="minorHAnsi"/>
          <w:sz w:val="24"/>
          <w:szCs w:val="24"/>
        </w:rPr>
        <w:t xml:space="preserve"> adhere to the nature of 21</w:t>
      </w:r>
      <w:r w:rsidR="00D879FD" w:rsidRPr="003D7EA2">
        <w:rPr>
          <w:rFonts w:cstheme="minorHAnsi"/>
          <w:sz w:val="24"/>
          <w:szCs w:val="24"/>
          <w:vertAlign w:val="superscript"/>
        </w:rPr>
        <w:t>st</w:t>
      </w:r>
      <w:r w:rsidR="00D879FD" w:rsidRPr="003D7EA2">
        <w:rPr>
          <w:rFonts w:cstheme="minorHAnsi"/>
          <w:sz w:val="24"/>
          <w:szCs w:val="24"/>
        </w:rPr>
        <w:t xml:space="preserve"> century learners</w:t>
      </w:r>
      <w:r w:rsidR="00015191" w:rsidRPr="003D7EA2">
        <w:rPr>
          <w:rFonts w:cstheme="minorHAnsi"/>
          <w:sz w:val="24"/>
          <w:szCs w:val="24"/>
        </w:rPr>
        <w:t>. “</w:t>
      </w:r>
      <w:r w:rsidR="007F16B5" w:rsidRPr="003D7EA2">
        <w:rPr>
          <w:rFonts w:cstheme="minorHAnsi"/>
          <w:sz w:val="24"/>
          <w:szCs w:val="24"/>
        </w:rPr>
        <w:t>The conventional assumption appears to be that if an educational organisation exists then the leaders within must subscribe to pedagogy and, therefore, are pedagogical leaders</w:t>
      </w:r>
      <w:r w:rsidR="003D7EA2">
        <w:rPr>
          <w:rFonts w:cstheme="minorHAnsi"/>
          <w:sz w:val="24"/>
          <w:szCs w:val="24"/>
        </w:rPr>
        <w:t xml:space="preserve">” </w:t>
      </w:r>
      <w:r w:rsidR="00361A04">
        <w:rPr>
          <w:rFonts w:cstheme="minorHAnsi"/>
          <w:sz w:val="24"/>
          <w:szCs w:val="24"/>
        </w:rPr>
        <w:t>(Male &amp; Palaiologou</w:t>
      </w:r>
      <w:r w:rsidR="00E712D9">
        <w:rPr>
          <w:rFonts w:cstheme="minorHAnsi"/>
          <w:sz w:val="24"/>
          <w:szCs w:val="24"/>
        </w:rPr>
        <w:t xml:space="preserve">, 2015). </w:t>
      </w:r>
      <w:r w:rsidR="00225666">
        <w:rPr>
          <w:rFonts w:cstheme="minorHAnsi"/>
          <w:sz w:val="24"/>
          <w:szCs w:val="24"/>
        </w:rPr>
        <w:t xml:space="preserve">Thus, the importance of </w:t>
      </w:r>
      <w:r w:rsidR="00EF342C">
        <w:rPr>
          <w:rFonts w:cstheme="minorHAnsi"/>
          <w:sz w:val="24"/>
          <w:szCs w:val="24"/>
        </w:rPr>
        <w:t>effective pedagogical approaches within a 21</w:t>
      </w:r>
      <w:r w:rsidR="00EF342C" w:rsidRPr="00EF342C">
        <w:rPr>
          <w:rFonts w:cstheme="minorHAnsi"/>
          <w:sz w:val="24"/>
          <w:szCs w:val="24"/>
          <w:vertAlign w:val="superscript"/>
        </w:rPr>
        <w:t>st</w:t>
      </w:r>
      <w:r w:rsidR="00EF342C">
        <w:rPr>
          <w:rFonts w:cstheme="minorHAnsi"/>
          <w:sz w:val="24"/>
          <w:szCs w:val="24"/>
        </w:rPr>
        <w:t xml:space="preserve"> century classroom is a bare necessity to adhere to the unique nature of 21</w:t>
      </w:r>
      <w:r w:rsidR="00EF342C" w:rsidRPr="00EF342C">
        <w:rPr>
          <w:rFonts w:cstheme="minorHAnsi"/>
          <w:sz w:val="24"/>
          <w:szCs w:val="24"/>
          <w:vertAlign w:val="superscript"/>
        </w:rPr>
        <w:t>st</w:t>
      </w:r>
      <w:r w:rsidR="00EF342C">
        <w:rPr>
          <w:rFonts w:cstheme="minorHAnsi"/>
          <w:sz w:val="24"/>
          <w:szCs w:val="24"/>
        </w:rPr>
        <w:t xml:space="preserve"> century learners. </w:t>
      </w:r>
    </w:p>
    <w:p w14:paraId="1FE7A6E9" w14:textId="76F58F65" w:rsidR="00CC1F51" w:rsidRDefault="00690A14" w:rsidP="004E5C2C">
      <w:pPr>
        <w:spacing w:line="360" w:lineRule="auto"/>
        <w:rPr>
          <w:rFonts w:cstheme="minorHAnsi"/>
          <w:sz w:val="24"/>
          <w:szCs w:val="24"/>
        </w:rPr>
      </w:pPr>
      <w:r>
        <w:rPr>
          <w:rFonts w:cstheme="minorHAnsi"/>
          <w:sz w:val="24"/>
          <w:szCs w:val="24"/>
        </w:rPr>
        <w:t xml:space="preserve">In </w:t>
      </w:r>
      <w:r w:rsidR="000E2BD7">
        <w:rPr>
          <w:rFonts w:cstheme="minorHAnsi"/>
          <w:sz w:val="24"/>
          <w:szCs w:val="24"/>
        </w:rPr>
        <w:t>relation to education</w:t>
      </w:r>
      <w:r>
        <w:rPr>
          <w:rFonts w:cstheme="minorHAnsi"/>
          <w:sz w:val="24"/>
          <w:szCs w:val="24"/>
        </w:rPr>
        <w:t xml:space="preserve">, the very definition has changed to </w:t>
      </w:r>
      <w:r w:rsidR="00A852E1">
        <w:rPr>
          <w:rFonts w:cstheme="minorHAnsi"/>
          <w:sz w:val="24"/>
          <w:szCs w:val="24"/>
        </w:rPr>
        <w:t>be adapted to a 21</w:t>
      </w:r>
      <w:r w:rsidR="000E2BD7">
        <w:rPr>
          <w:rFonts w:cstheme="minorHAnsi"/>
          <w:sz w:val="24"/>
          <w:szCs w:val="24"/>
        </w:rPr>
        <w:t>s</w:t>
      </w:r>
      <w:r w:rsidR="00A852E1">
        <w:rPr>
          <w:rFonts w:cstheme="minorHAnsi"/>
          <w:sz w:val="24"/>
          <w:szCs w:val="24"/>
        </w:rPr>
        <w:t xml:space="preserve">t century context. </w:t>
      </w:r>
      <w:r w:rsidR="000E2BD7">
        <w:rPr>
          <w:rFonts w:cstheme="minorHAnsi"/>
          <w:sz w:val="24"/>
          <w:szCs w:val="24"/>
        </w:rPr>
        <w:t>However, this was all in due time</w:t>
      </w:r>
      <w:r w:rsidR="004C275A">
        <w:rPr>
          <w:rFonts w:cstheme="minorHAnsi"/>
          <w:sz w:val="24"/>
          <w:szCs w:val="24"/>
        </w:rPr>
        <w:t xml:space="preserve"> as teacher education programs </w:t>
      </w:r>
      <w:r w:rsidR="004C6E83">
        <w:rPr>
          <w:rFonts w:cstheme="minorHAnsi"/>
          <w:sz w:val="24"/>
          <w:szCs w:val="24"/>
        </w:rPr>
        <w:t>were the foundation on where to adapt and define 21</w:t>
      </w:r>
      <w:r w:rsidR="004C6E83" w:rsidRPr="004C6E83">
        <w:rPr>
          <w:rFonts w:cstheme="minorHAnsi"/>
          <w:sz w:val="24"/>
          <w:szCs w:val="24"/>
          <w:vertAlign w:val="superscript"/>
        </w:rPr>
        <w:t>st</w:t>
      </w:r>
      <w:r w:rsidR="004C6E83">
        <w:rPr>
          <w:rFonts w:cstheme="minorHAnsi"/>
          <w:sz w:val="24"/>
          <w:szCs w:val="24"/>
        </w:rPr>
        <w:t xml:space="preserve"> century education. </w:t>
      </w:r>
      <w:r w:rsidR="00B37642">
        <w:rPr>
          <w:rFonts w:cstheme="minorHAnsi"/>
          <w:sz w:val="24"/>
          <w:szCs w:val="24"/>
        </w:rPr>
        <w:t>“</w:t>
      </w:r>
      <w:r w:rsidR="00CF4C3D">
        <w:rPr>
          <w:rFonts w:cstheme="minorHAnsi"/>
          <w:sz w:val="24"/>
          <w:szCs w:val="24"/>
        </w:rPr>
        <w:t>I</w:t>
      </w:r>
      <w:r w:rsidR="00B37642">
        <w:rPr>
          <w:rFonts w:cstheme="minorHAnsi"/>
          <w:sz w:val="24"/>
          <w:szCs w:val="24"/>
        </w:rPr>
        <w:t xml:space="preserve">n the </w:t>
      </w:r>
      <w:r w:rsidR="001E3BC2">
        <w:rPr>
          <w:rFonts w:cstheme="minorHAnsi"/>
          <w:sz w:val="24"/>
          <w:szCs w:val="24"/>
        </w:rPr>
        <w:t>early</w:t>
      </w:r>
      <w:r w:rsidR="00B37642">
        <w:rPr>
          <w:rFonts w:cstheme="minorHAnsi"/>
          <w:sz w:val="24"/>
          <w:szCs w:val="24"/>
        </w:rPr>
        <w:t xml:space="preserve"> part of the </w:t>
      </w:r>
      <w:r w:rsidR="00B37642">
        <w:rPr>
          <w:rFonts w:cstheme="minorHAnsi"/>
          <w:sz w:val="24"/>
          <w:szCs w:val="24"/>
        </w:rPr>
        <w:lastRenderedPageBreak/>
        <w:t>20</w:t>
      </w:r>
      <w:r w:rsidR="00B37642" w:rsidRPr="00B37642">
        <w:rPr>
          <w:rFonts w:cstheme="minorHAnsi"/>
          <w:sz w:val="24"/>
          <w:szCs w:val="24"/>
          <w:vertAlign w:val="superscript"/>
        </w:rPr>
        <w:t>th</w:t>
      </w:r>
      <w:r w:rsidR="00B37642">
        <w:rPr>
          <w:rFonts w:cstheme="minorHAnsi"/>
          <w:sz w:val="24"/>
          <w:szCs w:val="24"/>
        </w:rPr>
        <w:t xml:space="preserve"> century, teacher preparation was </w:t>
      </w:r>
      <w:r w:rsidR="001E3BC2">
        <w:rPr>
          <w:rFonts w:cstheme="minorHAnsi"/>
          <w:sz w:val="24"/>
          <w:szCs w:val="24"/>
        </w:rPr>
        <w:t>based</w:t>
      </w:r>
      <w:r w:rsidR="00B37642">
        <w:rPr>
          <w:rFonts w:cstheme="minorHAnsi"/>
          <w:sz w:val="24"/>
          <w:szCs w:val="24"/>
        </w:rPr>
        <w:t xml:space="preserve"> on the content of the curriculum</w:t>
      </w:r>
      <w:r w:rsidR="001E3BC2">
        <w:rPr>
          <w:rFonts w:cstheme="minorHAnsi"/>
          <w:sz w:val="24"/>
          <w:szCs w:val="24"/>
        </w:rPr>
        <w:t>, limited largely to basic literacy and numeracy”</w:t>
      </w:r>
      <w:r w:rsidR="00CF4C3D">
        <w:rPr>
          <w:rFonts w:cstheme="minorHAnsi"/>
          <w:sz w:val="24"/>
          <w:szCs w:val="24"/>
        </w:rPr>
        <w:t xml:space="preserve"> (</w:t>
      </w:r>
      <w:r w:rsidR="00C710BB">
        <w:rPr>
          <w:rFonts w:cstheme="minorHAnsi"/>
          <w:sz w:val="24"/>
          <w:szCs w:val="24"/>
        </w:rPr>
        <w:t xml:space="preserve">Groundwater-Smith &amp; Mockler, </w:t>
      </w:r>
      <w:r w:rsidR="007357BE">
        <w:rPr>
          <w:rFonts w:cstheme="minorHAnsi"/>
          <w:sz w:val="24"/>
          <w:szCs w:val="24"/>
        </w:rPr>
        <w:t xml:space="preserve">2015). </w:t>
      </w:r>
      <w:r w:rsidR="00253175">
        <w:rPr>
          <w:rFonts w:cstheme="minorHAnsi"/>
          <w:sz w:val="24"/>
          <w:szCs w:val="24"/>
        </w:rPr>
        <w:t xml:space="preserve">The authors further elaborate, </w:t>
      </w:r>
      <w:r w:rsidR="00367749">
        <w:rPr>
          <w:rFonts w:cstheme="minorHAnsi"/>
          <w:sz w:val="24"/>
          <w:szCs w:val="24"/>
        </w:rPr>
        <w:t>for decades the main focus was on curriculum content and the developmental needs of children were of secondary importance</w:t>
      </w:r>
      <w:r w:rsidR="00A9127E">
        <w:rPr>
          <w:rFonts w:cstheme="minorHAnsi"/>
          <w:sz w:val="24"/>
          <w:szCs w:val="24"/>
        </w:rPr>
        <w:t xml:space="preserve">. Although this was the case, the need for </w:t>
      </w:r>
      <w:r w:rsidR="00887691">
        <w:rPr>
          <w:rFonts w:cstheme="minorHAnsi"/>
          <w:sz w:val="24"/>
          <w:szCs w:val="24"/>
        </w:rPr>
        <w:t xml:space="preserve">placing particular emphasis on </w:t>
      </w:r>
      <w:r w:rsidR="002B2A18">
        <w:rPr>
          <w:rFonts w:cstheme="minorHAnsi"/>
          <w:sz w:val="24"/>
          <w:szCs w:val="24"/>
        </w:rPr>
        <w:t>students’</w:t>
      </w:r>
      <w:r w:rsidR="00887691">
        <w:rPr>
          <w:rFonts w:cstheme="minorHAnsi"/>
          <w:sz w:val="24"/>
          <w:szCs w:val="24"/>
        </w:rPr>
        <w:t xml:space="preserve"> developmental </w:t>
      </w:r>
      <w:r w:rsidR="00A01DE3">
        <w:rPr>
          <w:rFonts w:cstheme="minorHAnsi"/>
          <w:sz w:val="24"/>
          <w:szCs w:val="24"/>
        </w:rPr>
        <w:t>needs must be established as a priority within a 21</w:t>
      </w:r>
      <w:r w:rsidR="00A01DE3" w:rsidRPr="00A01DE3">
        <w:rPr>
          <w:rFonts w:cstheme="minorHAnsi"/>
          <w:sz w:val="24"/>
          <w:szCs w:val="24"/>
          <w:vertAlign w:val="superscript"/>
        </w:rPr>
        <w:t>st</w:t>
      </w:r>
      <w:r w:rsidR="00A01DE3">
        <w:rPr>
          <w:rFonts w:cstheme="minorHAnsi"/>
          <w:sz w:val="24"/>
          <w:szCs w:val="24"/>
        </w:rPr>
        <w:t xml:space="preserve"> century context. </w:t>
      </w:r>
      <w:r w:rsidR="00AD73F0">
        <w:rPr>
          <w:rFonts w:cstheme="minorHAnsi"/>
          <w:sz w:val="24"/>
          <w:szCs w:val="24"/>
        </w:rPr>
        <w:t>In addition</w:t>
      </w:r>
      <w:r w:rsidR="000A470C">
        <w:rPr>
          <w:rFonts w:cstheme="minorHAnsi"/>
          <w:sz w:val="24"/>
          <w:szCs w:val="24"/>
        </w:rPr>
        <w:t xml:space="preserve"> to this, the nature of teacher education programs have changed to </w:t>
      </w:r>
      <w:r w:rsidR="0033512B">
        <w:rPr>
          <w:rFonts w:cstheme="minorHAnsi"/>
          <w:sz w:val="24"/>
          <w:szCs w:val="24"/>
        </w:rPr>
        <w:t xml:space="preserve">a considerable extent. For example, Groundwater-Smith and Mockler </w:t>
      </w:r>
      <w:r w:rsidR="00CC74C4">
        <w:rPr>
          <w:rFonts w:cstheme="minorHAnsi"/>
          <w:sz w:val="24"/>
          <w:szCs w:val="24"/>
        </w:rPr>
        <w:t>identify</w:t>
      </w:r>
      <w:r w:rsidR="0033512B">
        <w:rPr>
          <w:rFonts w:cstheme="minorHAnsi"/>
          <w:sz w:val="24"/>
          <w:szCs w:val="24"/>
        </w:rPr>
        <w:t xml:space="preserve"> that </w:t>
      </w:r>
      <w:r w:rsidR="0062644E">
        <w:rPr>
          <w:rFonts w:cstheme="minorHAnsi"/>
          <w:sz w:val="24"/>
          <w:szCs w:val="24"/>
        </w:rPr>
        <w:t>teacher</w:t>
      </w:r>
      <w:r w:rsidR="0033512B">
        <w:rPr>
          <w:rFonts w:cstheme="minorHAnsi"/>
          <w:sz w:val="24"/>
          <w:szCs w:val="24"/>
        </w:rPr>
        <w:t xml:space="preserve"> education programs in Australia now offer </w:t>
      </w:r>
      <w:r w:rsidR="00DB18FE">
        <w:rPr>
          <w:rFonts w:cstheme="minorHAnsi"/>
          <w:sz w:val="24"/>
          <w:szCs w:val="24"/>
        </w:rPr>
        <w:t>both undergraduate and postgraduate</w:t>
      </w:r>
      <w:r w:rsidR="007F1CD8">
        <w:rPr>
          <w:rFonts w:cstheme="minorHAnsi"/>
          <w:sz w:val="24"/>
          <w:szCs w:val="24"/>
        </w:rPr>
        <w:t xml:space="preserve"> degrees which</w:t>
      </w:r>
      <w:r w:rsidR="004757CB">
        <w:rPr>
          <w:rFonts w:cstheme="minorHAnsi"/>
          <w:sz w:val="24"/>
          <w:szCs w:val="24"/>
        </w:rPr>
        <w:t xml:space="preserve"> qualify </w:t>
      </w:r>
      <w:r w:rsidR="008C0A10">
        <w:rPr>
          <w:rFonts w:cstheme="minorHAnsi"/>
          <w:sz w:val="24"/>
          <w:szCs w:val="24"/>
        </w:rPr>
        <w:t xml:space="preserve">pre-service </w:t>
      </w:r>
      <w:r w:rsidR="004757CB">
        <w:rPr>
          <w:rFonts w:cstheme="minorHAnsi"/>
          <w:sz w:val="24"/>
          <w:szCs w:val="24"/>
        </w:rPr>
        <w:t>teachers to te</w:t>
      </w:r>
      <w:r w:rsidR="007F1CD8">
        <w:rPr>
          <w:rFonts w:cstheme="minorHAnsi"/>
          <w:sz w:val="24"/>
          <w:szCs w:val="24"/>
        </w:rPr>
        <w:t>a</w:t>
      </w:r>
      <w:r w:rsidR="004757CB">
        <w:rPr>
          <w:rFonts w:cstheme="minorHAnsi"/>
          <w:sz w:val="24"/>
          <w:szCs w:val="24"/>
        </w:rPr>
        <w:t xml:space="preserve">ch among all sectors of teaching. </w:t>
      </w:r>
      <w:r w:rsidR="00A60101">
        <w:rPr>
          <w:rFonts w:cstheme="minorHAnsi"/>
          <w:sz w:val="24"/>
          <w:szCs w:val="24"/>
        </w:rPr>
        <w:t>(Pendergast &amp; Bahr as cited in, Groundwater-Smith &amp; Mockler, 201</w:t>
      </w:r>
      <w:r w:rsidR="00CC74C4">
        <w:rPr>
          <w:rFonts w:cstheme="minorHAnsi"/>
          <w:sz w:val="24"/>
          <w:szCs w:val="24"/>
        </w:rPr>
        <w:t xml:space="preserve">5). </w:t>
      </w:r>
      <w:r w:rsidR="0062644E">
        <w:rPr>
          <w:rFonts w:cstheme="minorHAnsi"/>
          <w:sz w:val="24"/>
          <w:szCs w:val="24"/>
        </w:rPr>
        <w:t xml:space="preserve">These factors, and some additional aspects are </w:t>
      </w:r>
      <w:r w:rsidR="00297027">
        <w:rPr>
          <w:rFonts w:cstheme="minorHAnsi"/>
          <w:sz w:val="24"/>
          <w:szCs w:val="24"/>
        </w:rPr>
        <w:t>credited to the changing definition of education in a 21</w:t>
      </w:r>
      <w:r w:rsidR="00297027" w:rsidRPr="00297027">
        <w:rPr>
          <w:rFonts w:cstheme="minorHAnsi"/>
          <w:sz w:val="24"/>
          <w:szCs w:val="24"/>
          <w:vertAlign w:val="superscript"/>
        </w:rPr>
        <w:t>st</w:t>
      </w:r>
      <w:r w:rsidR="00297027">
        <w:rPr>
          <w:rFonts w:cstheme="minorHAnsi"/>
          <w:sz w:val="24"/>
          <w:szCs w:val="24"/>
        </w:rPr>
        <w:t xml:space="preserve"> century context. </w:t>
      </w:r>
    </w:p>
    <w:p w14:paraId="72060F16" w14:textId="7B23D8CC" w:rsidR="0014139A" w:rsidRDefault="00AF7F50" w:rsidP="00D03903">
      <w:pPr>
        <w:spacing w:line="360" w:lineRule="auto"/>
        <w:rPr>
          <w:rFonts w:cstheme="minorHAnsi"/>
          <w:sz w:val="24"/>
          <w:szCs w:val="24"/>
        </w:rPr>
      </w:pPr>
      <w:r>
        <w:rPr>
          <w:sz w:val="24"/>
          <w:szCs w:val="24"/>
        </w:rPr>
        <w:t xml:space="preserve">Although, </w:t>
      </w:r>
      <w:r w:rsidR="00AE20FD">
        <w:rPr>
          <w:sz w:val="24"/>
          <w:szCs w:val="24"/>
        </w:rPr>
        <w:t xml:space="preserve">the education realm has changed significantly with policies and pedagogies </w:t>
      </w:r>
      <w:r w:rsidR="004E5C2C">
        <w:rPr>
          <w:sz w:val="24"/>
          <w:szCs w:val="24"/>
        </w:rPr>
        <w:t>adapting to contemporary times, it is just as important to put particular consideration on the characteristics and attributes of 21</w:t>
      </w:r>
      <w:r w:rsidR="004E5C2C" w:rsidRPr="004E5C2C">
        <w:rPr>
          <w:sz w:val="24"/>
          <w:szCs w:val="24"/>
          <w:vertAlign w:val="superscript"/>
        </w:rPr>
        <w:t>st</w:t>
      </w:r>
      <w:r w:rsidR="004E5C2C">
        <w:rPr>
          <w:sz w:val="24"/>
          <w:szCs w:val="24"/>
        </w:rPr>
        <w:t xml:space="preserve"> century learners.</w:t>
      </w:r>
      <w:r w:rsidR="00F01780">
        <w:rPr>
          <w:sz w:val="24"/>
          <w:szCs w:val="24"/>
        </w:rPr>
        <w:t xml:space="preserve"> </w:t>
      </w:r>
      <w:r w:rsidR="00FA70BD">
        <w:rPr>
          <w:sz w:val="24"/>
          <w:szCs w:val="24"/>
        </w:rPr>
        <w:t xml:space="preserve">However, in order to </w:t>
      </w:r>
      <w:r w:rsidR="00DA6863">
        <w:rPr>
          <w:sz w:val="24"/>
          <w:szCs w:val="24"/>
        </w:rPr>
        <w:t xml:space="preserve">understand these unique </w:t>
      </w:r>
      <w:r w:rsidR="006D71AC">
        <w:rPr>
          <w:sz w:val="24"/>
          <w:szCs w:val="24"/>
        </w:rPr>
        <w:t>attributes</w:t>
      </w:r>
      <w:r w:rsidR="008C0A10">
        <w:rPr>
          <w:sz w:val="24"/>
          <w:szCs w:val="24"/>
        </w:rPr>
        <w:t>,</w:t>
      </w:r>
      <w:r w:rsidR="00DA6863">
        <w:rPr>
          <w:sz w:val="24"/>
          <w:szCs w:val="24"/>
        </w:rPr>
        <w:t xml:space="preserve"> </w:t>
      </w:r>
      <w:r w:rsidR="00D01455">
        <w:rPr>
          <w:sz w:val="24"/>
          <w:szCs w:val="24"/>
        </w:rPr>
        <w:t>pedagogies must acknowledge the</w:t>
      </w:r>
      <w:r w:rsidR="00BA0ED0">
        <w:rPr>
          <w:sz w:val="24"/>
          <w:szCs w:val="24"/>
        </w:rPr>
        <w:t>se</w:t>
      </w:r>
      <w:r w:rsidR="00D01455">
        <w:rPr>
          <w:sz w:val="24"/>
          <w:szCs w:val="24"/>
        </w:rPr>
        <w:t xml:space="preserve"> </w:t>
      </w:r>
      <w:r w:rsidR="00306F4A">
        <w:rPr>
          <w:sz w:val="24"/>
          <w:szCs w:val="24"/>
        </w:rPr>
        <w:t>characteristics</w:t>
      </w:r>
      <w:r w:rsidR="00D01455">
        <w:rPr>
          <w:sz w:val="24"/>
          <w:szCs w:val="24"/>
        </w:rPr>
        <w:t xml:space="preserve"> of 21</w:t>
      </w:r>
      <w:r w:rsidR="00D01455" w:rsidRPr="00D01455">
        <w:rPr>
          <w:sz w:val="24"/>
          <w:szCs w:val="24"/>
          <w:vertAlign w:val="superscript"/>
        </w:rPr>
        <w:t>st</w:t>
      </w:r>
      <w:r w:rsidR="00D01455">
        <w:rPr>
          <w:sz w:val="24"/>
          <w:szCs w:val="24"/>
        </w:rPr>
        <w:t xml:space="preserve"> century learners</w:t>
      </w:r>
      <w:r w:rsidR="00306F4A">
        <w:rPr>
          <w:sz w:val="24"/>
          <w:szCs w:val="24"/>
        </w:rPr>
        <w:t xml:space="preserve">. </w:t>
      </w:r>
      <w:r w:rsidR="00FB06EE">
        <w:rPr>
          <w:sz w:val="24"/>
          <w:szCs w:val="24"/>
        </w:rPr>
        <w:t>For instance, applying digital pedagogies within a 21</w:t>
      </w:r>
      <w:r w:rsidR="00FB06EE" w:rsidRPr="00FB06EE">
        <w:rPr>
          <w:sz w:val="24"/>
          <w:szCs w:val="24"/>
          <w:vertAlign w:val="superscript"/>
        </w:rPr>
        <w:t>st</w:t>
      </w:r>
      <w:r w:rsidR="00FB06EE">
        <w:rPr>
          <w:sz w:val="24"/>
          <w:szCs w:val="24"/>
        </w:rPr>
        <w:t xml:space="preserve"> century classroom </w:t>
      </w:r>
      <w:r w:rsidR="007C7158">
        <w:rPr>
          <w:sz w:val="24"/>
          <w:szCs w:val="24"/>
        </w:rPr>
        <w:t xml:space="preserve">fundamentally resonates with the </w:t>
      </w:r>
      <w:r w:rsidR="000561D8">
        <w:rPr>
          <w:sz w:val="24"/>
          <w:szCs w:val="24"/>
        </w:rPr>
        <w:t xml:space="preserve">unique </w:t>
      </w:r>
      <w:r w:rsidR="001900CF">
        <w:rPr>
          <w:sz w:val="24"/>
          <w:szCs w:val="24"/>
        </w:rPr>
        <w:t>digital savvy nature of 21</w:t>
      </w:r>
      <w:r w:rsidR="001900CF" w:rsidRPr="001900CF">
        <w:rPr>
          <w:sz w:val="24"/>
          <w:szCs w:val="24"/>
          <w:vertAlign w:val="superscript"/>
        </w:rPr>
        <w:t>st</w:t>
      </w:r>
      <w:r w:rsidR="001900CF">
        <w:rPr>
          <w:sz w:val="24"/>
          <w:szCs w:val="24"/>
        </w:rPr>
        <w:t xml:space="preserve"> century students. </w:t>
      </w:r>
      <w:r w:rsidR="00AE36D7">
        <w:rPr>
          <w:sz w:val="24"/>
          <w:szCs w:val="24"/>
        </w:rPr>
        <w:t>“In the 21</w:t>
      </w:r>
      <w:r w:rsidR="00AE36D7" w:rsidRPr="00AE36D7">
        <w:rPr>
          <w:sz w:val="24"/>
          <w:szCs w:val="24"/>
          <w:vertAlign w:val="superscript"/>
        </w:rPr>
        <w:t>st</w:t>
      </w:r>
      <w:r w:rsidR="00AE36D7">
        <w:rPr>
          <w:sz w:val="24"/>
          <w:szCs w:val="24"/>
        </w:rPr>
        <w:t xml:space="preserve"> century and with the new technologies, there are multiple opportunities to capture both performance and assessment data and analyse them to understand how students are progressing” (</w:t>
      </w:r>
      <w:r w:rsidR="007D7733">
        <w:rPr>
          <w:sz w:val="24"/>
          <w:szCs w:val="24"/>
        </w:rPr>
        <w:t>Bichel as cited in</w:t>
      </w:r>
      <w:r w:rsidR="00300D91">
        <w:rPr>
          <w:sz w:val="24"/>
          <w:szCs w:val="24"/>
        </w:rPr>
        <w:t xml:space="preserve">, </w:t>
      </w:r>
      <w:r w:rsidR="002E6CFD">
        <w:rPr>
          <w:sz w:val="24"/>
          <w:szCs w:val="24"/>
        </w:rPr>
        <w:t xml:space="preserve">Spector, Ifenthaler, </w:t>
      </w:r>
      <w:r w:rsidR="00F62848">
        <w:rPr>
          <w:sz w:val="24"/>
          <w:szCs w:val="24"/>
        </w:rPr>
        <w:t xml:space="preserve">Sampson, Yang, Mukama, </w:t>
      </w:r>
      <w:r w:rsidR="00F62848" w:rsidRPr="007A3FDD">
        <w:rPr>
          <w:sz w:val="24"/>
          <w:szCs w:val="24"/>
        </w:rPr>
        <w:t xml:space="preserve">Warusavitarana, </w:t>
      </w:r>
      <w:r w:rsidR="00ED32BC" w:rsidRPr="007A3FDD">
        <w:rPr>
          <w:sz w:val="24"/>
          <w:szCs w:val="24"/>
        </w:rPr>
        <w:t xml:space="preserve">Dona, Eichhorn, Fluck, </w:t>
      </w:r>
      <w:r w:rsidR="00746AEA" w:rsidRPr="007A3FDD">
        <w:rPr>
          <w:sz w:val="24"/>
          <w:szCs w:val="24"/>
        </w:rPr>
        <w:t xml:space="preserve">Huang, Bridges, Lu, Ren, Gui, </w:t>
      </w:r>
      <w:r w:rsidR="00FD2955" w:rsidRPr="007A3FDD">
        <w:rPr>
          <w:sz w:val="24"/>
          <w:szCs w:val="24"/>
        </w:rPr>
        <w:t xml:space="preserve">Deneen, Diego &amp; Gibson, </w:t>
      </w:r>
      <w:r w:rsidR="00A17A3A" w:rsidRPr="007A3FDD">
        <w:rPr>
          <w:sz w:val="24"/>
          <w:szCs w:val="24"/>
        </w:rPr>
        <w:t xml:space="preserve">(2016). </w:t>
      </w:r>
    </w:p>
    <w:p w14:paraId="294106B8" w14:textId="77777777" w:rsidR="001A6592" w:rsidRPr="001A6592" w:rsidRDefault="001A6592" w:rsidP="00D03903">
      <w:pPr>
        <w:spacing w:line="360" w:lineRule="auto"/>
        <w:rPr>
          <w:rFonts w:cstheme="minorHAnsi"/>
          <w:sz w:val="24"/>
          <w:szCs w:val="24"/>
        </w:rPr>
      </w:pPr>
    </w:p>
    <w:p w14:paraId="0A4827EB" w14:textId="6AAEF312" w:rsidR="0014139A" w:rsidRPr="00E42024" w:rsidRDefault="00E42024" w:rsidP="00E42024">
      <w:pPr>
        <w:pStyle w:val="Heading2"/>
      </w:pPr>
      <w:r>
        <w:t>Current and Relevant Theories</w:t>
      </w:r>
    </w:p>
    <w:p w14:paraId="13CD9ED9" w14:textId="50ADF1DC" w:rsidR="00C644B0" w:rsidRDefault="00586DDC" w:rsidP="00D03903">
      <w:pPr>
        <w:spacing w:line="360" w:lineRule="auto"/>
        <w:rPr>
          <w:sz w:val="24"/>
          <w:szCs w:val="24"/>
        </w:rPr>
      </w:pPr>
      <w:r w:rsidRPr="00152DF4">
        <w:rPr>
          <w:sz w:val="24"/>
          <w:szCs w:val="24"/>
        </w:rPr>
        <w:t>Engaging 21</w:t>
      </w:r>
      <w:r w:rsidRPr="00152DF4">
        <w:rPr>
          <w:sz w:val="24"/>
          <w:szCs w:val="24"/>
          <w:vertAlign w:val="superscript"/>
        </w:rPr>
        <w:t>st</w:t>
      </w:r>
      <w:r w:rsidRPr="00152DF4">
        <w:rPr>
          <w:sz w:val="24"/>
          <w:szCs w:val="24"/>
        </w:rPr>
        <w:t xml:space="preserve"> century </w:t>
      </w:r>
      <w:r w:rsidR="006A5BFA" w:rsidRPr="00152DF4">
        <w:rPr>
          <w:sz w:val="24"/>
          <w:szCs w:val="24"/>
        </w:rPr>
        <w:t xml:space="preserve">learners is a fundamental </w:t>
      </w:r>
      <w:r w:rsidR="00085E97" w:rsidRPr="00152DF4">
        <w:rPr>
          <w:sz w:val="24"/>
          <w:szCs w:val="24"/>
        </w:rPr>
        <w:t>necessity</w:t>
      </w:r>
      <w:r w:rsidR="006A5BFA" w:rsidRPr="00152DF4">
        <w:rPr>
          <w:sz w:val="24"/>
          <w:szCs w:val="24"/>
        </w:rPr>
        <w:t xml:space="preserve"> within the realm of 21</w:t>
      </w:r>
      <w:r w:rsidR="006A5BFA" w:rsidRPr="00152DF4">
        <w:rPr>
          <w:sz w:val="24"/>
          <w:szCs w:val="24"/>
          <w:vertAlign w:val="superscript"/>
        </w:rPr>
        <w:t>st</w:t>
      </w:r>
      <w:r w:rsidR="006A5BFA" w:rsidRPr="00152DF4">
        <w:rPr>
          <w:sz w:val="24"/>
          <w:szCs w:val="24"/>
        </w:rPr>
        <w:t xml:space="preserve"> century education. </w:t>
      </w:r>
      <w:r w:rsidR="00085E97" w:rsidRPr="00152DF4">
        <w:rPr>
          <w:sz w:val="24"/>
          <w:szCs w:val="24"/>
        </w:rPr>
        <w:t>However, as a pre-service teacher that will be entering the realm of 21</w:t>
      </w:r>
      <w:r w:rsidR="00085E97" w:rsidRPr="00152DF4">
        <w:rPr>
          <w:sz w:val="24"/>
          <w:szCs w:val="24"/>
          <w:vertAlign w:val="superscript"/>
        </w:rPr>
        <w:t>st</w:t>
      </w:r>
      <w:r w:rsidR="00085E97" w:rsidRPr="00152DF4">
        <w:rPr>
          <w:sz w:val="24"/>
          <w:szCs w:val="24"/>
        </w:rPr>
        <w:t xml:space="preserve"> century education, it is an increasingly difficult </w:t>
      </w:r>
      <w:r w:rsidR="002869FC" w:rsidRPr="00152DF4">
        <w:rPr>
          <w:sz w:val="24"/>
          <w:szCs w:val="24"/>
        </w:rPr>
        <w:t xml:space="preserve">factor to implement within teaching practices. Although, this may be a cause of </w:t>
      </w:r>
      <w:r w:rsidR="00CB4DE1" w:rsidRPr="00152DF4">
        <w:rPr>
          <w:sz w:val="24"/>
          <w:szCs w:val="24"/>
        </w:rPr>
        <w:t>apprehension</w:t>
      </w:r>
      <w:r w:rsidR="001A6592">
        <w:rPr>
          <w:sz w:val="24"/>
          <w:szCs w:val="24"/>
        </w:rPr>
        <w:t>,</w:t>
      </w:r>
      <w:r w:rsidR="00CB4DE1" w:rsidRPr="00152DF4">
        <w:rPr>
          <w:sz w:val="24"/>
          <w:szCs w:val="24"/>
        </w:rPr>
        <w:t xml:space="preserve"> a range of learning theories</w:t>
      </w:r>
      <w:r w:rsidR="00987960">
        <w:rPr>
          <w:sz w:val="24"/>
          <w:szCs w:val="24"/>
        </w:rPr>
        <w:t xml:space="preserve"> </w:t>
      </w:r>
      <w:r w:rsidR="00CB4DE1" w:rsidRPr="00152DF4">
        <w:rPr>
          <w:sz w:val="24"/>
          <w:szCs w:val="24"/>
        </w:rPr>
        <w:t xml:space="preserve">can be integrated to help </w:t>
      </w:r>
      <w:r w:rsidR="00E5282E" w:rsidRPr="00152DF4">
        <w:rPr>
          <w:sz w:val="24"/>
          <w:szCs w:val="24"/>
        </w:rPr>
        <w:t>assert effective 21</w:t>
      </w:r>
      <w:r w:rsidR="00E5282E" w:rsidRPr="00152DF4">
        <w:rPr>
          <w:sz w:val="24"/>
          <w:szCs w:val="24"/>
          <w:vertAlign w:val="superscript"/>
        </w:rPr>
        <w:t>st</w:t>
      </w:r>
      <w:r w:rsidR="00E5282E" w:rsidRPr="00152DF4">
        <w:rPr>
          <w:sz w:val="24"/>
          <w:szCs w:val="24"/>
        </w:rPr>
        <w:t xml:space="preserve"> century teaching strategies. </w:t>
      </w:r>
      <w:r w:rsidR="002F5875" w:rsidRPr="00152DF4">
        <w:rPr>
          <w:sz w:val="24"/>
          <w:szCs w:val="24"/>
        </w:rPr>
        <w:t xml:space="preserve">For instance, the </w:t>
      </w:r>
      <w:r w:rsidR="002F5875" w:rsidRPr="00152DF4">
        <w:rPr>
          <w:sz w:val="24"/>
          <w:szCs w:val="24"/>
        </w:rPr>
        <w:lastRenderedPageBreak/>
        <w:t xml:space="preserve">pedagogy and andragogy refers to the </w:t>
      </w:r>
      <w:r w:rsidR="0064190E" w:rsidRPr="00152DF4">
        <w:rPr>
          <w:sz w:val="24"/>
          <w:szCs w:val="24"/>
        </w:rPr>
        <w:t xml:space="preserve">formal teaching (pedagogy) where the teacher directs all learning, and the andragogy (informal teaching) </w:t>
      </w:r>
      <w:r w:rsidR="0066713D" w:rsidRPr="00152DF4">
        <w:rPr>
          <w:sz w:val="24"/>
          <w:szCs w:val="24"/>
        </w:rPr>
        <w:t xml:space="preserve">where the learner is the primary focus. </w:t>
      </w:r>
      <w:r w:rsidR="00F578F9" w:rsidRPr="00152DF4">
        <w:rPr>
          <w:sz w:val="24"/>
          <w:szCs w:val="24"/>
        </w:rPr>
        <w:t xml:space="preserve">Furthermore, </w:t>
      </w:r>
      <w:r w:rsidR="00550E68" w:rsidRPr="00152DF4">
        <w:rPr>
          <w:sz w:val="24"/>
          <w:szCs w:val="24"/>
        </w:rPr>
        <w:t>humanism theory presented by Rogers (1983)</w:t>
      </w:r>
      <w:r w:rsidR="00C80E4E" w:rsidRPr="00152DF4">
        <w:rPr>
          <w:sz w:val="24"/>
          <w:szCs w:val="24"/>
        </w:rPr>
        <w:t xml:space="preserve"> expresses the notion that learning ultimately com</w:t>
      </w:r>
      <w:r w:rsidR="007038F9" w:rsidRPr="00152DF4">
        <w:rPr>
          <w:sz w:val="24"/>
          <w:szCs w:val="24"/>
        </w:rPr>
        <w:t>es from an intrinsic eagerness to learn</w:t>
      </w:r>
      <w:r w:rsidR="00FE5FD3" w:rsidRPr="00152DF4">
        <w:rPr>
          <w:sz w:val="24"/>
          <w:szCs w:val="24"/>
        </w:rPr>
        <w:t xml:space="preserve"> which is fuelled by fulfillment</w:t>
      </w:r>
      <w:r w:rsidR="00DF0A47" w:rsidRPr="00152DF4">
        <w:rPr>
          <w:sz w:val="24"/>
          <w:szCs w:val="24"/>
        </w:rPr>
        <w:t xml:space="preserve">. </w:t>
      </w:r>
      <w:r w:rsidR="00B619ED" w:rsidRPr="00152DF4">
        <w:rPr>
          <w:sz w:val="24"/>
          <w:szCs w:val="24"/>
        </w:rPr>
        <w:t>Lastly, Vygotsky</w:t>
      </w:r>
      <w:r w:rsidR="00D73370" w:rsidRPr="00152DF4">
        <w:rPr>
          <w:sz w:val="24"/>
          <w:szCs w:val="24"/>
        </w:rPr>
        <w:t xml:space="preserve"> (1978)</w:t>
      </w:r>
      <w:r w:rsidR="00B619ED" w:rsidRPr="00152DF4">
        <w:rPr>
          <w:sz w:val="24"/>
          <w:szCs w:val="24"/>
        </w:rPr>
        <w:t xml:space="preserve"> </w:t>
      </w:r>
      <w:r w:rsidR="00A70C64" w:rsidRPr="00152DF4">
        <w:rPr>
          <w:sz w:val="24"/>
          <w:szCs w:val="24"/>
        </w:rPr>
        <w:t>emphasises the importance of social interaction the fundamental role in this plays in the process of cognitive development</w:t>
      </w:r>
      <w:r w:rsidR="00881CD9" w:rsidRPr="00152DF4">
        <w:rPr>
          <w:sz w:val="24"/>
          <w:szCs w:val="24"/>
        </w:rPr>
        <w:t xml:space="preserve"> (</w:t>
      </w:r>
      <w:r w:rsidR="00E74169" w:rsidRPr="00152DF4">
        <w:rPr>
          <w:sz w:val="24"/>
          <w:szCs w:val="24"/>
        </w:rPr>
        <w:t>ETL301 Lecture, Week 4)</w:t>
      </w:r>
      <w:r w:rsidR="00D73370" w:rsidRPr="00152DF4">
        <w:rPr>
          <w:sz w:val="24"/>
          <w:szCs w:val="24"/>
        </w:rPr>
        <w:t xml:space="preserve">. </w:t>
      </w:r>
      <w:r w:rsidR="009E7635" w:rsidRPr="00152DF4">
        <w:rPr>
          <w:sz w:val="24"/>
          <w:szCs w:val="24"/>
        </w:rPr>
        <w:t xml:space="preserve">Moreover, the above outlined theories are just a few among a range of </w:t>
      </w:r>
      <w:r w:rsidR="00F47DED" w:rsidRPr="00152DF4">
        <w:rPr>
          <w:sz w:val="24"/>
          <w:szCs w:val="24"/>
        </w:rPr>
        <w:t>learning</w:t>
      </w:r>
      <w:r w:rsidR="003F7755" w:rsidRPr="00152DF4">
        <w:rPr>
          <w:sz w:val="24"/>
          <w:szCs w:val="24"/>
        </w:rPr>
        <w:t xml:space="preserve"> theories which can be devised to hel</w:t>
      </w:r>
      <w:r w:rsidR="00994545" w:rsidRPr="00152DF4">
        <w:rPr>
          <w:sz w:val="24"/>
          <w:szCs w:val="24"/>
        </w:rPr>
        <w:t>p teachers engage 21</w:t>
      </w:r>
      <w:r w:rsidR="00994545" w:rsidRPr="00152DF4">
        <w:rPr>
          <w:sz w:val="24"/>
          <w:szCs w:val="24"/>
          <w:vertAlign w:val="superscript"/>
        </w:rPr>
        <w:t>st</w:t>
      </w:r>
      <w:r w:rsidR="00994545" w:rsidRPr="00152DF4">
        <w:rPr>
          <w:sz w:val="24"/>
          <w:szCs w:val="24"/>
        </w:rPr>
        <w:t xml:space="preserve"> century learners</w:t>
      </w:r>
      <w:r w:rsidR="00F47DED" w:rsidRPr="00152DF4">
        <w:rPr>
          <w:sz w:val="24"/>
          <w:szCs w:val="24"/>
        </w:rPr>
        <w:t xml:space="preserve">. </w:t>
      </w:r>
      <w:r w:rsidR="00CA5E6B" w:rsidRPr="00152DF4">
        <w:rPr>
          <w:sz w:val="24"/>
          <w:szCs w:val="24"/>
        </w:rPr>
        <w:t xml:space="preserve">in particular, these three presented theories strengthen my conviction </w:t>
      </w:r>
      <w:r w:rsidR="006654C9" w:rsidRPr="00152DF4">
        <w:rPr>
          <w:sz w:val="24"/>
          <w:szCs w:val="24"/>
        </w:rPr>
        <w:t>for helping my future student</w:t>
      </w:r>
      <w:r w:rsidR="00BD31F1" w:rsidRPr="00152DF4">
        <w:rPr>
          <w:sz w:val="24"/>
          <w:szCs w:val="24"/>
        </w:rPr>
        <w:t>s</w:t>
      </w:r>
      <w:r w:rsidR="006654C9" w:rsidRPr="00152DF4">
        <w:rPr>
          <w:sz w:val="24"/>
          <w:szCs w:val="24"/>
        </w:rPr>
        <w:t xml:space="preserve"> engage</w:t>
      </w:r>
      <w:r w:rsidR="00BD31F1" w:rsidRPr="00152DF4">
        <w:rPr>
          <w:sz w:val="24"/>
          <w:szCs w:val="24"/>
        </w:rPr>
        <w:t xml:space="preserve">. </w:t>
      </w:r>
      <w:r w:rsidR="00D8149B" w:rsidRPr="00152DF4">
        <w:rPr>
          <w:sz w:val="24"/>
          <w:szCs w:val="24"/>
        </w:rPr>
        <w:t xml:space="preserve">Specifically, Vygotsky’s theory of social interaction. </w:t>
      </w:r>
      <w:r w:rsidR="005A18A9" w:rsidRPr="00152DF4">
        <w:rPr>
          <w:sz w:val="24"/>
          <w:szCs w:val="24"/>
        </w:rPr>
        <w:t>Vygotsky articulates that</w:t>
      </w:r>
      <w:r w:rsidR="00D66937" w:rsidRPr="00152DF4">
        <w:rPr>
          <w:sz w:val="24"/>
          <w:szCs w:val="24"/>
        </w:rPr>
        <w:t xml:space="preserve"> children are in constant contact with </w:t>
      </w:r>
      <w:r w:rsidR="008836B9" w:rsidRPr="00152DF4">
        <w:rPr>
          <w:sz w:val="24"/>
          <w:szCs w:val="24"/>
        </w:rPr>
        <w:t>parent, teachers</w:t>
      </w:r>
      <w:r w:rsidR="005F00E4" w:rsidRPr="00152DF4">
        <w:rPr>
          <w:sz w:val="24"/>
          <w:szCs w:val="24"/>
        </w:rPr>
        <w:t>, peers, friends and relatives, which ultimately shape children’s human development including cognitive and learning (</w:t>
      </w:r>
      <w:r w:rsidR="007F602C" w:rsidRPr="00152DF4">
        <w:rPr>
          <w:sz w:val="24"/>
          <w:szCs w:val="24"/>
        </w:rPr>
        <w:t>Clarke and Pittaway, 2014).</w:t>
      </w:r>
      <w:r w:rsidR="00BC73D5">
        <w:rPr>
          <w:sz w:val="24"/>
          <w:szCs w:val="24"/>
        </w:rPr>
        <w:t xml:space="preserve"> In relation, Vygotsky’s theory</w:t>
      </w:r>
      <w:r w:rsidR="004E0BF2">
        <w:rPr>
          <w:sz w:val="24"/>
          <w:szCs w:val="24"/>
        </w:rPr>
        <w:t xml:space="preserve">, humanism theory and </w:t>
      </w:r>
      <w:r w:rsidR="00A334F8">
        <w:rPr>
          <w:sz w:val="24"/>
          <w:szCs w:val="24"/>
        </w:rPr>
        <w:t xml:space="preserve">pedagogy and andragogy </w:t>
      </w:r>
      <w:r w:rsidR="00BC73D5">
        <w:rPr>
          <w:sz w:val="24"/>
          <w:szCs w:val="24"/>
        </w:rPr>
        <w:t xml:space="preserve">correlates in </w:t>
      </w:r>
      <w:r w:rsidR="00A334F8">
        <w:rPr>
          <w:sz w:val="24"/>
          <w:szCs w:val="24"/>
        </w:rPr>
        <w:t>conjunction</w:t>
      </w:r>
      <w:r w:rsidR="00BC73D5">
        <w:rPr>
          <w:sz w:val="24"/>
          <w:szCs w:val="24"/>
        </w:rPr>
        <w:t xml:space="preserve"> wit</w:t>
      </w:r>
      <w:r w:rsidR="00A334F8">
        <w:rPr>
          <w:sz w:val="24"/>
          <w:szCs w:val="24"/>
        </w:rPr>
        <w:t>h</w:t>
      </w:r>
      <w:r w:rsidR="004E0BF2">
        <w:rPr>
          <w:sz w:val="24"/>
          <w:szCs w:val="24"/>
        </w:rPr>
        <w:t xml:space="preserve"> the unique learning characteristics and attributes of 21</w:t>
      </w:r>
      <w:r w:rsidR="004E0BF2" w:rsidRPr="004E0BF2">
        <w:rPr>
          <w:sz w:val="24"/>
          <w:szCs w:val="24"/>
          <w:vertAlign w:val="superscript"/>
        </w:rPr>
        <w:t>st</w:t>
      </w:r>
      <w:r w:rsidR="004E0BF2">
        <w:rPr>
          <w:sz w:val="24"/>
          <w:szCs w:val="24"/>
        </w:rPr>
        <w:t xml:space="preserve"> century learners.</w:t>
      </w:r>
    </w:p>
    <w:p w14:paraId="3A7E12BD" w14:textId="77777777" w:rsidR="001A2993" w:rsidRDefault="001A2993" w:rsidP="00D03903">
      <w:pPr>
        <w:spacing w:line="360" w:lineRule="auto"/>
        <w:rPr>
          <w:sz w:val="24"/>
          <w:szCs w:val="24"/>
        </w:rPr>
      </w:pPr>
    </w:p>
    <w:p w14:paraId="6B5AA079" w14:textId="3991F5DD" w:rsidR="00C644B0" w:rsidRPr="001A2993" w:rsidRDefault="001A2993" w:rsidP="001A2993">
      <w:pPr>
        <w:pStyle w:val="Heading2"/>
      </w:pPr>
      <w:r w:rsidRPr="001A2993">
        <w:t>21</w:t>
      </w:r>
      <w:r w:rsidRPr="001A2993">
        <w:rPr>
          <w:vertAlign w:val="superscript"/>
        </w:rPr>
        <w:t>st</w:t>
      </w:r>
      <w:r w:rsidRPr="001A2993">
        <w:t xml:space="preserve"> Century Pedagogies:</w:t>
      </w:r>
    </w:p>
    <w:p w14:paraId="526C4D2C" w14:textId="14E9FE90" w:rsidR="00020DDB" w:rsidRPr="00D03903" w:rsidRDefault="00020DDB" w:rsidP="00D03903">
      <w:pPr>
        <w:spacing w:line="360" w:lineRule="auto"/>
        <w:rPr>
          <w:sz w:val="24"/>
          <w:szCs w:val="24"/>
        </w:rPr>
      </w:pPr>
      <w:r w:rsidRPr="00D03903">
        <w:rPr>
          <w:sz w:val="24"/>
          <w:szCs w:val="24"/>
        </w:rPr>
        <w:t>Evidently, there are a number of challenges</w:t>
      </w:r>
      <w:r w:rsidR="00764A91">
        <w:rPr>
          <w:sz w:val="24"/>
          <w:szCs w:val="24"/>
        </w:rPr>
        <w:t>,</w:t>
      </w:r>
      <w:r w:rsidRPr="00D03903">
        <w:rPr>
          <w:sz w:val="24"/>
          <w:szCs w:val="24"/>
        </w:rPr>
        <w:t xml:space="preserve"> unique characteristics and attributes that face teachers upon teaching 21</w:t>
      </w:r>
      <w:r w:rsidRPr="00D03903">
        <w:rPr>
          <w:sz w:val="24"/>
          <w:szCs w:val="24"/>
          <w:vertAlign w:val="superscript"/>
        </w:rPr>
        <w:t>st</w:t>
      </w:r>
      <w:r w:rsidRPr="00D03903">
        <w:rPr>
          <w:sz w:val="24"/>
          <w:szCs w:val="24"/>
        </w:rPr>
        <w:t xml:space="preserve"> century </w:t>
      </w:r>
      <w:r w:rsidR="00764A91">
        <w:rPr>
          <w:sz w:val="24"/>
          <w:szCs w:val="24"/>
        </w:rPr>
        <w:t>learners</w:t>
      </w:r>
      <w:r w:rsidRPr="00D03903">
        <w:rPr>
          <w:sz w:val="24"/>
          <w:szCs w:val="24"/>
        </w:rPr>
        <w:t>. However, contemporary and new devised pedagog</w:t>
      </w:r>
      <w:r w:rsidR="00CA73D9">
        <w:rPr>
          <w:sz w:val="24"/>
          <w:szCs w:val="24"/>
        </w:rPr>
        <w:t>ical approaches</w:t>
      </w:r>
      <w:r w:rsidRPr="00D03903">
        <w:rPr>
          <w:sz w:val="24"/>
          <w:szCs w:val="24"/>
        </w:rPr>
        <w:t xml:space="preserve"> provide teachers and pre-service teachers with the knowledge and understanding to integrate effective pedagogical strategies within 21</w:t>
      </w:r>
      <w:r w:rsidRPr="00D03903">
        <w:rPr>
          <w:sz w:val="24"/>
          <w:szCs w:val="24"/>
          <w:vertAlign w:val="superscript"/>
        </w:rPr>
        <w:t>st</w:t>
      </w:r>
      <w:r w:rsidRPr="00D03903">
        <w:rPr>
          <w:sz w:val="24"/>
          <w:szCs w:val="24"/>
        </w:rPr>
        <w:t xml:space="preserve"> century classrooms. For instance, Clarke and Pittaway analyse the theoretical implications of integrated widespread cooperative learning within classrooms. “Cooperative learning is a technique whereby a groups is given a task to do that requires effort from all students. Students need to interact with and support each other in completing the overall task and the sub-tasks (Cruickshank as cited in Clarke &amp; Pittaway, 2014). In contrast, the effective nature of cooperative learning allows teachers to utilise this abundant tool to effective</w:t>
      </w:r>
      <w:r w:rsidR="000E3463">
        <w:rPr>
          <w:sz w:val="24"/>
          <w:szCs w:val="24"/>
        </w:rPr>
        <w:t>ly</w:t>
      </w:r>
      <w:r w:rsidRPr="00D03903">
        <w:rPr>
          <w:sz w:val="24"/>
          <w:szCs w:val="24"/>
        </w:rPr>
        <w:t xml:space="preserve"> implement relevant teaching pedagogies into students learning practices. According to Clarke and Pittaway (2014), role-playing and simulation pedagogy allows students to utilise the use of simulation games (simulations merged with game rules) which can be very powerful ways of exploring values and interpersonal issues. Furthermore, role-playing which are usually </w:t>
      </w:r>
      <w:r w:rsidRPr="00D03903">
        <w:rPr>
          <w:sz w:val="24"/>
          <w:szCs w:val="24"/>
        </w:rPr>
        <w:lastRenderedPageBreak/>
        <w:t xml:space="preserve">teacher directed, may involve a limited number of students playing or miming a specific role during </w:t>
      </w:r>
      <w:r w:rsidR="00051A8A">
        <w:rPr>
          <w:sz w:val="24"/>
          <w:szCs w:val="24"/>
        </w:rPr>
        <w:t>an</w:t>
      </w:r>
      <w:r w:rsidRPr="00D03903">
        <w:rPr>
          <w:sz w:val="24"/>
          <w:szCs w:val="24"/>
        </w:rPr>
        <w:t xml:space="preserve"> activity.</w:t>
      </w:r>
      <w:r w:rsidR="00423506">
        <w:rPr>
          <w:sz w:val="24"/>
          <w:szCs w:val="24"/>
        </w:rPr>
        <w:t xml:space="preserve"> In addition, ICT and digital </w:t>
      </w:r>
      <w:r w:rsidR="00AA20F5">
        <w:rPr>
          <w:sz w:val="24"/>
          <w:szCs w:val="24"/>
        </w:rPr>
        <w:t>pedagogies</w:t>
      </w:r>
      <w:r w:rsidR="00423506">
        <w:rPr>
          <w:sz w:val="24"/>
          <w:szCs w:val="24"/>
        </w:rPr>
        <w:t xml:space="preserve"> play a vital role within </w:t>
      </w:r>
      <w:r w:rsidR="0075164D">
        <w:rPr>
          <w:sz w:val="24"/>
          <w:szCs w:val="24"/>
        </w:rPr>
        <w:t>21</w:t>
      </w:r>
      <w:r w:rsidR="0075164D" w:rsidRPr="0075164D">
        <w:rPr>
          <w:sz w:val="24"/>
          <w:szCs w:val="24"/>
          <w:vertAlign w:val="superscript"/>
        </w:rPr>
        <w:t>st</w:t>
      </w:r>
      <w:r w:rsidR="0075164D">
        <w:rPr>
          <w:sz w:val="24"/>
          <w:szCs w:val="24"/>
        </w:rPr>
        <w:t xml:space="preserve"> century classrooms. Due to the nature of </w:t>
      </w:r>
      <w:r w:rsidR="00AA20F5">
        <w:rPr>
          <w:sz w:val="24"/>
          <w:szCs w:val="24"/>
        </w:rPr>
        <w:t>21</w:t>
      </w:r>
      <w:r w:rsidR="00AA20F5" w:rsidRPr="00AA20F5">
        <w:rPr>
          <w:sz w:val="24"/>
          <w:szCs w:val="24"/>
          <w:vertAlign w:val="superscript"/>
        </w:rPr>
        <w:t>st</w:t>
      </w:r>
      <w:r w:rsidR="00AA20F5">
        <w:rPr>
          <w:sz w:val="24"/>
          <w:szCs w:val="24"/>
        </w:rPr>
        <w:t xml:space="preserve"> century learners being predominantly digital savvy, it is </w:t>
      </w:r>
      <w:r w:rsidR="001E033F">
        <w:rPr>
          <w:sz w:val="24"/>
          <w:szCs w:val="24"/>
        </w:rPr>
        <w:t xml:space="preserve">vital that teachers and pre-service teachers </w:t>
      </w:r>
      <w:r w:rsidR="003E491F">
        <w:rPr>
          <w:sz w:val="24"/>
          <w:szCs w:val="24"/>
        </w:rPr>
        <w:t xml:space="preserve">consider the useful purpose of ICT technologies. </w:t>
      </w:r>
      <w:r w:rsidR="002F0334">
        <w:rPr>
          <w:sz w:val="24"/>
          <w:szCs w:val="24"/>
        </w:rPr>
        <w:t xml:space="preserve">Clarke and Pittaway (2014) state that ICT </w:t>
      </w:r>
      <w:r w:rsidR="006A28BB">
        <w:rPr>
          <w:sz w:val="24"/>
          <w:szCs w:val="24"/>
        </w:rPr>
        <w:t>devices within classrooms means that it is now possible to create multi-sensory classroom environments</w:t>
      </w:r>
      <w:r w:rsidR="00344F40">
        <w:rPr>
          <w:sz w:val="24"/>
          <w:szCs w:val="24"/>
        </w:rPr>
        <w:t xml:space="preserve">, where students can experience highly sophisticated sorts of sensory multimedia experiences. </w:t>
      </w:r>
      <w:r w:rsidR="00AF7461">
        <w:rPr>
          <w:sz w:val="24"/>
          <w:szCs w:val="24"/>
        </w:rPr>
        <w:t xml:space="preserve">In my personal experience, I have witnessed teachers utilise </w:t>
      </w:r>
      <w:r w:rsidR="00F20F45">
        <w:rPr>
          <w:sz w:val="24"/>
          <w:szCs w:val="24"/>
        </w:rPr>
        <w:t xml:space="preserve">an abundance of </w:t>
      </w:r>
      <w:r w:rsidR="00AF7461">
        <w:rPr>
          <w:sz w:val="24"/>
          <w:szCs w:val="24"/>
        </w:rPr>
        <w:t>ICT devises</w:t>
      </w:r>
      <w:r w:rsidR="00F20F45">
        <w:rPr>
          <w:sz w:val="24"/>
          <w:szCs w:val="24"/>
        </w:rPr>
        <w:t xml:space="preserve"> such as </w:t>
      </w:r>
      <w:r w:rsidR="004804BB">
        <w:rPr>
          <w:sz w:val="24"/>
          <w:szCs w:val="24"/>
        </w:rPr>
        <w:t>iPad’s</w:t>
      </w:r>
      <w:r w:rsidR="00F20F45">
        <w:rPr>
          <w:sz w:val="24"/>
          <w:szCs w:val="24"/>
        </w:rPr>
        <w:t>, computers</w:t>
      </w:r>
      <w:r w:rsidR="004804BB">
        <w:rPr>
          <w:sz w:val="24"/>
          <w:szCs w:val="24"/>
        </w:rPr>
        <w:t xml:space="preserve"> and</w:t>
      </w:r>
      <w:r w:rsidR="00F20F45">
        <w:rPr>
          <w:sz w:val="24"/>
          <w:szCs w:val="24"/>
        </w:rPr>
        <w:t xml:space="preserve"> online </w:t>
      </w:r>
      <w:r w:rsidR="004804BB">
        <w:rPr>
          <w:sz w:val="24"/>
          <w:szCs w:val="24"/>
        </w:rPr>
        <w:t>programs</w:t>
      </w:r>
      <w:r w:rsidR="000366A7">
        <w:rPr>
          <w:sz w:val="24"/>
          <w:szCs w:val="24"/>
        </w:rPr>
        <w:t xml:space="preserve">, </w:t>
      </w:r>
      <w:r w:rsidR="00130F12">
        <w:rPr>
          <w:sz w:val="24"/>
          <w:szCs w:val="24"/>
        </w:rPr>
        <w:t xml:space="preserve">thus proving </w:t>
      </w:r>
      <w:r w:rsidR="000366A7">
        <w:rPr>
          <w:sz w:val="24"/>
          <w:szCs w:val="24"/>
        </w:rPr>
        <w:t xml:space="preserve">that the information age has ensured ICT pedagogies </w:t>
      </w:r>
      <w:r w:rsidR="00130F12">
        <w:rPr>
          <w:sz w:val="24"/>
          <w:szCs w:val="24"/>
        </w:rPr>
        <w:t>as</w:t>
      </w:r>
      <w:r w:rsidR="000366A7">
        <w:rPr>
          <w:sz w:val="24"/>
          <w:szCs w:val="24"/>
        </w:rPr>
        <w:t xml:space="preserve"> a necessity within 21</w:t>
      </w:r>
      <w:r w:rsidR="000366A7" w:rsidRPr="000366A7">
        <w:rPr>
          <w:sz w:val="24"/>
          <w:szCs w:val="24"/>
          <w:vertAlign w:val="superscript"/>
        </w:rPr>
        <w:t>st</w:t>
      </w:r>
      <w:r w:rsidR="000366A7">
        <w:rPr>
          <w:sz w:val="24"/>
          <w:szCs w:val="24"/>
        </w:rPr>
        <w:t xml:space="preserve"> century classrooms. </w:t>
      </w:r>
    </w:p>
    <w:p w14:paraId="35E161C6" w14:textId="659E4E28" w:rsidR="00FC56A0" w:rsidRDefault="00FC56A0" w:rsidP="00FC56A0"/>
    <w:p w14:paraId="43F3EAFB" w14:textId="77777777" w:rsidR="005976A0" w:rsidRDefault="005976A0" w:rsidP="00FC56A0">
      <w:pPr>
        <w:spacing w:line="360" w:lineRule="auto"/>
        <w:jc w:val="center"/>
        <w:rPr>
          <w:rFonts w:ascii="Times New Roman" w:hAnsi="Times New Roman" w:cs="Times New Roman"/>
          <w:b/>
          <w:bCs/>
          <w:sz w:val="24"/>
          <w:szCs w:val="24"/>
        </w:rPr>
      </w:pPr>
    </w:p>
    <w:p w14:paraId="7BE4C8C8" w14:textId="77777777" w:rsidR="005976A0" w:rsidRDefault="005976A0" w:rsidP="00FC56A0">
      <w:pPr>
        <w:spacing w:line="360" w:lineRule="auto"/>
        <w:jc w:val="center"/>
        <w:rPr>
          <w:rFonts w:ascii="Times New Roman" w:hAnsi="Times New Roman" w:cs="Times New Roman"/>
          <w:b/>
          <w:bCs/>
          <w:sz w:val="24"/>
          <w:szCs w:val="24"/>
        </w:rPr>
      </w:pPr>
    </w:p>
    <w:p w14:paraId="42025CBC" w14:textId="77777777" w:rsidR="005976A0" w:rsidRDefault="005976A0" w:rsidP="00FC56A0">
      <w:pPr>
        <w:spacing w:line="360" w:lineRule="auto"/>
        <w:jc w:val="center"/>
        <w:rPr>
          <w:rFonts w:ascii="Times New Roman" w:hAnsi="Times New Roman" w:cs="Times New Roman"/>
          <w:b/>
          <w:bCs/>
          <w:sz w:val="24"/>
          <w:szCs w:val="24"/>
        </w:rPr>
      </w:pPr>
    </w:p>
    <w:p w14:paraId="4818FE10" w14:textId="77777777" w:rsidR="005976A0" w:rsidRDefault="005976A0" w:rsidP="00FC56A0">
      <w:pPr>
        <w:spacing w:line="360" w:lineRule="auto"/>
        <w:jc w:val="center"/>
        <w:rPr>
          <w:rFonts w:ascii="Times New Roman" w:hAnsi="Times New Roman" w:cs="Times New Roman"/>
          <w:b/>
          <w:bCs/>
          <w:sz w:val="24"/>
          <w:szCs w:val="24"/>
        </w:rPr>
      </w:pPr>
    </w:p>
    <w:p w14:paraId="46DB4A8F" w14:textId="77777777" w:rsidR="005976A0" w:rsidRDefault="005976A0" w:rsidP="00FC56A0">
      <w:pPr>
        <w:spacing w:line="360" w:lineRule="auto"/>
        <w:jc w:val="center"/>
        <w:rPr>
          <w:rFonts w:ascii="Times New Roman" w:hAnsi="Times New Roman" w:cs="Times New Roman"/>
          <w:b/>
          <w:bCs/>
          <w:sz w:val="24"/>
          <w:szCs w:val="24"/>
        </w:rPr>
      </w:pPr>
    </w:p>
    <w:p w14:paraId="4D64F71F" w14:textId="77777777" w:rsidR="005976A0" w:rsidRDefault="005976A0" w:rsidP="00FC56A0">
      <w:pPr>
        <w:spacing w:line="360" w:lineRule="auto"/>
        <w:jc w:val="center"/>
        <w:rPr>
          <w:rFonts w:ascii="Times New Roman" w:hAnsi="Times New Roman" w:cs="Times New Roman"/>
          <w:b/>
          <w:bCs/>
          <w:sz w:val="24"/>
          <w:szCs w:val="24"/>
        </w:rPr>
      </w:pPr>
    </w:p>
    <w:p w14:paraId="240E84C7" w14:textId="77777777" w:rsidR="005976A0" w:rsidRDefault="005976A0" w:rsidP="00FC56A0">
      <w:pPr>
        <w:spacing w:line="360" w:lineRule="auto"/>
        <w:jc w:val="center"/>
        <w:rPr>
          <w:rFonts w:ascii="Times New Roman" w:hAnsi="Times New Roman" w:cs="Times New Roman"/>
          <w:b/>
          <w:bCs/>
          <w:sz w:val="24"/>
          <w:szCs w:val="24"/>
        </w:rPr>
      </w:pPr>
    </w:p>
    <w:p w14:paraId="50D1B716" w14:textId="77777777" w:rsidR="005976A0" w:rsidRDefault="005976A0" w:rsidP="00FC56A0">
      <w:pPr>
        <w:spacing w:line="360" w:lineRule="auto"/>
        <w:jc w:val="center"/>
        <w:rPr>
          <w:rFonts w:ascii="Times New Roman" w:hAnsi="Times New Roman" w:cs="Times New Roman"/>
          <w:b/>
          <w:bCs/>
          <w:sz w:val="24"/>
          <w:szCs w:val="24"/>
        </w:rPr>
      </w:pPr>
    </w:p>
    <w:p w14:paraId="265D47C9" w14:textId="77777777" w:rsidR="005976A0" w:rsidRDefault="005976A0" w:rsidP="00FC56A0">
      <w:pPr>
        <w:spacing w:line="360" w:lineRule="auto"/>
        <w:jc w:val="center"/>
        <w:rPr>
          <w:rFonts w:ascii="Times New Roman" w:hAnsi="Times New Roman" w:cs="Times New Roman"/>
          <w:b/>
          <w:bCs/>
          <w:sz w:val="24"/>
          <w:szCs w:val="24"/>
        </w:rPr>
      </w:pPr>
    </w:p>
    <w:p w14:paraId="4FB4C6EE" w14:textId="77777777" w:rsidR="005976A0" w:rsidRDefault="005976A0" w:rsidP="00FC56A0">
      <w:pPr>
        <w:spacing w:line="360" w:lineRule="auto"/>
        <w:jc w:val="center"/>
        <w:rPr>
          <w:rFonts w:ascii="Times New Roman" w:hAnsi="Times New Roman" w:cs="Times New Roman"/>
          <w:b/>
          <w:bCs/>
          <w:sz w:val="24"/>
          <w:szCs w:val="24"/>
        </w:rPr>
      </w:pPr>
    </w:p>
    <w:p w14:paraId="75E094F5" w14:textId="77777777" w:rsidR="005976A0" w:rsidRDefault="005976A0" w:rsidP="00FC56A0">
      <w:pPr>
        <w:spacing w:line="360" w:lineRule="auto"/>
        <w:jc w:val="center"/>
        <w:rPr>
          <w:rFonts w:ascii="Times New Roman" w:hAnsi="Times New Roman" w:cs="Times New Roman"/>
          <w:b/>
          <w:bCs/>
          <w:sz w:val="24"/>
          <w:szCs w:val="24"/>
        </w:rPr>
      </w:pPr>
    </w:p>
    <w:p w14:paraId="24A7096A" w14:textId="77777777" w:rsidR="005976A0" w:rsidRDefault="005976A0" w:rsidP="00FC56A0">
      <w:pPr>
        <w:spacing w:line="360" w:lineRule="auto"/>
        <w:jc w:val="center"/>
        <w:rPr>
          <w:rFonts w:ascii="Times New Roman" w:hAnsi="Times New Roman" w:cs="Times New Roman"/>
          <w:b/>
          <w:bCs/>
          <w:sz w:val="24"/>
          <w:szCs w:val="24"/>
        </w:rPr>
      </w:pPr>
    </w:p>
    <w:p w14:paraId="0360DD02" w14:textId="77777777" w:rsidR="005976A0" w:rsidRDefault="005976A0" w:rsidP="00FC56A0">
      <w:pPr>
        <w:spacing w:line="360" w:lineRule="auto"/>
        <w:jc w:val="center"/>
        <w:rPr>
          <w:rFonts w:ascii="Times New Roman" w:hAnsi="Times New Roman" w:cs="Times New Roman"/>
          <w:b/>
          <w:bCs/>
          <w:sz w:val="24"/>
          <w:szCs w:val="24"/>
        </w:rPr>
      </w:pPr>
    </w:p>
    <w:p w14:paraId="2D6625C9" w14:textId="77777777" w:rsidR="005976A0" w:rsidRDefault="005976A0" w:rsidP="00FC56A0">
      <w:pPr>
        <w:spacing w:line="360" w:lineRule="auto"/>
        <w:jc w:val="center"/>
        <w:rPr>
          <w:rFonts w:ascii="Times New Roman" w:hAnsi="Times New Roman" w:cs="Times New Roman"/>
          <w:b/>
          <w:bCs/>
          <w:sz w:val="24"/>
          <w:szCs w:val="24"/>
        </w:rPr>
      </w:pPr>
    </w:p>
    <w:p w14:paraId="0529302C" w14:textId="6B72C7C1" w:rsidR="00FC56A0" w:rsidRDefault="00FC56A0" w:rsidP="00FC56A0">
      <w:pPr>
        <w:spacing w:line="360" w:lineRule="auto"/>
        <w:jc w:val="center"/>
        <w:rPr>
          <w:rFonts w:ascii="Times New Roman" w:hAnsi="Times New Roman" w:cs="Times New Roman"/>
          <w:b/>
          <w:bCs/>
          <w:sz w:val="24"/>
          <w:szCs w:val="24"/>
        </w:rPr>
      </w:pPr>
      <w:r w:rsidRPr="00FC56A0">
        <w:rPr>
          <w:rFonts w:ascii="Times New Roman" w:hAnsi="Times New Roman" w:cs="Times New Roman"/>
          <w:b/>
          <w:bCs/>
          <w:sz w:val="24"/>
          <w:szCs w:val="24"/>
        </w:rPr>
        <w:lastRenderedPageBreak/>
        <w:t>References</w:t>
      </w:r>
    </w:p>
    <w:p w14:paraId="754996DD" w14:textId="712EF991" w:rsidR="00722BDD" w:rsidRPr="00722006" w:rsidRDefault="00722BDD" w:rsidP="00722BDD">
      <w:pPr>
        <w:spacing w:line="360" w:lineRule="auto"/>
        <w:ind w:left="567" w:hanging="567"/>
        <w:rPr>
          <w:rFonts w:cstheme="minorHAnsi"/>
          <w:sz w:val="24"/>
          <w:szCs w:val="24"/>
        </w:rPr>
      </w:pPr>
      <w:r>
        <w:rPr>
          <w:rFonts w:cstheme="minorHAnsi"/>
          <w:sz w:val="24"/>
          <w:szCs w:val="24"/>
        </w:rPr>
        <w:t xml:space="preserve">Clarke, M., &amp; </w:t>
      </w:r>
      <w:r w:rsidR="00243C24">
        <w:rPr>
          <w:rFonts w:cstheme="minorHAnsi"/>
          <w:sz w:val="24"/>
          <w:szCs w:val="24"/>
        </w:rPr>
        <w:t xml:space="preserve">Pittaway, S. (2014). </w:t>
      </w:r>
      <w:r w:rsidR="00243C24">
        <w:rPr>
          <w:rFonts w:cstheme="minorHAnsi"/>
          <w:i/>
          <w:iCs/>
          <w:sz w:val="24"/>
          <w:szCs w:val="24"/>
        </w:rPr>
        <w:t>Marsh’s Becoming and Teacher</w:t>
      </w:r>
      <w:r w:rsidR="00722006">
        <w:rPr>
          <w:rFonts w:cstheme="minorHAnsi"/>
          <w:i/>
          <w:iCs/>
          <w:sz w:val="24"/>
          <w:szCs w:val="24"/>
        </w:rPr>
        <w:t xml:space="preserve"> </w:t>
      </w:r>
      <w:r w:rsidR="00722006">
        <w:rPr>
          <w:rFonts w:cstheme="minorHAnsi"/>
          <w:sz w:val="24"/>
          <w:szCs w:val="24"/>
        </w:rPr>
        <w:t>(6</w:t>
      </w:r>
      <w:r w:rsidR="00722006" w:rsidRPr="00722006">
        <w:rPr>
          <w:rFonts w:cstheme="minorHAnsi"/>
          <w:sz w:val="24"/>
          <w:szCs w:val="24"/>
          <w:vertAlign w:val="superscript"/>
        </w:rPr>
        <w:t>th</w:t>
      </w:r>
      <w:r w:rsidR="00722006">
        <w:rPr>
          <w:rFonts w:cstheme="minorHAnsi"/>
          <w:sz w:val="24"/>
          <w:szCs w:val="24"/>
        </w:rPr>
        <w:t xml:space="preserve"> ed.). Pearson Australia. </w:t>
      </w:r>
    </w:p>
    <w:p w14:paraId="6C454349" w14:textId="1051E9E2" w:rsidR="00FC56A0" w:rsidRPr="00722BDD" w:rsidRDefault="00830D0E" w:rsidP="00722BDD">
      <w:pPr>
        <w:spacing w:line="360" w:lineRule="auto"/>
        <w:ind w:left="567" w:hanging="567"/>
        <w:rPr>
          <w:rFonts w:cstheme="minorHAnsi"/>
          <w:sz w:val="24"/>
          <w:szCs w:val="24"/>
        </w:rPr>
      </w:pPr>
      <w:r w:rsidRPr="00E818DA">
        <w:rPr>
          <w:rFonts w:cstheme="minorHAnsi"/>
          <w:sz w:val="24"/>
          <w:szCs w:val="24"/>
        </w:rPr>
        <w:t xml:space="preserve">Egan, </w:t>
      </w:r>
      <w:r w:rsidR="00C35EA0" w:rsidRPr="00E818DA">
        <w:rPr>
          <w:rFonts w:cstheme="minorHAnsi"/>
          <w:sz w:val="24"/>
          <w:szCs w:val="24"/>
        </w:rPr>
        <w:t xml:space="preserve">A., Maguire, R., Christophers, L., Rooney, B. (2017). </w:t>
      </w:r>
      <w:r w:rsidR="0057080C" w:rsidRPr="00E818DA">
        <w:rPr>
          <w:rFonts w:cstheme="minorHAnsi"/>
          <w:sz w:val="24"/>
          <w:szCs w:val="24"/>
        </w:rPr>
        <w:t xml:space="preserve">Devloping </w:t>
      </w:r>
      <w:r w:rsidR="00F05209" w:rsidRPr="00E818DA">
        <w:rPr>
          <w:rFonts w:cstheme="minorHAnsi"/>
          <w:sz w:val="24"/>
          <w:szCs w:val="24"/>
        </w:rPr>
        <w:t>Creativity in Higher Education for 21</w:t>
      </w:r>
      <w:r w:rsidR="00F05209" w:rsidRPr="00E818DA">
        <w:rPr>
          <w:rFonts w:cstheme="minorHAnsi"/>
          <w:sz w:val="24"/>
          <w:szCs w:val="24"/>
          <w:vertAlign w:val="superscript"/>
        </w:rPr>
        <w:t>st</w:t>
      </w:r>
      <w:r w:rsidR="00F05209" w:rsidRPr="00E818DA">
        <w:rPr>
          <w:rFonts w:cstheme="minorHAnsi"/>
          <w:sz w:val="24"/>
          <w:szCs w:val="24"/>
        </w:rPr>
        <w:t xml:space="preserve"> Century Leaners: A Protocol for a Scoping Review. </w:t>
      </w:r>
      <w:r w:rsidR="000B2868" w:rsidRPr="00E818DA">
        <w:rPr>
          <w:rFonts w:cstheme="minorHAnsi"/>
          <w:i/>
          <w:iCs/>
          <w:sz w:val="24"/>
          <w:szCs w:val="24"/>
        </w:rPr>
        <w:t xml:space="preserve">International Journal for Educational Research, </w:t>
      </w:r>
      <w:r w:rsidR="003C3E80" w:rsidRPr="00E818DA">
        <w:rPr>
          <w:rFonts w:cstheme="minorHAnsi"/>
          <w:i/>
          <w:iCs/>
          <w:sz w:val="24"/>
          <w:szCs w:val="24"/>
        </w:rPr>
        <w:t>82</w:t>
      </w:r>
      <w:r w:rsidR="003C3E80" w:rsidRPr="00E818DA">
        <w:rPr>
          <w:rFonts w:cstheme="minorHAnsi"/>
          <w:sz w:val="24"/>
          <w:szCs w:val="24"/>
        </w:rPr>
        <w:t xml:space="preserve">(1), 21-27. </w:t>
      </w:r>
      <w:r w:rsidR="00FA5B68" w:rsidRPr="00D631D3">
        <w:rPr>
          <w:rFonts w:cstheme="minorHAnsi"/>
          <w:sz w:val="24"/>
          <w:szCs w:val="24"/>
          <w:shd w:val="clear" w:color="auto" w:fill="FFFFFF"/>
        </w:rPr>
        <w:t>https://doi.org/10.1016/j.ijer.2016.12.004</w:t>
      </w:r>
      <w:r w:rsidR="00FA5B68" w:rsidRPr="00E818DA">
        <w:rPr>
          <w:rFonts w:cstheme="minorHAnsi"/>
          <w:color w:val="3A3A3A"/>
          <w:sz w:val="24"/>
          <w:szCs w:val="24"/>
          <w:shd w:val="clear" w:color="auto" w:fill="FFFFFF"/>
        </w:rPr>
        <w:t xml:space="preserve"> </w:t>
      </w:r>
    </w:p>
    <w:p w14:paraId="2229C94C" w14:textId="08037F95" w:rsidR="00360B84" w:rsidRPr="002973C7" w:rsidRDefault="00203D9C" w:rsidP="00E818DA">
      <w:pPr>
        <w:spacing w:line="360" w:lineRule="auto"/>
        <w:ind w:left="567" w:hanging="567"/>
        <w:rPr>
          <w:rFonts w:cstheme="minorHAnsi"/>
          <w:sz w:val="24"/>
          <w:szCs w:val="24"/>
          <w:shd w:val="clear" w:color="auto" w:fill="FFFFFF"/>
        </w:rPr>
      </w:pPr>
      <w:r>
        <w:rPr>
          <w:rFonts w:cstheme="minorHAnsi"/>
          <w:sz w:val="24"/>
          <w:szCs w:val="24"/>
          <w:shd w:val="clear" w:color="auto" w:fill="FFFFFF"/>
        </w:rPr>
        <w:t>Stephen, B</w:t>
      </w:r>
      <w:r w:rsidR="007317E4">
        <w:rPr>
          <w:rFonts w:cstheme="minorHAnsi"/>
          <w:sz w:val="24"/>
          <w:szCs w:val="24"/>
          <w:shd w:val="clear" w:color="auto" w:fill="FFFFFF"/>
        </w:rPr>
        <w:t xml:space="preserve">. (2020). </w:t>
      </w:r>
      <w:r w:rsidR="007317E4">
        <w:rPr>
          <w:rFonts w:cstheme="minorHAnsi"/>
          <w:i/>
          <w:iCs/>
          <w:sz w:val="24"/>
          <w:szCs w:val="24"/>
          <w:shd w:val="clear" w:color="auto" w:fill="FFFFFF"/>
        </w:rPr>
        <w:t xml:space="preserve">ETL301: </w:t>
      </w:r>
      <w:r w:rsidR="002973C7">
        <w:rPr>
          <w:rFonts w:cstheme="minorHAnsi"/>
          <w:i/>
          <w:iCs/>
          <w:sz w:val="24"/>
          <w:szCs w:val="24"/>
          <w:shd w:val="clear" w:color="auto" w:fill="FFFFFF"/>
        </w:rPr>
        <w:t>Learning and Teaching Adolescents in the 21</w:t>
      </w:r>
      <w:r w:rsidR="002973C7" w:rsidRPr="002973C7">
        <w:rPr>
          <w:rFonts w:cstheme="minorHAnsi"/>
          <w:i/>
          <w:iCs/>
          <w:sz w:val="24"/>
          <w:szCs w:val="24"/>
          <w:shd w:val="clear" w:color="auto" w:fill="FFFFFF"/>
          <w:vertAlign w:val="superscript"/>
        </w:rPr>
        <w:t>st</w:t>
      </w:r>
      <w:r w:rsidR="002973C7">
        <w:rPr>
          <w:rFonts w:cstheme="minorHAnsi"/>
          <w:i/>
          <w:iCs/>
          <w:sz w:val="24"/>
          <w:szCs w:val="24"/>
          <w:shd w:val="clear" w:color="auto" w:fill="FFFFFF"/>
        </w:rPr>
        <w:t xml:space="preserve"> Century. </w:t>
      </w:r>
      <w:r w:rsidR="00601A25">
        <w:rPr>
          <w:rFonts w:cstheme="minorHAnsi"/>
          <w:sz w:val="24"/>
          <w:szCs w:val="24"/>
          <w:shd w:val="clear" w:color="auto" w:fill="FFFFFF"/>
        </w:rPr>
        <w:t xml:space="preserve">University Lecture. </w:t>
      </w:r>
    </w:p>
    <w:p w14:paraId="1F952D47" w14:textId="6F54C581" w:rsidR="003A0061" w:rsidRPr="0098680E" w:rsidRDefault="003A0061" w:rsidP="00E818DA">
      <w:pPr>
        <w:spacing w:line="360" w:lineRule="auto"/>
        <w:ind w:left="567" w:hanging="567"/>
        <w:rPr>
          <w:rFonts w:cstheme="minorHAnsi"/>
          <w:sz w:val="24"/>
          <w:szCs w:val="24"/>
          <w:shd w:val="clear" w:color="auto" w:fill="FFFFFF"/>
        </w:rPr>
      </w:pPr>
      <w:r>
        <w:rPr>
          <w:rFonts w:cstheme="minorHAnsi"/>
          <w:sz w:val="24"/>
          <w:szCs w:val="24"/>
          <w:shd w:val="clear" w:color="auto" w:fill="FFFFFF"/>
        </w:rPr>
        <w:t>Groundwater-Smith</w:t>
      </w:r>
      <w:r w:rsidR="005B6DC3">
        <w:rPr>
          <w:rFonts w:cstheme="minorHAnsi"/>
          <w:sz w:val="24"/>
          <w:szCs w:val="24"/>
          <w:shd w:val="clear" w:color="auto" w:fill="FFFFFF"/>
        </w:rPr>
        <w:t xml:space="preserve">, S., &amp; Mockler, N. (2015). </w:t>
      </w:r>
      <w:r w:rsidR="005B6DC3">
        <w:rPr>
          <w:rFonts w:cstheme="minorHAnsi"/>
          <w:i/>
          <w:iCs/>
          <w:sz w:val="24"/>
          <w:szCs w:val="24"/>
          <w:shd w:val="clear" w:color="auto" w:fill="FFFFFF"/>
        </w:rPr>
        <w:t xml:space="preserve">Big Fish, Little Fish: </w:t>
      </w:r>
      <w:r w:rsidR="003A3451">
        <w:rPr>
          <w:rFonts w:cstheme="minorHAnsi"/>
          <w:i/>
          <w:iCs/>
          <w:sz w:val="24"/>
          <w:szCs w:val="24"/>
          <w:shd w:val="clear" w:color="auto" w:fill="FFFFFF"/>
        </w:rPr>
        <w:t xml:space="preserve">Teaching </w:t>
      </w:r>
      <w:r w:rsidR="005B6DC3">
        <w:rPr>
          <w:rFonts w:cstheme="minorHAnsi"/>
          <w:i/>
          <w:iCs/>
          <w:sz w:val="24"/>
          <w:szCs w:val="24"/>
          <w:shd w:val="clear" w:color="auto" w:fill="FFFFFF"/>
        </w:rPr>
        <w:t>and Learning in the Middle Years</w:t>
      </w:r>
      <w:r w:rsidR="0098680E">
        <w:rPr>
          <w:rFonts w:cstheme="minorHAnsi"/>
          <w:sz w:val="24"/>
          <w:szCs w:val="24"/>
          <w:shd w:val="clear" w:color="auto" w:fill="FFFFFF"/>
        </w:rPr>
        <w:t xml:space="preserve"> (</w:t>
      </w:r>
      <w:r w:rsidR="003A3451">
        <w:rPr>
          <w:rFonts w:cstheme="minorHAnsi"/>
          <w:sz w:val="24"/>
          <w:szCs w:val="24"/>
          <w:shd w:val="clear" w:color="auto" w:fill="FFFFFF"/>
        </w:rPr>
        <w:t>1</w:t>
      </w:r>
      <w:r w:rsidR="003A3451" w:rsidRPr="003A3451">
        <w:rPr>
          <w:rFonts w:cstheme="minorHAnsi"/>
          <w:sz w:val="24"/>
          <w:szCs w:val="24"/>
          <w:shd w:val="clear" w:color="auto" w:fill="FFFFFF"/>
          <w:vertAlign w:val="superscript"/>
        </w:rPr>
        <w:t>st</w:t>
      </w:r>
      <w:r w:rsidR="003A3451">
        <w:rPr>
          <w:rFonts w:cstheme="minorHAnsi"/>
          <w:sz w:val="24"/>
          <w:szCs w:val="24"/>
          <w:shd w:val="clear" w:color="auto" w:fill="FFFFFF"/>
        </w:rPr>
        <w:t xml:space="preserve"> ed.). Cambridge</w:t>
      </w:r>
      <w:r w:rsidR="0061594F">
        <w:rPr>
          <w:rFonts w:cstheme="minorHAnsi"/>
          <w:sz w:val="24"/>
          <w:szCs w:val="24"/>
          <w:shd w:val="clear" w:color="auto" w:fill="FFFFFF"/>
        </w:rPr>
        <w:t xml:space="preserve"> University Press. </w:t>
      </w:r>
    </w:p>
    <w:p w14:paraId="58A2B199" w14:textId="53FA8D1B" w:rsidR="00E818DA" w:rsidRDefault="00E818DA" w:rsidP="00E818DA">
      <w:pPr>
        <w:spacing w:line="360" w:lineRule="auto"/>
        <w:ind w:left="567" w:hanging="567"/>
        <w:rPr>
          <w:rFonts w:cstheme="minorHAnsi"/>
          <w:sz w:val="24"/>
          <w:szCs w:val="24"/>
          <w:shd w:val="clear" w:color="auto" w:fill="FFFFFF"/>
        </w:rPr>
      </w:pPr>
      <w:r w:rsidRPr="00B01E53">
        <w:rPr>
          <w:rFonts w:cstheme="minorHAnsi"/>
          <w:sz w:val="24"/>
          <w:szCs w:val="24"/>
          <w:shd w:val="clear" w:color="auto" w:fill="FFFFFF"/>
        </w:rPr>
        <w:t xml:space="preserve">Male, </w:t>
      </w:r>
      <w:r w:rsidR="00B01E53" w:rsidRPr="00B01E53">
        <w:rPr>
          <w:rFonts w:cstheme="minorHAnsi"/>
          <w:sz w:val="24"/>
          <w:szCs w:val="24"/>
          <w:shd w:val="clear" w:color="auto" w:fill="FFFFFF"/>
        </w:rPr>
        <w:t>T., Pala</w:t>
      </w:r>
      <w:r w:rsidR="00B01E53">
        <w:rPr>
          <w:rFonts w:cstheme="minorHAnsi"/>
          <w:sz w:val="24"/>
          <w:szCs w:val="24"/>
          <w:shd w:val="clear" w:color="auto" w:fill="FFFFFF"/>
        </w:rPr>
        <w:t xml:space="preserve">iologou, I. (2015). </w:t>
      </w:r>
      <w:r w:rsidR="000330AC">
        <w:rPr>
          <w:rFonts w:cstheme="minorHAnsi"/>
          <w:sz w:val="24"/>
          <w:szCs w:val="24"/>
          <w:shd w:val="clear" w:color="auto" w:fill="FFFFFF"/>
        </w:rPr>
        <w:t>Pedagogical Leadership in the 21</w:t>
      </w:r>
      <w:r w:rsidR="000330AC" w:rsidRPr="000330AC">
        <w:rPr>
          <w:rFonts w:cstheme="minorHAnsi"/>
          <w:sz w:val="24"/>
          <w:szCs w:val="24"/>
          <w:shd w:val="clear" w:color="auto" w:fill="FFFFFF"/>
          <w:vertAlign w:val="superscript"/>
        </w:rPr>
        <w:t>st</w:t>
      </w:r>
      <w:r w:rsidR="000330AC">
        <w:rPr>
          <w:rFonts w:cstheme="minorHAnsi"/>
          <w:sz w:val="24"/>
          <w:szCs w:val="24"/>
          <w:shd w:val="clear" w:color="auto" w:fill="FFFFFF"/>
        </w:rPr>
        <w:t xml:space="preserve"> Century: Evidence from the Field. </w:t>
      </w:r>
      <w:r w:rsidR="00B4066A">
        <w:rPr>
          <w:rFonts w:cstheme="minorHAnsi"/>
          <w:i/>
          <w:iCs/>
          <w:sz w:val="24"/>
          <w:szCs w:val="24"/>
          <w:shd w:val="clear" w:color="auto" w:fill="FFFFFF"/>
        </w:rPr>
        <w:t>Educational Management Administration and Leadership</w:t>
      </w:r>
      <w:r w:rsidR="002D6194">
        <w:rPr>
          <w:rFonts w:cstheme="minorHAnsi"/>
          <w:i/>
          <w:iCs/>
          <w:sz w:val="24"/>
          <w:szCs w:val="24"/>
          <w:shd w:val="clear" w:color="auto" w:fill="FFFFFF"/>
        </w:rPr>
        <w:t>, 43</w:t>
      </w:r>
      <w:r w:rsidR="002D6194">
        <w:rPr>
          <w:rFonts w:cstheme="minorHAnsi"/>
          <w:sz w:val="24"/>
          <w:szCs w:val="24"/>
          <w:shd w:val="clear" w:color="auto" w:fill="FFFFFF"/>
        </w:rPr>
        <w:t xml:space="preserve">(2), 214-231. </w:t>
      </w:r>
      <w:r w:rsidR="00866DC3" w:rsidRPr="00D631D3">
        <w:rPr>
          <w:rFonts w:cstheme="minorHAnsi"/>
          <w:sz w:val="24"/>
          <w:szCs w:val="24"/>
          <w:shd w:val="clear" w:color="auto" w:fill="FFFFFF"/>
        </w:rPr>
        <w:t>https://doi.org/10.1177/1741143213494889</w:t>
      </w:r>
      <w:r w:rsidR="00866DC3">
        <w:rPr>
          <w:rFonts w:cstheme="minorHAnsi"/>
          <w:sz w:val="24"/>
          <w:szCs w:val="24"/>
          <w:shd w:val="clear" w:color="auto" w:fill="FFFFFF"/>
        </w:rPr>
        <w:t xml:space="preserve"> </w:t>
      </w:r>
    </w:p>
    <w:p w14:paraId="7AF3A372" w14:textId="76D78CC7" w:rsidR="00635D81" w:rsidRPr="00265326" w:rsidRDefault="00635D81" w:rsidP="00E818DA">
      <w:pPr>
        <w:spacing w:line="360" w:lineRule="auto"/>
        <w:ind w:left="567" w:hanging="567"/>
        <w:rPr>
          <w:rFonts w:cstheme="minorHAnsi"/>
          <w:sz w:val="24"/>
          <w:szCs w:val="24"/>
        </w:rPr>
      </w:pPr>
      <w:r>
        <w:rPr>
          <w:sz w:val="24"/>
          <w:szCs w:val="24"/>
        </w:rPr>
        <w:t xml:space="preserve">Spector, J., Ifenthaler, </w:t>
      </w:r>
      <w:r w:rsidR="0075513B">
        <w:rPr>
          <w:sz w:val="24"/>
          <w:szCs w:val="24"/>
        </w:rPr>
        <w:t xml:space="preserve">D., </w:t>
      </w:r>
      <w:r>
        <w:rPr>
          <w:sz w:val="24"/>
          <w:szCs w:val="24"/>
        </w:rPr>
        <w:t xml:space="preserve">Sampson, </w:t>
      </w:r>
      <w:r w:rsidR="0075513B">
        <w:rPr>
          <w:sz w:val="24"/>
          <w:szCs w:val="24"/>
        </w:rPr>
        <w:t xml:space="preserve">D., </w:t>
      </w:r>
      <w:r>
        <w:rPr>
          <w:sz w:val="24"/>
          <w:szCs w:val="24"/>
        </w:rPr>
        <w:t>Yang,</w:t>
      </w:r>
      <w:r w:rsidR="0075513B">
        <w:rPr>
          <w:sz w:val="24"/>
          <w:szCs w:val="24"/>
        </w:rPr>
        <w:t xml:space="preserve"> L.,</w:t>
      </w:r>
      <w:r>
        <w:rPr>
          <w:sz w:val="24"/>
          <w:szCs w:val="24"/>
        </w:rPr>
        <w:t xml:space="preserve"> Mukama, </w:t>
      </w:r>
      <w:r w:rsidR="00BB1179">
        <w:rPr>
          <w:sz w:val="24"/>
          <w:szCs w:val="24"/>
        </w:rPr>
        <w:t xml:space="preserve">E., </w:t>
      </w:r>
      <w:r>
        <w:rPr>
          <w:sz w:val="24"/>
          <w:szCs w:val="24"/>
        </w:rPr>
        <w:t>Warusavitarana,</w:t>
      </w:r>
      <w:r w:rsidR="00BB1179">
        <w:rPr>
          <w:sz w:val="24"/>
          <w:szCs w:val="24"/>
        </w:rPr>
        <w:t xml:space="preserve"> A.,</w:t>
      </w:r>
      <w:r>
        <w:rPr>
          <w:sz w:val="24"/>
          <w:szCs w:val="24"/>
        </w:rPr>
        <w:t xml:space="preserve"> Dona, </w:t>
      </w:r>
      <w:r w:rsidR="00BB1179">
        <w:rPr>
          <w:sz w:val="24"/>
          <w:szCs w:val="24"/>
        </w:rPr>
        <w:t xml:space="preserve">K., </w:t>
      </w:r>
      <w:r>
        <w:rPr>
          <w:sz w:val="24"/>
          <w:szCs w:val="24"/>
        </w:rPr>
        <w:t xml:space="preserve">Eichhorn, </w:t>
      </w:r>
      <w:r w:rsidR="00BB1179">
        <w:rPr>
          <w:sz w:val="24"/>
          <w:szCs w:val="24"/>
        </w:rPr>
        <w:t xml:space="preserve">K., </w:t>
      </w:r>
      <w:r>
        <w:rPr>
          <w:sz w:val="24"/>
          <w:szCs w:val="24"/>
        </w:rPr>
        <w:t xml:space="preserve">Fluck, </w:t>
      </w:r>
      <w:r w:rsidR="00626971">
        <w:rPr>
          <w:sz w:val="24"/>
          <w:szCs w:val="24"/>
        </w:rPr>
        <w:t xml:space="preserve">A., </w:t>
      </w:r>
      <w:r>
        <w:rPr>
          <w:sz w:val="24"/>
          <w:szCs w:val="24"/>
        </w:rPr>
        <w:t xml:space="preserve">Huang, </w:t>
      </w:r>
      <w:r w:rsidR="00626971">
        <w:rPr>
          <w:sz w:val="24"/>
          <w:szCs w:val="24"/>
        </w:rPr>
        <w:t xml:space="preserve">R., </w:t>
      </w:r>
      <w:r>
        <w:rPr>
          <w:sz w:val="24"/>
          <w:szCs w:val="24"/>
        </w:rPr>
        <w:t>Bridges,</w:t>
      </w:r>
      <w:r w:rsidR="00626971">
        <w:rPr>
          <w:sz w:val="24"/>
          <w:szCs w:val="24"/>
        </w:rPr>
        <w:t xml:space="preserve"> S., </w:t>
      </w:r>
      <w:r>
        <w:rPr>
          <w:sz w:val="24"/>
          <w:szCs w:val="24"/>
        </w:rPr>
        <w:t xml:space="preserve"> Lu,</w:t>
      </w:r>
      <w:r w:rsidR="00626971">
        <w:rPr>
          <w:sz w:val="24"/>
          <w:szCs w:val="24"/>
        </w:rPr>
        <w:t xml:space="preserve"> J.,</w:t>
      </w:r>
      <w:r>
        <w:rPr>
          <w:sz w:val="24"/>
          <w:szCs w:val="24"/>
        </w:rPr>
        <w:t xml:space="preserve"> Ren,</w:t>
      </w:r>
      <w:r w:rsidR="00626971">
        <w:rPr>
          <w:sz w:val="24"/>
          <w:szCs w:val="24"/>
        </w:rPr>
        <w:t xml:space="preserve"> Y.,</w:t>
      </w:r>
      <w:r>
        <w:rPr>
          <w:sz w:val="24"/>
          <w:szCs w:val="24"/>
        </w:rPr>
        <w:t xml:space="preserve"> Gui, </w:t>
      </w:r>
      <w:r w:rsidR="00626971">
        <w:rPr>
          <w:sz w:val="24"/>
          <w:szCs w:val="24"/>
        </w:rPr>
        <w:t xml:space="preserve">X., </w:t>
      </w:r>
      <w:r>
        <w:rPr>
          <w:sz w:val="24"/>
          <w:szCs w:val="24"/>
        </w:rPr>
        <w:t xml:space="preserve">Deneen, </w:t>
      </w:r>
      <w:r w:rsidR="008C56D1">
        <w:rPr>
          <w:sz w:val="24"/>
          <w:szCs w:val="24"/>
        </w:rPr>
        <w:t xml:space="preserve">C., </w:t>
      </w:r>
      <w:r>
        <w:rPr>
          <w:sz w:val="24"/>
          <w:szCs w:val="24"/>
        </w:rPr>
        <w:t>Diego</w:t>
      </w:r>
      <w:r w:rsidR="008C56D1">
        <w:rPr>
          <w:sz w:val="24"/>
          <w:szCs w:val="24"/>
        </w:rPr>
        <w:t>, J.,</w:t>
      </w:r>
      <w:r>
        <w:rPr>
          <w:sz w:val="24"/>
          <w:szCs w:val="24"/>
        </w:rPr>
        <w:t xml:space="preserve"> &amp; Gibson</w:t>
      </w:r>
      <w:r w:rsidR="008C56D1">
        <w:rPr>
          <w:sz w:val="24"/>
          <w:szCs w:val="24"/>
        </w:rPr>
        <w:t xml:space="preserve">, D. (2016). </w:t>
      </w:r>
      <w:r w:rsidR="00265326" w:rsidRPr="00265326">
        <w:rPr>
          <w:rFonts w:cstheme="minorHAnsi"/>
          <w:sz w:val="24"/>
          <w:szCs w:val="24"/>
          <w:shd w:val="clear" w:color="auto" w:fill="FFFFFF"/>
        </w:rPr>
        <w:t>Technology Enhanced Formative Assessment for 21st Century Learning. </w:t>
      </w:r>
      <w:r w:rsidR="00265326" w:rsidRPr="00265326">
        <w:rPr>
          <w:rFonts w:cstheme="minorHAnsi"/>
          <w:i/>
          <w:iCs/>
          <w:sz w:val="24"/>
          <w:szCs w:val="24"/>
          <w:shd w:val="clear" w:color="auto" w:fill="FFFFFF"/>
        </w:rPr>
        <w:t>Educational Technology &amp; Society</w:t>
      </w:r>
      <w:r w:rsidR="00265326" w:rsidRPr="00265326">
        <w:rPr>
          <w:rFonts w:cstheme="minorHAnsi"/>
          <w:sz w:val="24"/>
          <w:szCs w:val="24"/>
          <w:shd w:val="clear" w:color="auto" w:fill="FFFFFF"/>
        </w:rPr>
        <w:t>, </w:t>
      </w:r>
      <w:r w:rsidR="00265326" w:rsidRPr="00265326">
        <w:rPr>
          <w:rFonts w:cstheme="minorHAnsi"/>
          <w:i/>
          <w:iCs/>
          <w:sz w:val="24"/>
          <w:szCs w:val="24"/>
          <w:shd w:val="clear" w:color="auto" w:fill="FFFFFF"/>
        </w:rPr>
        <w:t>19</w:t>
      </w:r>
      <w:r w:rsidR="00265326" w:rsidRPr="00265326">
        <w:rPr>
          <w:rFonts w:cstheme="minorHAnsi"/>
          <w:sz w:val="24"/>
          <w:szCs w:val="24"/>
          <w:shd w:val="clear" w:color="auto" w:fill="FFFFFF"/>
        </w:rPr>
        <w:t>(3), 58–71.</w:t>
      </w:r>
      <w:r w:rsidR="00265326">
        <w:rPr>
          <w:rFonts w:cstheme="minorHAnsi"/>
          <w:sz w:val="24"/>
          <w:szCs w:val="24"/>
          <w:shd w:val="clear" w:color="auto" w:fill="FFFFFF"/>
        </w:rPr>
        <w:t xml:space="preserve"> </w:t>
      </w:r>
    </w:p>
    <w:p w14:paraId="49F88C2A" w14:textId="21E501AB" w:rsidR="007E5F67" w:rsidRPr="00E818DA" w:rsidRDefault="007E5F67" w:rsidP="00E818DA">
      <w:pPr>
        <w:spacing w:line="360" w:lineRule="auto"/>
        <w:rPr>
          <w:rFonts w:cstheme="minorHAnsi"/>
          <w:sz w:val="24"/>
          <w:szCs w:val="24"/>
        </w:rPr>
      </w:pPr>
    </w:p>
    <w:sectPr w:rsidR="007E5F67" w:rsidRPr="00E818D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9B823" w14:textId="77777777" w:rsidR="00231552" w:rsidRDefault="00231552" w:rsidP="00F21F62">
      <w:pPr>
        <w:spacing w:after="0" w:line="240" w:lineRule="auto"/>
      </w:pPr>
      <w:r>
        <w:separator/>
      </w:r>
    </w:p>
  </w:endnote>
  <w:endnote w:type="continuationSeparator" w:id="0">
    <w:p w14:paraId="49F82E3F" w14:textId="77777777" w:rsidR="00231552" w:rsidRDefault="00231552" w:rsidP="00F21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3C6C9" w14:textId="77F36065" w:rsidR="00D348BF" w:rsidRPr="00D27DCB" w:rsidRDefault="00781AE9">
    <w:pPr>
      <w:pStyle w:val="Footer"/>
      <w:rPr>
        <w:sz w:val="24"/>
        <w:szCs w:val="24"/>
      </w:rPr>
    </w:pPr>
    <w:r w:rsidRPr="00D27DCB">
      <w:rPr>
        <w:sz w:val="24"/>
        <w:szCs w:val="24"/>
      </w:rPr>
      <w:t>Shanil Moreau</w:t>
    </w:r>
  </w:p>
  <w:p w14:paraId="4EC60DD5" w14:textId="712EB02A" w:rsidR="00781AE9" w:rsidRPr="00D27DCB" w:rsidRDefault="00D27DCB">
    <w:pPr>
      <w:pStyle w:val="Footer"/>
      <w:rPr>
        <w:sz w:val="24"/>
        <w:szCs w:val="24"/>
      </w:rPr>
    </w:pPr>
    <w:r w:rsidRPr="00D27DCB">
      <w:rPr>
        <w:sz w:val="24"/>
        <w:szCs w:val="24"/>
      </w:rPr>
      <w:t>#s267337</w:t>
    </w:r>
    <w:r w:rsidRPr="00D27DCB">
      <w:rPr>
        <w:sz w:val="24"/>
        <w:szCs w:val="24"/>
      </w:rPr>
      <w:tab/>
    </w:r>
    <w:r w:rsidRPr="00D27DCB">
      <w:rPr>
        <w:sz w:val="24"/>
        <w:szCs w:val="24"/>
      </w:rPr>
      <w:tab/>
    </w:r>
    <w:r w:rsidRPr="00D27DCB">
      <w:rPr>
        <w:sz w:val="24"/>
        <w:szCs w:val="24"/>
      </w:rPr>
      <w:fldChar w:fldCharType="begin"/>
    </w:r>
    <w:r w:rsidRPr="00D27DCB">
      <w:rPr>
        <w:sz w:val="24"/>
        <w:szCs w:val="24"/>
      </w:rPr>
      <w:instrText xml:space="preserve"> PAGE   \* MERGEFORMAT </w:instrText>
    </w:r>
    <w:r w:rsidRPr="00D27DCB">
      <w:rPr>
        <w:sz w:val="24"/>
        <w:szCs w:val="24"/>
      </w:rPr>
      <w:fldChar w:fldCharType="separate"/>
    </w:r>
    <w:r w:rsidRPr="00D27DCB">
      <w:rPr>
        <w:noProof/>
        <w:sz w:val="24"/>
        <w:szCs w:val="24"/>
      </w:rPr>
      <w:t>1</w:t>
    </w:r>
    <w:r w:rsidRPr="00D27DCB">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276EC" w14:textId="77777777" w:rsidR="00231552" w:rsidRDefault="00231552" w:rsidP="00F21F62">
      <w:pPr>
        <w:spacing w:after="0" w:line="240" w:lineRule="auto"/>
      </w:pPr>
      <w:r>
        <w:separator/>
      </w:r>
    </w:p>
  </w:footnote>
  <w:footnote w:type="continuationSeparator" w:id="0">
    <w:p w14:paraId="2B4FD32A" w14:textId="77777777" w:rsidR="00231552" w:rsidRDefault="00231552" w:rsidP="00F21F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9A2B2" w14:textId="11402540" w:rsidR="00D348BF" w:rsidRPr="00781AE9" w:rsidRDefault="00D348BF">
    <w:pPr>
      <w:pStyle w:val="Header"/>
      <w:rPr>
        <w:sz w:val="24"/>
        <w:szCs w:val="24"/>
      </w:rPr>
    </w:pPr>
    <w:r w:rsidRPr="00781AE9">
      <w:rPr>
        <w:sz w:val="24"/>
        <w:szCs w:val="24"/>
      </w:rPr>
      <w:t xml:space="preserve">ETL301 - </w:t>
    </w:r>
    <w:r w:rsidR="00781AE9" w:rsidRPr="00781AE9">
      <w:rPr>
        <w:sz w:val="24"/>
        <w:szCs w:val="24"/>
      </w:rPr>
      <w:t>Learning and Teaching Adolescents in the 21</w:t>
    </w:r>
    <w:r w:rsidR="00781AE9" w:rsidRPr="00781AE9">
      <w:rPr>
        <w:sz w:val="24"/>
        <w:szCs w:val="24"/>
        <w:vertAlign w:val="superscript"/>
      </w:rPr>
      <w:t>st</w:t>
    </w:r>
    <w:r w:rsidR="00781AE9" w:rsidRPr="00781AE9">
      <w:rPr>
        <w:sz w:val="24"/>
        <w:szCs w:val="24"/>
      </w:rPr>
      <w:t xml:space="preserve"> Century</w:t>
    </w:r>
    <w:r w:rsidR="00781AE9" w:rsidRPr="00781AE9">
      <w:rPr>
        <w:sz w:val="24"/>
        <w:szCs w:val="24"/>
      </w:rPr>
      <w:tab/>
      <w:t>Assignment 1 – Part A</w:t>
    </w:r>
  </w:p>
  <w:p w14:paraId="287F9A85" w14:textId="77777777" w:rsidR="00D348BF" w:rsidRDefault="00D34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B66F3"/>
    <w:multiLevelType w:val="hybridMultilevel"/>
    <w:tmpl w:val="D08C3EF6"/>
    <w:lvl w:ilvl="0" w:tplc="2A68570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3A09D2"/>
    <w:multiLevelType w:val="hybridMultilevel"/>
    <w:tmpl w:val="7B0AAD14"/>
    <w:lvl w:ilvl="0" w:tplc="2A68570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DAA5C00"/>
    <w:multiLevelType w:val="hybridMultilevel"/>
    <w:tmpl w:val="44E6B480"/>
    <w:lvl w:ilvl="0" w:tplc="00C84CE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D35"/>
    <w:rsid w:val="00002B61"/>
    <w:rsid w:val="000148EB"/>
    <w:rsid w:val="00015191"/>
    <w:rsid w:val="00015811"/>
    <w:rsid w:val="00020DDB"/>
    <w:rsid w:val="000330AC"/>
    <w:rsid w:val="00034155"/>
    <w:rsid w:val="00035631"/>
    <w:rsid w:val="00035AB0"/>
    <w:rsid w:val="000366A7"/>
    <w:rsid w:val="00042FCB"/>
    <w:rsid w:val="00043E74"/>
    <w:rsid w:val="00051A8A"/>
    <w:rsid w:val="00052CFE"/>
    <w:rsid w:val="00053851"/>
    <w:rsid w:val="000561D8"/>
    <w:rsid w:val="00056504"/>
    <w:rsid w:val="000626D2"/>
    <w:rsid w:val="000804D8"/>
    <w:rsid w:val="00085E97"/>
    <w:rsid w:val="000975D4"/>
    <w:rsid w:val="000A470C"/>
    <w:rsid w:val="000B2868"/>
    <w:rsid w:val="000B5AE3"/>
    <w:rsid w:val="000D15ED"/>
    <w:rsid w:val="000E07B1"/>
    <w:rsid w:val="000E2BD7"/>
    <w:rsid w:val="000E3463"/>
    <w:rsid w:val="000E499C"/>
    <w:rsid w:val="000F0E10"/>
    <w:rsid w:val="000F4323"/>
    <w:rsid w:val="000F795A"/>
    <w:rsid w:val="00106662"/>
    <w:rsid w:val="00117976"/>
    <w:rsid w:val="00117FBE"/>
    <w:rsid w:val="00120486"/>
    <w:rsid w:val="00130F12"/>
    <w:rsid w:val="00140874"/>
    <w:rsid w:val="0014139A"/>
    <w:rsid w:val="00142030"/>
    <w:rsid w:val="001529DA"/>
    <w:rsid w:val="00152DF4"/>
    <w:rsid w:val="001544D4"/>
    <w:rsid w:val="00154BB3"/>
    <w:rsid w:val="00176F87"/>
    <w:rsid w:val="001900CF"/>
    <w:rsid w:val="001962EA"/>
    <w:rsid w:val="001A002B"/>
    <w:rsid w:val="001A2993"/>
    <w:rsid w:val="001A58B5"/>
    <w:rsid w:val="001A6592"/>
    <w:rsid w:val="001C6B94"/>
    <w:rsid w:val="001E033F"/>
    <w:rsid w:val="001E3BC2"/>
    <w:rsid w:val="00203D9C"/>
    <w:rsid w:val="00206D01"/>
    <w:rsid w:val="00225666"/>
    <w:rsid w:val="00231552"/>
    <w:rsid w:val="00240E3C"/>
    <w:rsid w:val="00243C24"/>
    <w:rsid w:val="00253175"/>
    <w:rsid w:val="002554B7"/>
    <w:rsid w:val="00265326"/>
    <w:rsid w:val="00280845"/>
    <w:rsid w:val="00281F9B"/>
    <w:rsid w:val="002869FC"/>
    <w:rsid w:val="0028723B"/>
    <w:rsid w:val="00297027"/>
    <w:rsid w:val="002973C7"/>
    <w:rsid w:val="002B2A18"/>
    <w:rsid w:val="002D6194"/>
    <w:rsid w:val="002E6CFD"/>
    <w:rsid w:val="002F0334"/>
    <w:rsid w:val="002F430E"/>
    <w:rsid w:val="002F5875"/>
    <w:rsid w:val="00300D91"/>
    <w:rsid w:val="00306F4A"/>
    <w:rsid w:val="0031208B"/>
    <w:rsid w:val="00320103"/>
    <w:rsid w:val="00331C9E"/>
    <w:rsid w:val="0033512B"/>
    <w:rsid w:val="00342D6A"/>
    <w:rsid w:val="00344F40"/>
    <w:rsid w:val="003554C5"/>
    <w:rsid w:val="00357554"/>
    <w:rsid w:val="003576C2"/>
    <w:rsid w:val="00360B84"/>
    <w:rsid w:val="00361A04"/>
    <w:rsid w:val="00367251"/>
    <w:rsid w:val="00367749"/>
    <w:rsid w:val="003757F6"/>
    <w:rsid w:val="00381220"/>
    <w:rsid w:val="003A0061"/>
    <w:rsid w:val="003A3451"/>
    <w:rsid w:val="003A3703"/>
    <w:rsid w:val="003A4DEF"/>
    <w:rsid w:val="003B453D"/>
    <w:rsid w:val="003B4DC5"/>
    <w:rsid w:val="003C3E80"/>
    <w:rsid w:val="003C521A"/>
    <w:rsid w:val="003D7EA2"/>
    <w:rsid w:val="003E2100"/>
    <w:rsid w:val="003E29DD"/>
    <w:rsid w:val="003E491F"/>
    <w:rsid w:val="003F7755"/>
    <w:rsid w:val="004031AD"/>
    <w:rsid w:val="00423506"/>
    <w:rsid w:val="00433EE4"/>
    <w:rsid w:val="00443D35"/>
    <w:rsid w:val="00447BE9"/>
    <w:rsid w:val="0045570F"/>
    <w:rsid w:val="004757CB"/>
    <w:rsid w:val="00475DCD"/>
    <w:rsid w:val="004804BB"/>
    <w:rsid w:val="00486B77"/>
    <w:rsid w:val="0049442C"/>
    <w:rsid w:val="00496383"/>
    <w:rsid w:val="004A5471"/>
    <w:rsid w:val="004C275A"/>
    <w:rsid w:val="004C6E83"/>
    <w:rsid w:val="004E0BF2"/>
    <w:rsid w:val="004E1984"/>
    <w:rsid w:val="004E285B"/>
    <w:rsid w:val="004E5C2C"/>
    <w:rsid w:val="00550E68"/>
    <w:rsid w:val="005605A0"/>
    <w:rsid w:val="005608FA"/>
    <w:rsid w:val="0057080C"/>
    <w:rsid w:val="005736BC"/>
    <w:rsid w:val="00583028"/>
    <w:rsid w:val="00586DDC"/>
    <w:rsid w:val="005976A0"/>
    <w:rsid w:val="005A18A9"/>
    <w:rsid w:val="005B6DC3"/>
    <w:rsid w:val="005E07BB"/>
    <w:rsid w:val="005E7DED"/>
    <w:rsid w:val="005F00E4"/>
    <w:rsid w:val="00601A25"/>
    <w:rsid w:val="0061594F"/>
    <w:rsid w:val="00624EFE"/>
    <w:rsid w:val="006260CA"/>
    <w:rsid w:val="0062644E"/>
    <w:rsid w:val="00626971"/>
    <w:rsid w:val="00631E2B"/>
    <w:rsid w:val="00635D81"/>
    <w:rsid w:val="0064190E"/>
    <w:rsid w:val="00647356"/>
    <w:rsid w:val="00664EAE"/>
    <w:rsid w:val="006654C9"/>
    <w:rsid w:val="0066713D"/>
    <w:rsid w:val="00690A14"/>
    <w:rsid w:val="00694A1E"/>
    <w:rsid w:val="006A28BB"/>
    <w:rsid w:val="006A5BFA"/>
    <w:rsid w:val="006A711D"/>
    <w:rsid w:val="006B0153"/>
    <w:rsid w:val="006C492F"/>
    <w:rsid w:val="006D37E0"/>
    <w:rsid w:val="006D60D2"/>
    <w:rsid w:val="006D6D00"/>
    <w:rsid w:val="006D71AC"/>
    <w:rsid w:val="006E0912"/>
    <w:rsid w:val="006F586F"/>
    <w:rsid w:val="007038F9"/>
    <w:rsid w:val="00722006"/>
    <w:rsid w:val="00722BDD"/>
    <w:rsid w:val="00723515"/>
    <w:rsid w:val="007247AA"/>
    <w:rsid w:val="007317E4"/>
    <w:rsid w:val="00733501"/>
    <w:rsid w:val="007357BE"/>
    <w:rsid w:val="0074235A"/>
    <w:rsid w:val="0074688B"/>
    <w:rsid w:val="00746AEA"/>
    <w:rsid w:val="0075164D"/>
    <w:rsid w:val="0075513B"/>
    <w:rsid w:val="0075682F"/>
    <w:rsid w:val="00764A91"/>
    <w:rsid w:val="00781AE9"/>
    <w:rsid w:val="007851F6"/>
    <w:rsid w:val="0078754B"/>
    <w:rsid w:val="007A1F8B"/>
    <w:rsid w:val="007A3FDD"/>
    <w:rsid w:val="007B4820"/>
    <w:rsid w:val="007C3745"/>
    <w:rsid w:val="007C7158"/>
    <w:rsid w:val="007D7733"/>
    <w:rsid w:val="007E31CC"/>
    <w:rsid w:val="007E5F67"/>
    <w:rsid w:val="007E78A2"/>
    <w:rsid w:val="007F16B5"/>
    <w:rsid w:val="007F1CD8"/>
    <w:rsid w:val="007F2E61"/>
    <w:rsid w:val="007F51FB"/>
    <w:rsid w:val="007F602C"/>
    <w:rsid w:val="00830D0E"/>
    <w:rsid w:val="00831DD5"/>
    <w:rsid w:val="00846731"/>
    <w:rsid w:val="00866DC3"/>
    <w:rsid w:val="00881CD9"/>
    <w:rsid w:val="00883489"/>
    <w:rsid w:val="008836B9"/>
    <w:rsid w:val="00887691"/>
    <w:rsid w:val="00891BE4"/>
    <w:rsid w:val="008C0A10"/>
    <w:rsid w:val="008C56D1"/>
    <w:rsid w:val="008D5C70"/>
    <w:rsid w:val="008E4A06"/>
    <w:rsid w:val="008F4D55"/>
    <w:rsid w:val="008F7216"/>
    <w:rsid w:val="00902B46"/>
    <w:rsid w:val="00924115"/>
    <w:rsid w:val="00930163"/>
    <w:rsid w:val="00952E07"/>
    <w:rsid w:val="00957A47"/>
    <w:rsid w:val="00963E66"/>
    <w:rsid w:val="0098680E"/>
    <w:rsid w:val="00987960"/>
    <w:rsid w:val="00994545"/>
    <w:rsid w:val="009B7D98"/>
    <w:rsid w:val="009E1799"/>
    <w:rsid w:val="009E4C61"/>
    <w:rsid w:val="009E7635"/>
    <w:rsid w:val="009F04B4"/>
    <w:rsid w:val="00A01DE3"/>
    <w:rsid w:val="00A02454"/>
    <w:rsid w:val="00A17A3A"/>
    <w:rsid w:val="00A221AD"/>
    <w:rsid w:val="00A334F8"/>
    <w:rsid w:val="00A407A5"/>
    <w:rsid w:val="00A44F86"/>
    <w:rsid w:val="00A60101"/>
    <w:rsid w:val="00A70C64"/>
    <w:rsid w:val="00A73410"/>
    <w:rsid w:val="00A74BDF"/>
    <w:rsid w:val="00A8097A"/>
    <w:rsid w:val="00A852E1"/>
    <w:rsid w:val="00A9127E"/>
    <w:rsid w:val="00AA20F5"/>
    <w:rsid w:val="00AA33BB"/>
    <w:rsid w:val="00AA413A"/>
    <w:rsid w:val="00AB72CC"/>
    <w:rsid w:val="00AD2AA9"/>
    <w:rsid w:val="00AD68DB"/>
    <w:rsid w:val="00AD73F0"/>
    <w:rsid w:val="00AE20FD"/>
    <w:rsid w:val="00AE36D7"/>
    <w:rsid w:val="00AF6C1C"/>
    <w:rsid w:val="00AF7461"/>
    <w:rsid w:val="00AF7F50"/>
    <w:rsid w:val="00B01E53"/>
    <w:rsid w:val="00B105D3"/>
    <w:rsid w:val="00B37642"/>
    <w:rsid w:val="00B4066A"/>
    <w:rsid w:val="00B619ED"/>
    <w:rsid w:val="00B676DD"/>
    <w:rsid w:val="00B7070C"/>
    <w:rsid w:val="00B95EA0"/>
    <w:rsid w:val="00BA0510"/>
    <w:rsid w:val="00BA0ED0"/>
    <w:rsid w:val="00BB1179"/>
    <w:rsid w:val="00BB78F8"/>
    <w:rsid w:val="00BC73D5"/>
    <w:rsid w:val="00BD31F1"/>
    <w:rsid w:val="00BE477D"/>
    <w:rsid w:val="00C24FEC"/>
    <w:rsid w:val="00C35EA0"/>
    <w:rsid w:val="00C47E9F"/>
    <w:rsid w:val="00C50AA0"/>
    <w:rsid w:val="00C56647"/>
    <w:rsid w:val="00C63AC9"/>
    <w:rsid w:val="00C644B0"/>
    <w:rsid w:val="00C66E10"/>
    <w:rsid w:val="00C710BB"/>
    <w:rsid w:val="00C769D5"/>
    <w:rsid w:val="00C80E4E"/>
    <w:rsid w:val="00CA5E6B"/>
    <w:rsid w:val="00CA73D9"/>
    <w:rsid w:val="00CB265D"/>
    <w:rsid w:val="00CB4DE1"/>
    <w:rsid w:val="00CC1F51"/>
    <w:rsid w:val="00CC74C4"/>
    <w:rsid w:val="00CD2645"/>
    <w:rsid w:val="00CF4C3D"/>
    <w:rsid w:val="00D01455"/>
    <w:rsid w:val="00D03903"/>
    <w:rsid w:val="00D27DCB"/>
    <w:rsid w:val="00D348BF"/>
    <w:rsid w:val="00D40F71"/>
    <w:rsid w:val="00D412E9"/>
    <w:rsid w:val="00D439DB"/>
    <w:rsid w:val="00D57723"/>
    <w:rsid w:val="00D631D3"/>
    <w:rsid w:val="00D63305"/>
    <w:rsid w:val="00D66937"/>
    <w:rsid w:val="00D72D6B"/>
    <w:rsid w:val="00D73370"/>
    <w:rsid w:val="00D74A41"/>
    <w:rsid w:val="00D75255"/>
    <w:rsid w:val="00D8149B"/>
    <w:rsid w:val="00D879FD"/>
    <w:rsid w:val="00DA190B"/>
    <w:rsid w:val="00DA3C5E"/>
    <w:rsid w:val="00DA6863"/>
    <w:rsid w:val="00DB18FE"/>
    <w:rsid w:val="00DD0027"/>
    <w:rsid w:val="00DD53C3"/>
    <w:rsid w:val="00DF0A47"/>
    <w:rsid w:val="00DF1E30"/>
    <w:rsid w:val="00DF5D27"/>
    <w:rsid w:val="00E037E3"/>
    <w:rsid w:val="00E16FBB"/>
    <w:rsid w:val="00E42024"/>
    <w:rsid w:val="00E46075"/>
    <w:rsid w:val="00E5282E"/>
    <w:rsid w:val="00E667C3"/>
    <w:rsid w:val="00E712D9"/>
    <w:rsid w:val="00E74169"/>
    <w:rsid w:val="00E76999"/>
    <w:rsid w:val="00E818DA"/>
    <w:rsid w:val="00E90559"/>
    <w:rsid w:val="00E94782"/>
    <w:rsid w:val="00EC2B39"/>
    <w:rsid w:val="00EC5D5C"/>
    <w:rsid w:val="00ED32BC"/>
    <w:rsid w:val="00EF342C"/>
    <w:rsid w:val="00EF43F1"/>
    <w:rsid w:val="00EF5EDA"/>
    <w:rsid w:val="00F01780"/>
    <w:rsid w:val="00F05209"/>
    <w:rsid w:val="00F20F45"/>
    <w:rsid w:val="00F21F62"/>
    <w:rsid w:val="00F32CE2"/>
    <w:rsid w:val="00F47DED"/>
    <w:rsid w:val="00F5780B"/>
    <w:rsid w:val="00F578F9"/>
    <w:rsid w:val="00F62848"/>
    <w:rsid w:val="00F740DB"/>
    <w:rsid w:val="00F8313C"/>
    <w:rsid w:val="00FA35BA"/>
    <w:rsid w:val="00FA5B68"/>
    <w:rsid w:val="00FA6611"/>
    <w:rsid w:val="00FA70BD"/>
    <w:rsid w:val="00FB06EE"/>
    <w:rsid w:val="00FC56A0"/>
    <w:rsid w:val="00FD2955"/>
    <w:rsid w:val="00FE5899"/>
    <w:rsid w:val="00FE5FD3"/>
    <w:rsid w:val="00FF00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DA733"/>
  <w15:chartTrackingRefBased/>
  <w15:docId w15:val="{2161D04C-35F2-4B59-96B7-7F6F56D66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559"/>
    <w:pPr>
      <w:spacing w:after="200" w:line="276" w:lineRule="auto"/>
    </w:pPr>
  </w:style>
  <w:style w:type="paragraph" w:styleId="Heading1">
    <w:name w:val="heading 1"/>
    <w:basedOn w:val="Normal"/>
    <w:next w:val="Normal"/>
    <w:link w:val="Heading1Char"/>
    <w:uiPriority w:val="9"/>
    <w:qFormat/>
    <w:rsid w:val="00E90559"/>
    <w:pPr>
      <w:keepNext/>
      <w:keepLines/>
      <w:spacing w:before="120" w:after="120"/>
      <w:outlineLvl w:val="0"/>
    </w:pPr>
    <w:rPr>
      <w:rFonts w:ascii="Arial" w:eastAsiaTheme="majorEastAsia" w:hAnsi="Arial" w:cstheme="majorBidi"/>
      <w:b/>
      <w:color w:val="000000" w:themeColor="text1"/>
      <w:sz w:val="24"/>
      <w:szCs w:val="32"/>
      <w:u w:val="single"/>
    </w:rPr>
  </w:style>
  <w:style w:type="paragraph" w:styleId="Heading2">
    <w:name w:val="heading 2"/>
    <w:basedOn w:val="Normal"/>
    <w:next w:val="Normal"/>
    <w:link w:val="Heading2Char"/>
    <w:uiPriority w:val="9"/>
    <w:unhideWhenUsed/>
    <w:qFormat/>
    <w:rsid w:val="00E42024"/>
    <w:pPr>
      <w:keepNext/>
      <w:keepLines/>
      <w:spacing w:before="240" w:after="240"/>
      <w:ind w:left="72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559"/>
    <w:rPr>
      <w:rFonts w:ascii="Arial" w:eastAsiaTheme="majorEastAsia" w:hAnsi="Arial" w:cstheme="majorBidi"/>
      <w:b/>
      <w:color w:val="000000" w:themeColor="text1"/>
      <w:sz w:val="24"/>
      <w:szCs w:val="32"/>
      <w:u w:val="single"/>
    </w:rPr>
  </w:style>
  <w:style w:type="paragraph" w:styleId="NoSpacing">
    <w:name w:val="No Spacing"/>
    <w:uiPriority w:val="1"/>
    <w:qFormat/>
    <w:rsid w:val="00E90559"/>
    <w:pPr>
      <w:spacing w:after="0" w:line="240" w:lineRule="auto"/>
    </w:pPr>
    <w:rPr>
      <w:color w:val="44546A" w:themeColor="text2"/>
      <w:sz w:val="20"/>
      <w:szCs w:val="20"/>
      <w:lang w:val="en-US"/>
    </w:rPr>
  </w:style>
  <w:style w:type="paragraph" w:styleId="ListParagraph">
    <w:name w:val="List Paragraph"/>
    <w:basedOn w:val="Normal"/>
    <w:uiPriority w:val="34"/>
    <w:qFormat/>
    <w:rsid w:val="00C56647"/>
    <w:pPr>
      <w:ind w:left="720"/>
      <w:contextualSpacing/>
    </w:pPr>
  </w:style>
  <w:style w:type="character" w:styleId="Hyperlink">
    <w:name w:val="Hyperlink"/>
    <w:basedOn w:val="DefaultParagraphFont"/>
    <w:uiPriority w:val="99"/>
    <w:unhideWhenUsed/>
    <w:rsid w:val="00FA5B68"/>
    <w:rPr>
      <w:color w:val="0563C1" w:themeColor="hyperlink"/>
      <w:u w:val="single"/>
    </w:rPr>
  </w:style>
  <w:style w:type="character" w:styleId="UnresolvedMention">
    <w:name w:val="Unresolved Mention"/>
    <w:basedOn w:val="DefaultParagraphFont"/>
    <w:uiPriority w:val="99"/>
    <w:semiHidden/>
    <w:unhideWhenUsed/>
    <w:rsid w:val="00FA5B68"/>
    <w:rPr>
      <w:color w:val="605E5C"/>
      <w:shd w:val="clear" w:color="auto" w:fill="E1DFDD"/>
    </w:rPr>
  </w:style>
  <w:style w:type="paragraph" w:styleId="Header">
    <w:name w:val="header"/>
    <w:basedOn w:val="Normal"/>
    <w:link w:val="HeaderChar"/>
    <w:uiPriority w:val="99"/>
    <w:unhideWhenUsed/>
    <w:rsid w:val="00F21F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1F62"/>
  </w:style>
  <w:style w:type="paragraph" w:styleId="Footer">
    <w:name w:val="footer"/>
    <w:basedOn w:val="Normal"/>
    <w:link w:val="FooterChar"/>
    <w:uiPriority w:val="99"/>
    <w:unhideWhenUsed/>
    <w:rsid w:val="00F21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1F62"/>
  </w:style>
  <w:style w:type="character" w:customStyle="1" w:styleId="Heading2Char">
    <w:name w:val="Heading 2 Char"/>
    <w:basedOn w:val="DefaultParagraphFont"/>
    <w:link w:val="Heading2"/>
    <w:uiPriority w:val="9"/>
    <w:rsid w:val="00E42024"/>
    <w:rPr>
      <w:rFonts w:asciiTheme="majorHAnsi" w:eastAsiaTheme="majorEastAsia" w:hAnsiTheme="majorHAnsi" w:cstheme="majorBidi"/>
      <w:b/>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Shanil Moreau</dc:creator>
  <cp:keywords/>
  <dc:description/>
  <cp:lastModifiedBy>Shanil Moreau</cp:lastModifiedBy>
  <cp:revision>18</cp:revision>
  <dcterms:created xsi:type="dcterms:W3CDTF">2020-08-11T07:13:00Z</dcterms:created>
  <dcterms:modified xsi:type="dcterms:W3CDTF">2020-08-15T05:11:00Z</dcterms:modified>
</cp:coreProperties>
</file>