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BCB2" w14:textId="77777777" w:rsidR="00302C9F" w:rsidRPr="005124CE" w:rsidRDefault="00302C9F" w:rsidP="00302C9F">
      <w:pPr>
        <w:rPr>
          <w:rFonts w:ascii="Times New Roman" w:hAnsi="Times New Roman" w:cs="Times New Roman"/>
        </w:rPr>
      </w:pPr>
    </w:p>
    <w:p w14:paraId="04DEBA28" w14:textId="77777777" w:rsidR="00302C9F" w:rsidRPr="005124CE" w:rsidRDefault="00302C9F" w:rsidP="00302C9F">
      <w:pPr>
        <w:jc w:val="center"/>
        <w:rPr>
          <w:rFonts w:ascii="Times New Roman" w:hAnsi="Times New Roman" w:cs="Times New Roman"/>
        </w:rPr>
      </w:pPr>
    </w:p>
    <w:p w14:paraId="6F983A90" w14:textId="356545C8" w:rsidR="00302C9F" w:rsidRPr="005124CE" w:rsidRDefault="00302C9F" w:rsidP="00302C9F">
      <w:pPr>
        <w:jc w:val="center"/>
        <w:rPr>
          <w:rFonts w:ascii="Times New Roman" w:hAnsi="Times New Roman" w:cs="Times New Roman"/>
          <w:sz w:val="24"/>
          <w:szCs w:val="24"/>
        </w:rPr>
      </w:pPr>
      <w:r w:rsidRPr="005124CE">
        <w:rPr>
          <w:rFonts w:ascii="Times New Roman" w:hAnsi="Times New Roman" w:cs="Times New Roman"/>
          <w:sz w:val="24"/>
          <w:szCs w:val="24"/>
        </w:rPr>
        <w:t xml:space="preserve">Assignment </w:t>
      </w:r>
      <w:r w:rsidR="00814A40" w:rsidRPr="005124CE">
        <w:rPr>
          <w:rFonts w:ascii="Times New Roman" w:hAnsi="Times New Roman" w:cs="Times New Roman"/>
          <w:sz w:val="24"/>
          <w:szCs w:val="24"/>
        </w:rPr>
        <w:t>Two</w:t>
      </w:r>
    </w:p>
    <w:p w14:paraId="3E0BA2B2" w14:textId="77777777" w:rsidR="00302C9F" w:rsidRPr="005124CE" w:rsidRDefault="00302C9F" w:rsidP="00302C9F">
      <w:pPr>
        <w:autoSpaceDE w:val="0"/>
        <w:autoSpaceDN w:val="0"/>
        <w:adjustRightInd w:val="0"/>
        <w:rPr>
          <w:rFonts w:ascii="Times New Roman" w:hAnsi="Times New Roman" w:cs="Times New Roman"/>
          <w:sz w:val="24"/>
          <w:szCs w:val="24"/>
        </w:rPr>
      </w:pPr>
    </w:p>
    <w:p w14:paraId="5F6D4E38" w14:textId="77777777" w:rsidR="00302C9F" w:rsidRPr="005124CE" w:rsidRDefault="00302C9F" w:rsidP="00302C9F">
      <w:pPr>
        <w:autoSpaceDE w:val="0"/>
        <w:autoSpaceDN w:val="0"/>
        <w:adjustRightInd w:val="0"/>
        <w:rPr>
          <w:rFonts w:ascii="Times New Roman" w:hAnsi="Times New Roman" w:cs="Times New Roman"/>
          <w:sz w:val="24"/>
          <w:szCs w:val="24"/>
        </w:rPr>
      </w:pPr>
    </w:p>
    <w:p w14:paraId="184B74B9" w14:textId="4B008D3C" w:rsidR="00302C9F" w:rsidRPr="005124CE" w:rsidRDefault="009815E3" w:rsidP="00302C9F">
      <w:pPr>
        <w:jc w:val="center"/>
        <w:rPr>
          <w:rFonts w:ascii="Times New Roman" w:hAnsi="Times New Roman" w:cs="Times New Roman"/>
          <w:sz w:val="24"/>
          <w:szCs w:val="24"/>
        </w:rPr>
      </w:pPr>
      <w:r w:rsidRPr="005124CE">
        <w:rPr>
          <w:rFonts w:ascii="Times New Roman" w:eastAsia="Times New Roman" w:hAnsi="Times New Roman" w:cs="Times New Roman"/>
          <w:b/>
          <w:sz w:val="24"/>
        </w:rPr>
        <w:t>Schooling Reform Initiatives – Structures and Programs</w:t>
      </w:r>
    </w:p>
    <w:p w14:paraId="2F778406" w14:textId="77777777" w:rsidR="009815E3" w:rsidRPr="005124CE" w:rsidRDefault="009815E3" w:rsidP="00302C9F">
      <w:pPr>
        <w:jc w:val="center"/>
        <w:rPr>
          <w:rFonts w:ascii="Times New Roman" w:hAnsi="Times New Roman" w:cs="Times New Roman"/>
          <w:sz w:val="24"/>
          <w:szCs w:val="24"/>
        </w:rPr>
      </w:pPr>
    </w:p>
    <w:p w14:paraId="21C998ED" w14:textId="6F3716ED" w:rsidR="00302C9F" w:rsidRPr="005124CE" w:rsidRDefault="00302C9F" w:rsidP="00302C9F">
      <w:pPr>
        <w:jc w:val="center"/>
        <w:rPr>
          <w:rFonts w:ascii="Times New Roman" w:hAnsi="Times New Roman" w:cs="Times New Roman"/>
          <w:sz w:val="24"/>
          <w:szCs w:val="24"/>
        </w:rPr>
      </w:pPr>
      <w:r w:rsidRPr="005124CE">
        <w:rPr>
          <w:rFonts w:ascii="Times New Roman" w:hAnsi="Times New Roman" w:cs="Times New Roman"/>
          <w:sz w:val="24"/>
          <w:szCs w:val="24"/>
        </w:rPr>
        <w:t>by</w:t>
      </w:r>
    </w:p>
    <w:p w14:paraId="4DFC8D05" w14:textId="77777777" w:rsidR="00302C9F" w:rsidRPr="005124CE" w:rsidRDefault="00302C9F" w:rsidP="00302C9F">
      <w:pPr>
        <w:jc w:val="center"/>
        <w:rPr>
          <w:rFonts w:ascii="Times New Roman" w:hAnsi="Times New Roman" w:cs="Times New Roman"/>
          <w:sz w:val="24"/>
          <w:szCs w:val="24"/>
        </w:rPr>
      </w:pPr>
    </w:p>
    <w:p w14:paraId="6CBAD93F" w14:textId="77777777" w:rsidR="00302C9F" w:rsidRPr="005124CE" w:rsidRDefault="00302C9F" w:rsidP="00302C9F">
      <w:pPr>
        <w:jc w:val="center"/>
        <w:rPr>
          <w:rFonts w:ascii="Times New Roman" w:hAnsi="Times New Roman" w:cs="Times New Roman"/>
          <w:sz w:val="24"/>
          <w:szCs w:val="24"/>
        </w:rPr>
      </w:pPr>
      <w:r w:rsidRPr="005124CE">
        <w:rPr>
          <w:rFonts w:ascii="Times New Roman" w:hAnsi="Times New Roman" w:cs="Times New Roman"/>
          <w:sz w:val="24"/>
          <w:szCs w:val="24"/>
        </w:rPr>
        <w:t>Alan Hubbard</w:t>
      </w:r>
    </w:p>
    <w:p w14:paraId="572D3D52" w14:textId="77777777" w:rsidR="00302C9F" w:rsidRPr="005124CE" w:rsidRDefault="00302C9F" w:rsidP="00302C9F">
      <w:pPr>
        <w:jc w:val="center"/>
        <w:rPr>
          <w:rFonts w:ascii="Times New Roman" w:hAnsi="Times New Roman" w:cs="Times New Roman"/>
          <w:sz w:val="24"/>
          <w:szCs w:val="24"/>
        </w:rPr>
      </w:pPr>
      <w:r w:rsidRPr="005124CE">
        <w:rPr>
          <w:rFonts w:ascii="Times New Roman" w:hAnsi="Times New Roman" w:cs="Times New Roman"/>
          <w:sz w:val="24"/>
          <w:szCs w:val="24"/>
        </w:rPr>
        <w:t>S326012</w:t>
      </w:r>
    </w:p>
    <w:p w14:paraId="7D96614E" w14:textId="77777777" w:rsidR="00302C9F" w:rsidRPr="005124CE" w:rsidRDefault="00302C9F" w:rsidP="00302C9F">
      <w:pPr>
        <w:jc w:val="center"/>
        <w:rPr>
          <w:rFonts w:ascii="Times New Roman" w:hAnsi="Times New Roman" w:cs="Times New Roman"/>
          <w:sz w:val="24"/>
          <w:szCs w:val="24"/>
        </w:rPr>
      </w:pPr>
    </w:p>
    <w:p w14:paraId="0D1FEA78" w14:textId="77777777" w:rsidR="00302C9F" w:rsidRPr="005124CE" w:rsidRDefault="00302C9F" w:rsidP="00302C9F">
      <w:pPr>
        <w:jc w:val="center"/>
        <w:rPr>
          <w:rFonts w:ascii="Times New Roman" w:hAnsi="Times New Roman" w:cs="Times New Roman"/>
          <w:sz w:val="24"/>
          <w:szCs w:val="24"/>
        </w:rPr>
      </w:pPr>
      <w:r w:rsidRPr="005124CE">
        <w:rPr>
          <w:rFonts w:ascii="Times New Roman" w:hAnsi="Times New Roman" w:cs="Times New Roman"/>
          <w:sz w:val="24"/>
          <w:szCs w:val="24"/>
        </w:rPr>
        <w:t xml:space="preserve">for </w:t>
      </w:r>
    </w:p>
    <w:p w14:paraId="1C72BE42" w14:textId="77777777" w:rsidR="00302C9F" w:rsidRPr="005124CE" w:rsidRDefault="00302C9F" w:rsidP="00302C9F">
      <w:pPr>
        <w:jc w:val="center"/>
        <w:rPr>
          <w:rFonts w:ascii="Times New Roman" w:hAnsi="Times New Roman" w:cs="Times New Roman"/>
          <w:sz w:val="24"/>
          <w:szCs w:val="24"/>
        </w:rPr>
      </w:pPr>
    </w:p>
    <w:p w14:paraId="78F9BA72" w14:textId="3CA65F64" w:rsidR="00302C9F" w:rsidRPr="005124CE" w:rsidRDefault="00302C9F" w:rsidP="00302C9F">
      <w:pPr>
        <w:jc w:val="center"/>
        <w:rPr>
          <w:rFonts w:ascii="Times New Roman" w:hAnsi="Times New Roman" w:cs="Times New Roman"/>
          <w:sz w:val="24"/>
          <w:szCs w:val="24"/>
        </w:rPr>
      </w:pPr>
      <w:r w:rsidRPr="005124CE">
        <w:rPr>
          <w:rFonts w:ascii="Times New Roman" w:hAnsi="Times New Roman" w:cs="Times New Roman"/>
          <w:sz w:val="24"/>
          <w:szCs w:val="24"/>
        </w:rPr>
        <w:t xml:space="preserve">Dr </w:t>
      </w:r>
      <w:r w:rsidR="0045265E" w:rsidRPr="005124CE">
        <w:rPr>
          <w:rFonts w:ascii="Times New Roman" w:hAnsi="Times New Roman" w:cs="Times New Roman"/>
          <w:sz w:val="24"/>
          <w:szCs w:val="24"/>
        </w:rPr>
        <w:t xml:space="preserve">Terry </w:t>
      </w:r>
      <w:r w:rsidR="00583980" w:rsidRPr="005124CE">
        <w:rPr>
          <w:rFonts w:ascii="Times New Roman" w:hAnsi="Times New Roman" w:cs="Times New Roman"/>
          <w:sz w:val="24"/>
          <w:szCs w:val="24"/>
        </w:rPr>
        <w:t>McClafferty</w:t>
      </w:r>
    </w:p>
    <w:p w14:paraId="0D0DE4B8" w14:textId="32BDFD48" w:rsidR="00302C9F" w:rsidRPr="005124CE" w:rsidRDefault="001A2C3F" w:rsidP="00302C9F">
      <w:pPr>
        <w:jc w:val="center"/>
        <w:rPr>
          <w:rFonts w:ascii="Times New Roman" w:hAnsi="Times New Roman" w:cs="Times New Roman"/>
          <w:sz w:val="24"/>
          <w:szCs w:val="24"/>
        </w:rPr>
      </w:pPr>
      <w:r w:rsidRPr="005124CE">
        <w:rPr>
          <w:rFonts w:ascii="Times New Roman" w:hAnsi="Times New Roman" w:cs="Times New Roman"/>
          <w:sz w:val="24"/>
          <w:szCs w:val="24"/>
        </w:rPr>
        <w:t>ETL302 Secondary Schooling Operations and Practices</w:t>
      </w:r>
    </w:p>
    <w:p w14:paraId="690C0D34" w14:textId="77777777" w:rsidR="00302C9F" w:rsidRPr="005124CE" w:rsidRDefault="00302C9F" w:rsidP="00302C9F">
      <w:pPr>
        <w:jc w:val="center"/>
        <w:rPr>
          <w:rFonts w:ascii="Times New Roman" w:hAnsi="Times New Roman" w:cs="Times New Roman"/>
          <w:sz w:val="24"/>
          <w:szCs w:val="24"/>
        </w:rPr>
      </w:pPr>
    </w:p>
    <w:p w14:paraId="0E638419" w14:textId="77777777" w:rsidR="00302C9F" w:rsidRPr="005124CE" w:rsidRDefault="00302C9F" w:rsidP="00302C9F">
      <w:pPr>
        <w:jc w:val="center"/>
        <w:rPr>
          <w:rFonts w:ascii="Times New Roman" w:hAnsi="Times New Roman" w:cs="Times New Roman"/>
          <w:sz w:val="24"/>
          <w:szCs w:val="24"/>
        </w:rPr>
      </w:pPr>
    </w:p>
    <w:p w14:paraId="1ACF5E65" w14:textId="77777777" w:rsidR="00302C9F" w:rsidRPr="005124CE" w:rsidRDefault="00302C9F" w:rsidP="00302C9F">
      <w:pPr>
        <w:jc w:val="center"/>
        <w:rPr>
          <w:rFonts w:ascii="Times New Roman" w:hAnsi="Times New Roman" w:cs="Times New Roman"/>
        </w:rPr>
      </w:pPr>
    </w:p>
    <w:p w14:paraId="2064FBB8" w14:textId="77777777" w:rsidR="00302C9F" w:rsidRPr="005124CE" w:rsidRDefault="00302C9F" w:rsidP="00302C9F">
      <w:pPr>
        <w:jc w:val="center"/>
        <w:rPr>
          <w:rFonts w:ascii="Times New Roman" w:hAnsi="Times New Roman" w:cs="Times New Roman"/>
        </w:rPr>
      </w:pPr>
    </w:p>
    <w:p w14:paraId="5D199011" w14:textId="77777777" w:rsidR="00302C9F" w:rsidRPr="005124CE" w:rsidRDefault="00302C9F" w:rsidP="00302C9F">
      <w:pPr>
        <w:jc w:val="center"/>
        <w:rPr>
          <w:rFonts w:ascii="Times New Roman" w:hAnsi="Times New Roman" w:cs="Times New Roman"/>
        </w:rPr>
      </w:pPr>
    </w:p>
    <w:p w14:paraId="38B8CE4B" w14:textId="1C7979E2" w:rsidR="00302C9F" w:rsidRPr="005124CE" w:rsidRDefault="00302C9F" w:rsidP="00302C9F">
      <w:pPr>
        <w:jc w:val="center"/>
        <w:rPr>
          <w:rFonts w:ascii="Times New Roman" w:hAnsi="Times New Roman" w:cs="Times New Roman"/>
        </w:rPr>
      </w:pPr>
      <w:r w:rsidRPr="005124CE">
        <w:rPr>
          <w:rFonts w:ascii="Times New Roman" w:hAnsi="Times New Roman" w:cs="Times New Roman"/>
        </w:rPr>
        <w:t xml:space="preserve">Word Count: </w:t>
      </w:r>
      <w:r w:rsidR="00871DE4">
        <w:rPr>
          <w:rFonts w:ascii="Times New Roman" w:hAnsi="Times New Roman" w:cs="Times New Roman"/>
        </w:rPr>
        <w:t>2104</w:t>
      </w:r>
    </w:p>
    <w:p w14:paraId="00446F26" w14:textId="5C68B9A1" w:rsidR="003D1931" w:rsidRPr="005124CE" w:rsidRDefault="003D1931">
      <w:pPr>
        <w:rPr>
          <w:rFonts w:ascii="Times New Roman" w:hAnsi="Times New Roman" w:cs="Times New Roman"/>
        </w:rPr>
      </w:pPr>
    </w:p>
    <w:p w14:paraId="38A63181" w14:textId="5AC5E5D2" w:rsidR="003D1931" w:rsidRPr="005124CE" w:rsidRDefault="003D1931">
      <w:pPr>
        <w:rPr>
          <w:rFonts w:ascii="Times New Roman" w:hAnsi="Times New Roman" w:cs="Times New Roman"/>
        </w:rPr>
      </w:pPr>
    </w:p>
    <w:p w14:paraId="750E9FD3" w14:textId="4D164921" w:rsidR="003D1931" w:rsidRPr="005124CE" w:rsidRDefault="003D1931">
      <w:pPr>
        <w:rPr>
          <w:rFonts w:ascii="Times New Roman" w:hAnsi="Times New Roman" w:cs="Times New Roman"/>
        </w:rPr>
      </w:pPr>
    </w:p>
    <w:p w14:paraId="6B004AFB" w14:textId="054970C7" w:rsidR="003D1931" w:rsidRPr="005124CE" w:rsidRDefault="003D1931">
      <w:pPr>
        <w:rPr>
          <w:rFonts w:ascii="Times New Roman" w:hAnsi="Times New Roman" w:cs="Times New Roman"/>
        </w:rPr>
      </w:pPr>
    </w:p>
    <w:p w14:paraId="6D7843DA" w14:textId="39CFFFED" w:rsidR="003D1931" w:rsidRPr="005124CE" w:rsidRDefault="003D1931">
      <w:pPr>
        <w:rPr>
          <w:rFonts w:ascii="Times New Roman" w:hAnsi="Times New Roman" w:cs="Times New Roman"/>
        </w:rPr>
      </w:pPr>
    </w:p>
    <w:p w14:paraId="7B99F924" w14:textId="5CF7D64F" w:rsidR="003D1931" w:rsidRPr="005124CE" w:rsidRDefault="003D1931">
      <w:pPr>
        <w:rPr>
          <w:rFonts w:ascii="Times New Roman" w:hAnsi="Times New Roman" w:cs="Times New Roman"/>
        </w:rPr>
      </w:pPr>
    </w:p>
    <w:p w14:paraId="3315F878" w14:textId="77777777" w:rsidR="003D1931" w:rsidRPr="005124CE" w:rsidRDefault="003D1931">
      <w:pPr>
        <w:rPr>
          <w:rFonts w:ascii="Times New Roman" w:hAnsi="Times New Roman" w:cs="Times New Roman"/>
        </w:rPr>
        <w:sectPr w:rsidR="003D1931" w:rsidRPr="005124CE" w:rsidSect="003D1931">
          <w:pgSz w:w="11906" w:h="16838"/>
          <w:pgMar w:top="1440" w:right="1440" w:bottom="1440" w:left="1440" w:header="709" w:footer="709" w:gutter="0"/>
          <w:cols w:space="708"/>
          <w:docGrid w:linePitch="360"/>
        </w:sectPr>
      </w:pPr>
    </w:p>
    <w:p w14:paraId="34A357AC" w14:textId="3065CB13" w:rsidR="003539F6" w:rsidRPr="005124CE" w:rsidRDefault="003539F6">
      <w:pPr>
        <w:rPr>
          <w:rFonts w:ascii="Times New Roman" w:hAnsi="Times New Roman" w:cs="Times New Roman"/>
        </w:rPr>
      </w:pPr>
      <w:r w:rsidRPr="005124CE">
        <w:rPr>
          <w:rFonts w:ascii="Times New Roman" w:hAnsi="Times New Roman" w:cs="Times New Roman"/>
        </w:rPr>
        <w:lastRenderedPageBreak/>
        <w:t xml:space="preserve">Table 1. </w:t>
      </w:r>
      <w:r w:rsidR="005930F7" w:rsidRPr="005124CE">
        <w:rPr>
          <w:rFonts w:ascii="Times New Roman" w:hAnsi="Times New Roman" w:cs="Times New Roman"/>
        </w:rPr>
        <w:t>Commonalities</w:t>
      </w:r>
      <w:r w:rsidR="004E58DB" w:rsidRPr="005124CE">
        <w:rPr>
          <w:rFonts w:ascii="Times New Roman" w:hAnsi="Times New Roman" w:cs="Times New Roman"/>
        </w:rPr>
        <w:t xml:space="preserve"> from Middle to Senior School and Indigenous Education</w:t>
      </w:r>
      <w:r w:rsidR="000D3143" w:rsidRPr="005124CE">
        <w:rPr>
          <w:rFonts w:ascii="Times New Roman" w:hAnsi="Times New Roman" w:cs="Times New Roman"/>
        </w:rPr>
        <w:t>.</w:t>
      </w:r>
    </w:p>
    <w:tbl>
      <w:tblPr>
        <w:tblStyle w:val="TableGrid"/>
        <w:tblW w:w="4993" w:type="pct"/>
        <w:tblLook w:val="04A0" w:firstRow="1" w:lastRow="0" w:firstColumn="1" w:lastColumn="0" w:noHBand="0" w:noVBand="1"/>
      </w:tblPr>
      <w:tblGrid>
        <w:gridCol w:w="3113"/>
        <w:gridCol w:w="4253"/>
        <w:gridCol w:w="4158"/>
        <w:gridCol w:w="3842"/>
      </w:tblGrid>
      <w:tr w:rsidR="0065797B" w:rsidRPr="005124CE" w14:paraId="4913ADA1" w14:textId="342B96F6" w:rsidTr="00C55ADC">
        <w:trPr>
          <w:trHeight w:val="537"/>
        </w:trPr>
        <w:tc>
          <w:tcPr>
            <w:tcW w:w="1013" w:type="pct"/>
            <w:shd w:val="clear" w:color="auto" w:fill="D9E2F3" w:themeFill="accent1" w:themeFillTint="33"/>
          </w:tcPr>
          <w:p w14:paraId="3EC8710F" w14:textId="69F37AA3" w:rsidR="0065797B" w:rsidRPr="00E01DF0" w:rsidRDefault="0065797B" w:rsidP="00B846F8">
            <w:pPr>
              <w:rPr>
                <w:rFonts w:ascii="Times New Roman" w:hAnsi="Times New Roman" w:cs="Times New Roman"/>
                <w:b/>
                <w:bCs/>
              </w:rPr>
            </w:pPr>
            <w:r w:rsidRPr="00E01DF0">
              <w:rPr>
                <w:rFonts w:ascii="Times New Roman" w:hAnsi="Times New Roman" w:cs="Times New Roman"/>
                <w:b/>
                <w:bCs/>
              </w:rPr>
              <w:t>Recommendation</w:t>
            </w:r>
            <w:r w:rsidR="00E01DF0">
              <w:rPr>
                <w:rFonts w:ascii="Times New Roman" w:hAnsi="Times New Roman" w:cs="Times New Roman"/>
                <w:b/>
                <w:bCs/>
              </w:rPr>
              <w:t xml:space="preserve"> Focus Area</w:t>
            </w:r>
          </w:p>
        </w:tc>
        <w:tc>
          <w:tcPr>
            <w:tcW w:w="1384" w:type="pct"/>
            <w:shd w:val="clear" w:color="auto" w:fill="D9E2F3" w:themeFill="accent1" w:themeFillTint="33"/>
          </w:tcPr>
          <w:p w14:paraId="2AA6223E" w14:textId="1B3222EE" w:rsidR="0065797B" w:rsidRPr="00E01DF0" w:rsidRDefault="0065797B" w:rsidP="00B846F8">
            <w:pPr>
              <w:rPr>
                <w:rFonts w:ascii="Times New Roman" w:hAnsi="Times New Roman" w:cs="Times New Roman"/>
                <w:b/>
                <w:bCs/>
              </w:rPr>
            </w:pPr>
            <w:r w:rsidRPr="00E01DF0">
              <w:rPr>
                <w:rFonts w:ascii="Times New Roman" w:hAnsi="Times New Roman" w:cs="Times New Roman"/>
                <w:b/>
                <w:bCs/>
              </w:rPr>
              <w:t>Work Like the Best</w:t>
            </w:r>
            <w:r w:rsidR="00065556" w:rsidRPr="00E01DF0">
              <w:rPr>
                <w:rFonts w:ascii="Times New Roman" w:hAnsi="Times New Roman" w:cs="Times New Roman"/>
                <w:b/>
                <w:bCs/>
              </w:rPr>
              <w:t xml:space="preserve"> (Zbar, 2014)</w:t>
            </w:r>
          </w:p>
        </w:tc>
        <w:tc>
          <w:tcPr>
            <w:tcW w:w="1353" w:type="pct"/>
            <w:shd w:val="clear" w:color="auto" w:fill="D9E2F3" w:themeFill="accent1" w:themeFillTint="33"/>
          </w:tcPr>
          <w:p w14:paraId="4E3AE018" w14:textId="67C8E061" w:rsidR="0065797B" w:rsidRPr="00E01DF0" w:rsidRDefault="0065797B" w:rsidP="00B846F8">
            <w:pPr>
              <w:rPr>
                <w:rFonts w:ascii="Times New Roman" w:hAnsi="Times New Roman" w:cs="Times New Roman"/>
                <w:b/>
                <w:bCs/>
              </w:rPr>
            </w:pPr>
            <w:r w:rsidRPr="00E01DF0">
              <w:rPr>
                <w:rFonts w:ascii="Times New Roman" w:hAnsi="Times New Roman" w:cs="Times New Roman"/>
                <w:b/>
                <w:bCs/>
              </w:rPr>
              <w:t>Future Directions for Secondary Education</w:t>
            </w:r>
            <w:r w:rsidR="00431335" w:rsidRPr="00E01DF0">
              <w:rPr>
                <w:rFonts w:ascii="Times New Roman" w:hAnsi="Times New Roman" w:cs="Times New Roman"/>
                <w:b/>
                <w:bCs/>
              </w:rPr>
              <w:t xml:space="preserve"> (Ramsey</w:t>
            </w:r>
            <w:r w:rsidR="000E15BF">
              <w:rPr>
                <w:rFonts w:ascii="Times New Roman" w:hAnsi="Times New Roman" w:cs="Times New Roman"/>
                <w:b/>
                <w:bCs/>
              </w:rPr>
              <w:t>,</w:t>
            </w:r>
            <w:r w:rsidR="00431335" w:rsidRPr="00E01DF0">
              <w:rPr>
                <w:rFonts w:ascii="Times New Roman" w:hAnsi="Times New Roman" w:cs="Times New Roman"/>
                <w:b/>
                <w:bCs/>
              </w:rPr>
              <w:t xml:space="preserve"> 2003)</w:t>
            </w:r>
          </w:p>
        </w:tc>
        <w:tc>
          <w:tcPr>
            <w:tcW w:w="1250" w:type="pct"/>
            <w:shd w:val="clear" w:color="auto" w:fill="D9E2F3" w:themeFill="accent1" w:themeFillTint="33"/>
          </w:tcPr>
          <w:p w14:paraId="6805A290" w14:textId="00DEFF71" w:rsidR="0065797B" w:rsidRPr="00E01DF0" w:rsidRDefault="0065797B" w:rsidP="00B846F8">
            <w:pPr>
              <w:rPr>
                <w:rFonts w:ascii="Times New Roman" w:hAnsi="Times New Roman" w:cs="Times New Roman"/>
                <w:b/>
                <w:bCs/>
              </w:rPr>
            </w:pPr>
            <w:r w:rsidRPr="00E01DF0">
              <w:rPr>
                <w:rFonts w:ascii="Times New Roman" w:hAnsi="Times New Roman" w:cs="Times New Roman"/>
                <w:b/>
                <w:bCs/>
              </w:rPr>
              <w:t>A share in the future</w:t>
            </w:r>
            <w:r w:rsidR="000A0435" w:rsidRPr="00E01DF0">
              <w:rPr>
                <w:rFonts w:ascii="Times New Roman" w:hAnsi="Times New Roman" w:cs="Times New Roman"/>
                <w:b/>
                <w:bCs/>
              </w:rPr>
              <w:t xml:space="preserve"> (Wilson, 2013)</w:t>
            </w:r>
          </w:p>
        </w:tc>
      </w:tr>
      <w:tr w:rsidR="000429C6" w:rsidRPr="005124CE" w14:paraId="3DED2F9C" w14:textId="776DF4DC" w:rsidTr="00C55ADC">
        <w:trPr>
          <w:trHeight w:val="1325"/>
        </w:trPr>
        <w:tc>
          <w:tcPr>
            <w:tcW w:w="1013" w:type="pct"/>
            <w:vMerge w:val="restart"/>
            <w:vAlign w:val="center"/>
          </w:tcPr>
          <w:p w14:paraId="12F8CFE2" w14:textId="0B73DBB6" w:rsidR="000429C6" w:rsidRPr="00E01DF0" w:rsidRDefault="000429C6" w:rsidP="00B846F8">
            <w:pPr>
              <w:rPr>
                <w:rFonts w:ascii="Times New Roman" w:hAnsi="Times New Roman" w:cs="Times New Roman"/>
                <w:b/>
                <w:bCs/>
              </w:rPr>
            </w:pPr>
            <w:r w:rsidRPr="00E01DF0">
              <w:rPr>
                <w:rFonts w:ascii="Times New Roman" w:hAnsi="Times New Roman" w:cs="Times New Roman"/>
                <w:b/>
                <w:bCs/>
              </w:rPr>
              <w:t xml:space="preserve">Student and Teacher </w:t>
            </w:r>
          </w:p>
        </w:tc>
        <w:tc>
          <w:tcPr>
            <w:tcW w:w="1384" w:type="pct"/>
            <w:vAlign w:val="center"/>
          </w:tcPr>
          <w:p w14:paraId="6E4BD522" w14:textId="30660F2A" w:rsidR="000429C6" w:rsidRPr="005124CE" w:rsidRDefault="000429C6" w:rsidP="00B846F8">
            <w:pPr>
              <w:rPr>
                <w:rFonts w:ascii="Times New Roman" w:hAnsi="Times New Roman" w:cs="Times New Roman"/>
              </w:rPr>
            </w:pPr>
            <w:r w:rsidRPr="005124CE">
              <w:rPr>
                <w:rFonts w:ascii="Times New Roman" w:hAnsi="Times New Roman" w:cs="Times New Roman"/>
              </w:rPr>
              <w:t>Learning environment based on Positive Behaviour Support; students feel a teacher knows and cares for them.</w:t>
            </w:r>
          </w:p>
        </w:tc>
        <w:tc>
          <w:tcPr>
            <w:tcW w:w="1353" w:type="pct"/>
            <w:vAlign w:val="center"/>
          </w:tcPr>
          <w:p w14:paraId="16520A58" w14:textId="77777777" w:rsidR="000429C6" w:rsidRPr="005124CE" w:rsidRDefault="000429C6" w:rsidP="00B846F8">
            <w:pPr>
              <w:rPr>
                <w:rFonts w:ascii="Times New Roman" w:hAnsi="Times New Roman" w:cs="Times New Roman"/>
              </w:rPr>
            </w:pPr>
          </w:p>
          <w:p w14:paraId="7E1BCF3F" w14:textId="5083B603" w:rsidR="000429C6" w:rsidRPr="005124CE" w:rsidRDefault="000429C6" w:rsidP="00B846F8">
            <w:pPr>
              <w:rPr>
                <w:rFonts w:ascii="Times New Roman" w:hAnsi="Times New Roman" w:cs="Times New Roman"/>
              </w:rPr>
            </w:pPr>
            <w:r w:rsidRPr="005124CE">
              <w:rPr>
                <w:rFonts w:ascii="Times New Roman" w:hAnsi="Times New Roman" w:cs="Times New Roman"/>
              </w:rPr>
              <w:t>Meeting needs of young people.</w:t>
            </w:r>
          </w:p>
        </w:tc>
        <w:tc>
          <w:tcPr>
            <w:tcW w:w="1250" w:type="pct"/>
            <w:vAlign w:val="center"/>
          </w:tcPr>
          <w:p w14:paraId="03E96FC3" w14:textId="77777777" w:rsidR="000429C6" w:rsidRDefault="00457043" w:rsidP="00B846F8">
            <w:pPr>
              <w:rPr>
                <w:rFonts w:ascii="Times New Roman" w:hAnsi="Times New Roman" w:cs="Times New Roman"/>
              </w:rPr>
            </w:pPr>
            <w:r>
              <w:rPr>
                <w:rFonts w:ascii="Times New Roman" w:hAnsi="Times New Roman" w:cs="Times New Roman"/>
              </w:rPr>
              <w:t xml:space="preserve">Review curriculum </w:t>
            </w:r>
            <w:r w:rsidR="001B1422">
              <w:rPr>
                <w:rFonts w:ascii="Times New Roman" w:hAnsi="Times New Roman" w:cs="Times New Roman"/>
              </w:rPr>
              <w:t>within secondary schools for Indige</w:t>
            </w:r>
            <w:r w:rsidR="00021E79">
              <w:rPr>
                <w:rFonts w:ascii="Times New Roman" w:hAnsi="Times New Roman" w:cs="Times New Roman"/>
              </w:rPr>
              <w:t>nous students.</w:t>
            </w:r>
          </w:p>
          <w:p w14:paraId="40501E96" w14:textId="3D82BB8F" w:rsidR="00BC3808" w:rsidRPr="005124CE" w:rsidRDefault="00BC3808" w:rsidP="00B846F8">
            <w:pPr>
              <w:rPr>
                <w:rFonts w:ascii="Times New Roman" w:hAnsi="Times New Roman" w:cs="Times New Roman"/>
              </w:rPr>
            </w:pPr>
            <w:r>
              <w:rPr>
                <w:rFonts w:ascii="Times New Roman" w:hAnsi="Times New Roman" w:cs="Times New Roman"/>
              </w:rPr>
              <w:t>All schools have a consistent positive school wide behaviour policy.</w:t>
            </w:r>
          </w:p>
        </w:tc>
      </w:tr>
      <w:tr w:rsidR="000429C6" w:rsidRPr="005124CE" w14:paraId="03DA7282" w14:textId="15282D2E" w:rsidTr="00C55ADC">
        <w:trPr>
          <w:trHeight w:val="537"/>
        </w:trPr>
        <w:tc>
          <w:tcPr>
            <w:tcW w:w="1013" w:type="pct"/>
            <w:vMerge/>
            <w:vAlign w:val="center"/>
          </w:tcPr>
          <w:p w14:paraId="4F484A4A" w14:textId="1CAFC32A" w:rsidR="000429C6" w:rsidRPr="00E01DF0" w:rsidRDefault="000429C6" w:rsidP="00B846F8">
            <w:pPr>
              <w:rPr>
                <w:rFonts w:ascii="Times New Roman" w:hAnsi="Times New Roman" w:cs="Times New Roman"/>
                <w:b/>
                <w:bCs/>
              </w:rPr>
            </w:pPr>
          </w:p>
        </w:tc>
        <w:tc>
          <w:tcPr>
            <w:tcW w:w="1384" w:type="pct"/>
            <w:vAlign w:val="center"/>
          </w:tcPr>
          <w:p w14:paraId="2356D1D3" w14:textId="3CB2BF6A" w:rsidR="000429C6" w:rsidRPr="006D4873" w:rsidRDefault="000429C6" w:rsidP="002C33A9">
            <w:pPr>
              <w:autoSpaceDE w:val="0"/>
              <w:autoSpaceDN w:val="0"/>
              <w:adjustRightInd w:val="0"/>
              <w:rPr>
                <w:rFonts w:ascii="Times New Roman" w:hAnsi="Times New Roman" w:cs="Times New Roman"/>
              </w:rPr>
            </w:pPr>
            <w:r w:rsidRPr="006D4873">
              <w:rPr>
                <w:rFonts w:ascii="Times New Roman" w:hAnsi="Times New Roman" w:cs="Times New Roman"/>
              </w:rPr>
              <w:t>Access to rich, engaging interdisciplinary projects.</w:t>
            </w:r>
          </w:p>
        </w:tc>
        <w:tc>
          <w:tcPr>
            <w:tcW w:w="1353" w:type="pct"/>
            <w:vAlign w:val="center"/>
          </w:tcPr>
          <w:p w14:paraId="0E671EC9" w14:textId="4E092956" w:rsidR="000429C6" w:rsidRPr="005124CE" w:rsidRDefault="000429C6" w:rsidP="00B846F8">
            <w:pPr>
              <w:rPr>
                <w:rFonts w:ascii="Times New Roman" w:hAnsi="Times New Roman" w:cs="Times New Roman"/>
              </w:rPr>
            </w:pPr>
            <w:r w:rsidRPr="005124CE">
              <w:rPr>
                <w:rFonts w:ascii="Times New Roman" w:hAnsi="Times New Roman" w:cs="Times New Roman"/>
              </w:rPr>
              <w:t>Capacity and capability.</w:t>
            </w:r>
          </w:p>
        </w:tc>
        <w:tc>
          <w:tcPr>
            <w:tcW w:w="1250" w:type="pct"/>
            <w:vAlign w:val="center"/>
          </w:tcPr>
          <w:p w14:paraId="256FC366" w14:textId="0BE61D7E" w:rsidR="000429C6" w:rsidRPr="005124CE" w:rsidRDefault="002742C6" w:rsidP="00B846F8">
            <w:pPr>
              <w:rPr>
                <w:rFonts w:ascii="Times New Roman" w:hAnsi="Times New Roman" w:cs="Times New Roman"/>
              </w:rPr>
            </w:pPr>
            <w:r>
              <w:rPr>
                <w:rFonts w:ascii="Times New Roman" w:hAnsi="Times New Roman" w:cs="Times New Roman"/>
              </w:rPr>
              <w:t xml:space="preserve">Raise quality of remote teachers, principal and </w:t>
            </w:r>
            <w:r w:rsidR="006D4873">
              <w:rPr>
                <w:rFonts w:ascii="Times New Roman" w:hAnsi="Times New Roman" w:cs="Times New Roman"/>
              </w:rPr>
              <w:t>assistant teachers.</w:t>
            </w:r>
          </w:p>
        </w:tc>
      </w:tr>
      <w:tr w:rsidR="000429C6" w:rsidRPr="005124CE" w14:paraId="6F55EAEA" w14:textId="7490F254" w:rsidTr="00C55ADC">
        <w:trPr>
          <w:trHeight w:val="1124"/>
        </w:trPr>
        <w:tc>
          <w:tcPr>
            <w:tcW w:w="1013" w:type="pct"/>
            <w:vMerge/>
            <w:vAlign w:val="center"/>
          </w:tcPr>
          <w:p w14:paraId="23396498" w14:textId="3014A2BE" w:rsidR="000429C6" w:rsidRPr="00E01DF0" w:rsidRDefault="000429C6" w:rsidP="00B846F8">
            <w:pPr>
              <w:rPr>
                <w:rFonts w:ascii="Times New Roman" w:hAnsi="Times New Roman" w:cs="Times New Roman"/>
                <w:b/>
                <w:bCs/>
              </w:rPr>
            </w:pPr>
          </w:p>
        </w:tc>
        <w:tc>
          <w:tcPr>
            <w:tcW w:w="1384" w:type="pct"/>
            <w:vAlign w:val="center"/>
          </w:tcPr>
          <w:p w14:paraId="4DFA00D1" w14:textId="627C60DA" w:rsidR="000429C6" w:rsidRPr="006D4873" w:rsidRDefault="000429C6" w:rsidP="00CE2ABD">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 xml:space="preserve">Consistent assessment </w:t>
            </w:r>
          </w:p>
          <w:p w14:paraId="6BD4D968" w14:textId="123AFDA8" w:rsidR="000429C6" w:rsidRPr="005124CE" w:rsidRDefault="000429C6" w:rsidP="00CE2ABD">
            <w:pPr>
              <w:autoSpaceDE w:val="0"/>
              <w:autoSpaceDN w:val="0"/>
              <w:adjustRightInd w:val="0"/>
              <w:rPr>
                <w:rFonts w:ascii="Times New Roman" w:hAnsi="Times New Roman" w:cs="Times New Roman"/>
              </w:rPr>
            </w:pPr>
            <w:r w:rsidRPr="006D4873">
              <w:rPr>
                <w:rFonts w:ascii="Times New Roman" w:hAnsi="Times New Roman" w:cs="Times New Roman"/>
              </w:rPr>
              <w:t>to enable system and school monitoring of student achievement.</w:t>
            </w:r>
          </w:p>
        </w:tc>
        <w:tc>
          <w:tcPr>
            <w:tcW w:w="1353" w:type="pct"/>
            <w:vAlign w:val="center"/>
          </w:tcPr>
          <w:p w14:paraId="3F2A01F1" w14:textId="2A27A59C" w:rsidR="000429C6" w:rsidRPr="005124CE" w:rsidRDefault="000429C6" w:rsidP="00B846F8">
            <w:pPr>
              <w:rPr>
                <w:rFonts w:ascii="Times New Roman" w:hAnsi="Times New Roman" w:cs="Times New Roman"/>
              </w:rPr>
            </w:pPr>
            <w:r w:rsidRPr="005124CE">
              <w:rPr>
                <w:rFonts w:ascii="Times New Roman" w:hAnsi="Times New Roman" w:cs="Times New Roman"/>
              </w:rPr>
              <w:t>Collect relevant data.</w:t>
            </w:r>
          </w:p>
        </w:tc>
        <w:tc>
          <w:tcPr>
            <w:tcW w:w="1250" w:type="pct"/>
            <w:vAlign w:val="center"/>
          </w:tcPr>
          <w:p w14:paraId="1C91B79F" w14:textId="67EA6EE6" w:rsidR="000429C6" w:rsidRPr="005124CE" w:rsidRDefault="000429C6" w:rsidP="00B846F8">
            <w:pPr>
              <w:rPr>
                <w:rFonts w:ascii="Times New Roman" w:hAnsi="Times New Roman" w:cs="Times New Roman"/>
              </w:rPr>
            </w:pPr>
            <w:r w:rsidRPr="006D4873">
              <w:rPr>
                <w:rFonts w:ascii="Times New Roman" w:hAnsi="Times New Roman" w:cs="Times New Roman"/>
              </w:rPr>
              <w:t>Measuring achievement against strategic goals depends on good data and evidence.</w:t>
            </w:r>
          </w:p>
        </w:tc>
      </w:tr>
      <w:tr w:rsidR="000429C6" w:rsidRPr="005124CE" w14:paraId="184961F4" w14:textId="4229FCFB" w:rsidTr="00C55ADC">
        <w:trPr>
          <w:trHeight w:val="554"/>
        </w:trPr>
        <w:tc>
          <w:tcPr>
            <w:tcW w:w="1013" w:type="pct"/>
            <w:vMerge w:val="restart"/>
            <w:vAlign w:val="center"/>
          </w:tcPr>
          <w:p w14:paraId="316249C6" w14:textId="55656141" w:rsidR="000429C6" w:rsidRPr="00E01DF0" w:rsidRDefault="000429C6" w:rsidP="006D4873">
            <w:pPr>
              <w:pStyle w:val="Default"/>
              <w:rPr>
                <w:rFonts w:ascii="Times New Roman" w:hAnsi="Times New Roman" w:cs="Times New Roman"/>
                <w:b/>
                <w:bCs/>
                <w:color w:val="auto"/>
                <w:sz w:val="22"/>
                <w:szCs w:val="22"/>
              </w:rPr>
            </w:pPr>
            <w:r w:rsidRPr="00E01DF0">
              <w:rPr>
                <w:rFonts w:ascii="Times New Roman" w:hAnsi="Times New Roman" w:cs="Times New Roman"/>
                <w:b/>
                <w:bCs/>
                <w:color w:val="auto"/>
                <w:sz w:val="22"/>
                <w:szCs w:val="22"/>
              </w:rPr>
              <w:t xml:space="preserve">Leadership and Organisational </w:t>
            </w:r>
          </w:p>
        </w:tc>
        <w:tc>
          <w:tcPr>
            <w:tcW w:w="1384" w:type="pct"/>
            <w:vAlign w:val="center"/>
          </w:tcPr>
          <w:p w14:paraId="22B50F44" w14:textId="3AFF4693"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Systemic leadership and support.</w:t>
            </w:r>
          </w:p>
        </w:tc>
        <w:tc>
          <w:tcPr>
            <w:tcW w:w="1353" w:type="pct"/>
            <w:vAlign w:val="center"/>
          </w:tcPr>
          <w:p w14:paraId="5662259D" w14:textId="0ACE5F38"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Develop quality leadership in schools.</w:t>
            </w:r>
          </w:p>
        </w:tc>
        <w:tc>
          <w:tcPr>
            <w:tcW w:w="1250" w:type="pct"/>
            <w:vAlign w:val="center"/>
          </w:tcPr>
          <w:p w14:paraId="41BD47C5" w14:textId="27AD5748"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Provide training for school leadership.</w:t>
            </w:r>
          </w:p>
        </w:tc>
      </w:tr>
      <w:tr w:rsidR="000429C6" w:rsidRPr="005124CE" w14:paraId="249F261B" w14:textId="662AEF79" w:rsidTr="00C55ADC">
        <w:trPr>
          <w:trHeight w:val="1074"/>
        </w:trPr>
        <w:tc>
          <w:tcPr>
            <w:tcW w:w="1013" w:type="pct"/>
            <w:vMerge/>
            <w:vAlign w:val="center"/>
          </w:tcPr>
          <w:p w14:paraId="778CD4C1" w14:textId="74923EFD" w:rsidR="000429C6" w:rsidRPr="00E01DF0" w:rsidRDefault="000429C6" w:rsidP="006D4873">
            <w:pPr>
              <w:pStyle w:val="Default"/>
              <w:rPr>
                <w:rFonts w:ascii="Times New Roman" w:hAnsi="Times New Roman" w:cs="Times New Roman"/>
                <w:b/>
                <w:bCs/>
                <w:color w:val="auto"/>
                <w:sz w:val="22"/>
                <w:szCs w:val="22"/>
              </w:rPr>
            </w:pPr>
          </w:p>
        </w:tc>
        <w:tc>
          <w:tcPr>
            <w:tcW w:w="1384" w:type="pct"/>
            <w:vAlign w:val="center"/>
          </w:tcPr>
          <w:p w14:paraId="70CAD8EF" w14:textId="6E434F64"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Role of VET; future pathways.</w:t>
            </w:r>
          </w:p>
        </w:tc>
        <w:tc>
          <w:tcPr>
            <w:tcW w:w="1353" w:type="pct"/>
            <w:vAlign w:val="center"/>
          </w:tcPr>
          <w:p w14:paraId="5DEDBFAE" w14:textId="1E2BA10E"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 xml:space="preserve">Improve VET delivery; </w:t>
            </w:r>
            <w:r w:rsidRPr="006D4873">
              <w:rPr>
                <w:rFonts w:ascii="Times New Roman" w:hAnsi="Times New Roman" w:cs="Times New Roman"/>
                <w:color w:val="auto"/>
                <w:sz w:val="22"/>
                <w:szCs w:val="22"/>
              </w:rPr>
              <w:t>Transition to higher education and career pathways</w:t>
            </w:r>
            <w:r w:rsidRPr="006D4873">
              <w:rPr>
                <w:rFonts w:ascii="Times New Roman" w:hAnsi="Times New Roman" w:cs="Times New Roman"/>
                <w:color w:val="auto"/>
                <w:sz w:val="22"/>
                <w:szCs w:val="22"/>
              </w:rPr>
              <w:t>.</w:t>
            </w:r>
          </w:p>
        </w:tc>
        <w:tc>
          <w:tcPr>
            <w:tcW w:w="1250" w:type="pct"/>
            <w:vAlign w:val="center"/>
          </w:tcPr>
          <w:p w14:paraId="071188C2" w14:textId="3FFA23F2"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Trial and evaluate Employment Pathways in regional and remote schools.</w:t>
            </w:r>
          </w:p>
        </w:tc>
      </w:tr>
      <w:tr w:rsidR="000429C6" w:rsidRPr="005124CE" w14:paraId="395335D2" w14:textId="77777777" w:rsidTr="00C55ADC">
        <w:trPr>
          <w:trHeight w:val="788"/>
        </w:trPr>
        <w:tc>
          <w:tcPr>
            <w:tcW w:w="1013" w:type="pct"/>
            <w:vMerge w:val="restart"/>
            <w:vAlign w:val="center"/>
          </w:tcPr>
          <w:p w14:paraId="73DD13A8" w14:textId="3FFED26C" w:rsidR="000429C6" w:rsidRPr="00E01DF0" w:rsidRDefault="000429C6" w:rsidP="006D4873">
            <w:pPr>
              <w:pStyle w:val="Default"/>
              <w:rPr>
                <w:rFonts w:ascii="Times New Roman" w:hAnsi="Times New Roman" w:cs="Times New Roman"/>
                <w:b/>
                <w:bCs/>
                <w:color w:val="auto"/>
                <w:sz w:val="22"/>
                <w:szCs w:val="22"/>
              </w:rPr>
            </w:pPr>
            <w:r w:rsidRPr="00E01DF0">
              <w:rPr>
                <w:rFonts w:ascii="Times New Roman" w:hAnsi="Times New Roman" w:cs="Times New Roman"/>
                <w:b/>
                <w:bCs/>
                <w:color w:val="auto"/>
                <w:sz w:val="22"/>
                <w:szCs w:val="22"/>
              </w:rPr>
              <w:t>Community and External</w:t>
            </w:r>
          </w:p>
        </w:tc>
        <w:tc>
          <w:tcPr>
            <w:tcW w:w="1384" w:type="pct"/>
            <w:vAlign w:val="center"/>
          </w:tcPr>
          <w:p w14:paraId="034818D0" w14:textId="2A9BFC0F" w:rsidR="000429C6" w:rsidRPr="006D4873" w:rsidRDefault="000429C6" w:rsidP="006D4873">
            <w:pPr>
              <w:pStyle w:val="Default"/>
              <w:rPr>
                <w:rFonts w:ascii="Times New Roman" w:hAnsi="Times New Roman" w:cs="Times New Roman"/>
                <w:color w:val="auto"/>
                <w:sz w:val="22"/>
                <w:szCs w:val="22"/>
              </w:rPr>
            </w:pPr>
          </w:p>
        </w:tc>
        <w:tc>
          <w:tcPr>
            <w:tcW w:w="1353" w:type="pct"/>
            <w:vAlign w:val="center"/>
          </w:tcPr>
          <w:p w14:paraId="7FEC82A7" w14:textId="5218D837"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Improve service delivery to urban and regional schools.</w:t>
            </w:r>
          </w:p>
        </w:tc>
        <w:tc>
          <w:tcPr>
            <w:tcW w:w="1250" w:type="pct"/>
            <w:vAlign w:val="center"/>
          </w:tcPr>
          <w:p w14:paraId="2F5D4F7C" w14:textId="7A41DCFE"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List schools based on factors of disadvantage and need.</w:t>
            </w:r>
          </w:p>
        </w:tc>
      </w:tr>
      <w:tr w:rsidR="000429C6" w:rsidRPr="005124CE" w14:paraId="13C0C8EC" w14:textId="77777777" w:rsidTr="00C55ADC">
        <w:trPr>
          <w:trHeight w:val="805"/>
        </w:trPr>
        <w:tc>
          <w:tcPr>
            <w:tcW w:w="1013" w:type="pct"/>
            <w:vMerge/>
            <w:vAlign w:val="center"/>
          </w:tcPr>
          <w:p w14:paraId="2EDFABD9" w14:textId="550CE7AE" w:rsidR="000429C6" w:rsidRPr="006D4873" w:rsidRDefault="000429C6" w:rsidP="006D4873">
            <w:pPr>
              <w:pStyle w:val="Default"/>
              <w:rPr>
                <w:rFonts w:ascii="Times New Roman" w:hAnsi="Times New Roman" w:cs="Times New Roman"/>
                <w:color w:val="auto"/>
                <w:sz w:val="22"/>
                <w:szCs w:val="22"/>
              </w:rPr>
            </w:pPr>
          </w:p>
        </w:tc>
        <w:tc>
          <w:tcPr>
            <w:tcW w:w="1384" w:type="pct"/>
            <w:vAlign w:val="center"/>
          </w:tcPr>
          <w:p w14:paraId="55D0714F" w14:textId="77777777" w:rsidR="000429C6" w:rsidRPr="006D4873" w:rsidRDefault="000429C6" w:rsidP="006D4873">
            <w:pPr>
              <w:pStyle w:val="Default"/>
              <w:rPr>
                <w:rFonts w:ascii="Times New Roman" w:hAnsi="Times New Roman" w:cs="Times New Roman"/>
                <w:color w:val="auto"/>
                <w:sz w:val="22"/>
                <w:szCs w:val="22"/>
              </w:rPr>
            </w:pPr>
          </w:p>
        </w:tc>
        <w:tc>
          <w:tcPr>
            <w:tcW w:w="1353" w:type="pct"/>
            <w:vAlign w:val="center"/>
          </w:tcPr>
          <w:p w14:paraId="3897C1FF" w14:textId="4BFD5E56"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Establish WoG and Commonwealth interagency groups.</w:t>
            </w:r>
          </w:p>
        </w:tc>
        <w:tc>
          <w:tcPr>
            <w:tcW w:w="1250" w:type="pct"/>
            <w:vAlign w:val="center"/>
          </w:tcPr>
          <w:p w14:paraId="30FA3126" w14:textId="4BC7F38F"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Establish inter-agency working groups.</w:t>
            </w:r>
          </w:p>
        </w:tc>
      </w:tr>
      <w:tr w:rsidR="000429C6" w:rsidRPr="005124CE" w14:paraId="592CA4CA" w14:textId="77777777" w:rsidTr="00C55ADC">
        <w:trPr>
          <w:trHeight w:val="1325"/>
        </w:trPr>
        <w:tc>
          <w:tcPr>
            <w:tcW w:w="1013" w:type="pct"/>
            <w:vMerge/>
            <w:vAlign w:val="center"/>
          </w:tcPr>
          <w:p w14:paraId="0B37955E" w14:textId="2C4A7888" w:rsidR="000429C6" w:rsidRPr="006D4873" w:rsidRDefault="000429C6" w:rsidP="006D4873">
            <w:pPr>
              <w:pStyle w:val="Default"/>
              <w:rPr>
                <w:rFonts w:ascii="Times New Roman" w:hAnsi="Times New Roman" w:cs="Times New Roman"/>
                <w:color w:val="auto"/>
                <w:sz w:val="22"/>
                <w:szCs w:val="22"/>
              </w:rPr>
            </w:pPr>
          </w:p>
        </w:tc>
        <w:tc>
          <w:tcPr>
            <w:tcW w:w="1384" w:type="pct"/>
            <w:vAlign w:val="center"/>
          </w:tcPr>
          <w:p w14:paraId="6E69F556" w14:textId="27498EF0"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Engaging parents in the school.</w:t>
            </w:r>
          </w:p>
        </w:tc>
        <w:tc>
          <w:tcPr>
            <w:tcW w:w="1353" w:type="pct"/>
            <w:vAlign w:val="center"/>
          </w:tcPr>
          <w:p w14:paraId="71F5DB4D" w14:textId="6463E43F"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Work with schools and home communities to improve Indigenous student retention and achievement.</w:t>
            </w:r>
          </w:p>
        </w:tc>
        <w:tc>
          <w:tcPr>
            <w:tcW w:w="1250" w:type="pct"/>
            <w:vAlign w:val="center"/>
          </w:tcPr>
          <w:p w14:paraId="7FEB0AEF" w14:textId="50D79562" w:rsidR="000429C6" w:rsidRPr="006D4873" w:rsidRDefault="000429C6" w:rsidP="006D4873">
            <w:pPr>
              <w:pStyle w:val="Default"/>
              <w:rPr>
                <w:rFonts w:ascii="Times New Roman" w:hAnsi="Times New Roman" w:cs="Times New Roman"/>
                <w:color w:val="auto"/>
                <w:sz w:val="22"/>
                <w:szCs w:val="22"/>
              </w:rPr>
            </w:pPr>
            <w:r w:rsidRPr="006D4873">
              <w:rPr>
                <w:rFonts w:ascii="Times New Roman" w:hAnsi="Times New Roman" w:cs="Times New Roman"/>
                <w:color w:val="auto"/>
                <w:sz w:val="22"/>
                <w:szCs w:val="22"/>
              </w:rPr>
              <w:t>Engage with Community. Negotiate with Indigenous bodies. Maintain Families as First Teachers (FaFT).</w:t>
            </w:r>
          </w:p>
        </w:tc>
      </w:tr>
    </w:tbl>
    <w:p w14:paraId="6AB656CE" w14:textId="702D00F0" w:rsidR="00913165" w:rsidRPr="005124CE" w:rsidRDefault="00913165">
      <w:pPr>
        <w:rPr>
          <w:rFonts w:ascii="Times New Roman" w:hAnsi="Times New Roman" w:cs="Times New Roman"/>
        </w:rPr>
      </w:pPr>
    </w:p>
    <w:p w14:paraId="5C626D6F" w14:textId="77777777" w:rsidR="00913165" w:rsidRPr="005124CE" w:rsidRDefault="00913165">
      <w:pPr>
        <w:rPr>
          <w:rFonts w:ascii="Times New Roman" w:hAnsi="Times New Roman" w:cs="Times New Roman"/>
        </w:rPr>
        <w:sectPr w:rsidR="00913165" w:rsidRPr="005124CE" w:rsidSect="00EE07BE">
          <w:pgSz w:w="16838" w:h="11906" w:orient="landscape"/>
          <w:pgMar w:top="720" w:right="720" w:bottom="720" w:left="720" w:header="709" w:footer="709" w:gutter="0"/>
          <w:cols w:space="708"/>
          <w:docGrid w:linePitch="360"/>
        </w:sectPr>
      </w:pPr>
    </w:p>
    <w:p w14:paraId="5BC87332" w14:textId="50AC31EE" w:rsidR="000301FB" w:rsidRPr="000429C6" w:rsidRDefault="000301FB" w:rsidP="000301FB">
      <w:pPr>
        <w:jc w:val="center"/>
        <w:rPr>
          <w:rFonts w:ascii="Times New Roman" w:hAnsi="Times New Roman" w:cs="Times New Roman"/>
          <w:b/>
          <w:bCs/>
          <w:sz w:val="24"/>
          <w:szCs w:val="24"/>
        </w:rPr>
      </w:pPr>
      <w:r w:rsidRPr="000429C6">
        <w:rPr>
          <w:rFonts w:ascii="Times New Roman" w:hAnsi="Times New Roman" w:cs="Times New Roman"/>
          <w:b/>
          <w:bCs/>
          <w:sz w:val="28"/>
          <w:szCs w:val="28"/>
        </w:rPr>
        <w:lastRenderedPageBreak/>
        <w:t>WORK LIKE THE BEST</w:t>
      </w:r>
      <w:r w:rsidRPr="000429C6">
        <w:rPr>
          <w:rFonts w:ascii="Times New Roman" w:hAnsi="Times New Roman" w:cs="Times New Roman"/>
          <w:b/>
          <w:bCs/>
          <w:sz w:val="28"/>
          <w:szCs w:val="28"/>
        </w:rPr>
        <w:t>.</w:t>
      </w:r>
      <w:r w:rsidRPr="000429C6">
        <w:rPr>
          <w:rFonts w:ascii="Times New Roman" w:hAnsi="Times New Roman" w:cs="Times New Roman"/>
          <w:b/>
          <w:bCs/>
          <w:sz w:val="28"/>
          <w:szCs w:val="28"/>
        </w:rPr>
        <w:t xml:space="preserve"> Review of middle schooling in the Northern Territory</w:t>
      </w:r>
      <w:r w:rsidRPr="000429C6">
        <w:rPr>
          <w:rFonts w:ascii="Times New Roman" w:hAnsi="Times New Roman" w:cs="Times New Roman"/>
          <w:b/>
          <w:bCs/>
          <w:sz w:val="28"/>
          <w:szCs w:val="28"/>
        </w:rPr>
        <w:t>.</w:t>
      </w:r>
      <w:r w:rsidRPr="000429C6">
        <w:rPr>
          <w:rFonts w:ascii="Times New Roman" w:hAnsi="Times New Roman" w:cs="Times New Roman"/>
          <w:sz w:val="28"/>
          <w:szCs w:val="28"/>
        </w:rPr>
        <w:t xml:space="preserve"> </w:t>
      </w:r>
      <w:r w:rsidR="000429C6">
        <w:rPr>
          <w:rFonts w:ascii="Times New Roman" w:hAnsi="Times New Roman" w:cs="Times New Roman"/>
          <w:sz w:val="28"/>
          <w:szCs w:val="28"/>
        </w:rPr>
        <w:br/>
      </w:r>
      <w:r w:rsidRPr="000429C6">
        <w:rPr>
          <w:rFonts w:ascii="Times New Roman" w:hAnsi="Times New Roman" w:cs="Times New Roman"/>
          <w:sz w:val="24"/>
          <w:szCs w:val="24"/>
        </w:rPr>
        <w:t>(</w:t>
      </w:r>
      <w:r w:rsidRPr="000429C6">
        <w:rPr>
          <w:rFonts w:ascii="Times New Roman" w:hAnsi="Times New Roman" w:cs="Times New Roman"/>
          <w:sz w:val="24"/>
          <w:szCs w:val="24"/>
        </w:rPr>
        <w:t>Zbar, 2014).</w:t>
      </w:r>
    </w:p>
    <w:p w14:paraId="2A4505F7" w14:textId="34F951EB" w:rsidR="00D136C5" w:rsidRPr="000429C6" w:rsidRDefault="006041A7"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Zbar (2014)</w:t>
      </w:r>
      <w:r w:rsidR="000B0A94" w:rsidRPr="000429C6">
        <w:rPr>
          <w:rFonts w:ascii="Times New Roman" w:eastAsia="Times New Roman" w:hAnsi="Times New Roman" w:cs="Times New Roman"/>
          <w:sz w:val="24"/>
          <w:lang w:eastAsia="en-US"/>
        </w:rPr>
        <w:t xml:space="preserve"> outline</w:t>
      </w:r>
      <w:r w:rsidR="00357C81" w:rsidRPr="000429C6">
        <w:rPr>
          <w:rFonts w:ascii="Times New Roman" w:eastAsia="Times New Roman" w:hAnsi="Times New Roman" w:cs="Times New Roman"/>
          <w:sz w:val="24"/>
          <w:lang w:eastAsia="en-US"/>
        </w:rPr>
        <w:t>s</w:t>
      </w:r>
      <w:r w:rsidR="000B0A94" w:rsidRPr="000429C6">
        <w:rPr>
          <w:rFonts w:ascii="Times New Roman" w:eastAsia="Times New Roman" w:hAnsi="Times New Roman" w:cs="Times New Roman"/>
          <w:sz w:val="24"/>
          <w:lang w:eastAsia="en-US"/>
        </w:rPr>
        <w:t xml:space="preserve"> recommendations to </w:t>
      </w:r>
      <w:r w:rsidR="00357C81" w:rsidRPr="000429C6">
        <w:rPr>
          <w:rFonts w:ascii="Times New Roman" w:eastAsia="Times New Roman" w:hAnsi="Times New Roman" w:cs="Times New Roman"/>
          <w:sz w:val="24"/>
          <w:lang w:eastAsia="en-US"/>
        </w:rPr>
        <w:t>improve the performance of middle school within the Northern Territory through a number of methods.</w:t>
      </w:r>
      <w:r w:rsidR="00F1720C" w:rsidRPr="000429C6">
        <w:rPr>
          <w:rFonts w:ascii="Times New Roman" w:eastAsia="Times New Roman" w:hAnsi="Times New Roman" w:cs="Times New Roman"/>
          <w:sz w:val="24"/>
          <w:lang w:eastAsia="en-US"/>
        </w:rPr>
        <w:t xml:space="preserve"> Keys areas of focus are the student, the </w:t>
      </w:r>
      <w:r w:rsidR="00AE0B1D" w:rsidRPr="000429C6">
        <w:rPr>
          <w:rFonts w:ascii="Times New Roman" w:eastAsia="Times New Roman" w:hAnsi="Times New Roman" w:cs="Times New Roman"/>
          <w:sz w:val="24"/>
          <w:lang w:eastAsia="en-US"/>
        </w:rPr>
        <w:t>educators and leadership, the organisations and partnerships.</w:t>
      </w:r>
    </w:p>
    <w:p w14:paraId="1F34B79E" w14:textId="281F8F77" w:rsidR="00D136C5" w:rsidRPr="000429C6" w:rsidRDefault="00307061"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The r</w:t>
      </w:r>
      <w:r w:rsidR="00726F70" w:rsidRPr="000429C6">
        <w:rPr>
          <w:rFonts w:ascii="Times New Roman" w:eastAsia="Times New Roman" w:hAnsi="Times New Roman" w:cs="Times New Roman"/>
          <w:sz w:val="24"/>
          <w:lang w:eastAsia="en-US"/>
        </w:rPr>
        <w:t xml:space="preserve">ecommendations of the Middle School review </w:t>
      </w:r>
      <w:r w:rsidRPr="000429C6">
        <w:rPr>
          <w:rFonts w:ascii="Times New Roman" w:eastAsia="Times New Roman" w:hAnsi="Times New Roman" w:cs="Times New Roman"/>
          <w:sz w:val="24"/>
          <w:lang w:eastAsia="en-US"/>
        </w:rPr>
        <w:t>are</w:t>
      </w:r>
      <w:r w:rsidR="00726F70" w:rsidRPr="000429C6">
        <w:rPr>
          <w:rFonts w:ascii="Times New Roman" w:eastAsia="Times New Roman" w:hAnsi="Times New Roman" w:cs="Times New Roman"/>
          <w:sz w:val="24"/>
          <w:lang w:eastAsia="en-US"/>
        </w:rPr>
        <w:t xml:space="preserve"> designed to be pragmatic, strategic and aligned</w:t>
      </w:r>
      <w:r w:rsidRPr="000429C6">
        <w:rPr>
          <w:rFonts w:ascii="Times New Roman" w:eastAsia="Times New Roman" w:hAnsi="Times New Roman" w:cs="Times New Roman"/>
          <w:sz w:val="24"/>
          <w:lang w:eastAsia="en-US"/>
        </w:rPr>
        <w:t xml:space="preserve"> with the</w:t>
      </w:r>
      <w:r w:rsidR="00A85794" w:rsidRPr="000429C6">
        <w:rPr>
          <w:rFonts w:ascii="Times New Roman" w:eastAsia="Times New Roman" w:hAnsi="Times New Roman" w:cs="Times New Roman"/>
          <w:sz w:val="24"/>
          <w:lang w:eastAsia="en-US"/>
        </w:rPr>
        <w:t xml:space="preserve">, then, current Government and Department </w:t>
      </w:r>
      <w:r w:rsidR="00AD277E" w:rsidRPr="000429C6">
        <w:rPr>
          <w:rFonts w:ascii="Times New Roman" w:eastAsia="Times New Roman" w:hAnsi="Times New Roman" w:cs="Times New Roman"/>
          <w:sz w:val="24"/>
          <w:lang w:eastAsia="en-US"/>
        </w:rPr>
        <w:t xml:space="preserve">of Education </w:t>
      </w:r>
      <w:r w:rsidR="00A85794" w:rsidRPr="000429C6">
        <w:rPr>
          <w:rFonts w:ascii="Times New Roman" w:eastAsia="Times New Roman" w:hAnsi="Times New Roman" w:cs="Times New Roman"/>
          <w:sz w:val="24"/>
          <w:lang w:eastAsia="en-US"/>
        </w:rPr>
        <w:t>Policies.</w:t>
      </w:r>
      <w:r w:rsidR="00A00770" w:rsidRPr="000429C6">
        <w:rPr>
          <w:rFonts w:ascii="Times New Roman" w:eastAsia="Times New Roman" w:hAnsi="Times New Roman" w:cs="Times New Roman"/>
          <w:sz w:val="24"/>
          <w:lang w:eastAsia="en-US"/>
        </w:rPr>
        <w:t xml:space="preserve"> This approach is </w:t>
      </w:r>
      <w:r w:rsidR="007D6C6B" w:rsidRPr="000429C6">
        <w:rPr>
          <w:rFonts w:ascii="Times New Roman" w:eastAsia="Times New Roman" w:hAnsi="Times New Roman" w:cs="Times New Roman"/>
          <w:sz w:val="24"/>
          <w:lang w:eastAsia="en-US"/>
        </w:rPr>
        <w:t>likely</w:t>
      </w:r>
      <w:r w:rsidR="00991464" w:rsidRPr="000429C6">
        <w:rPr>
          <w:rFonts w:ascii="Times New Roman" w:eastAsia="Times New Roman" w:hAnsi="Times New Roman" w:cs="Times New Roman"/>
          <w:sz w:val="24"/>
          <w:lang w:eastAsia="en-US"/>
        </w:rPr>
        <w:t>, designed to be most accept</w:t>
      </w:r>
      <w:r w:rsidR="000F4D29" w:rsidRPr="000429C6">
        <w:rPr>
          <w:rFonts w:ascii="Times New Roman" w:eastAsia="Times New Roman" w:hAnsi="Times New Roman" w:cs="Times New Roman"/>
          <w:sz w:val="24"/>
          <w:lang w:eastAsia="en-US"/>
        </w:rPr>
        <w:t>ed</w:t>
      </w:r>
      <w:r w:rsidR="00991464" w:rsidRPr="000429C6">
        <w:rPr>
          <w:rFonts w:ascii="Times New Roman" w:eastAsia="Times New Roman" w:hAnsi="Times New Roman" w:cs="Times New Roman"/>
          <w:sz w:val="24"/>
          <w:lang w:eastAsia="en-US"/>
        </w:rPr>
        <w:t xml:space="preserve"> to</w:t>
      </w:r>
      <w:r w:rsidR="00AD277E" w:rsidRPr="000429C6">
        <w:rPr>
          <w:rFonts w:ascii="Times New Roman" w:eastAsia="Times New Roman" w:hAnsi="Times New Roman" w:cs="Times New Roman"/>
          <w:sz w:val="24"/>
          <w:lang w:eastAsia="en-US"/>
        </w:rPr>
        <w:t xml:space="preserve"> the Government, Department of </w:t>
      </w:r>
      <w:r w:rsidR="00263F35" w:rsidRPr="000429C6">
        <w:rPr>
          <w:rFonts w:ascii="Times New Roman" w:eastAsia="Times New Roman" w:hAnsi="Times New Roman" w:cs="Times New Roman"/>
          <w:sz w:val="24"/>
          <w:lang w:eastAsia="en-US"/>
        </w:rPr>
        <w:t>Education</w:t>
      </w:r>
      <w:r w:rsidR="000F4D29" w:rsidRPr="000429C6">
        <w:rPr>
          <w:rFonts w:ascii="Times New Roman" w:eastAsia="Times New Roman" w:hAnsi="Times New Roman" w:cs="Times New Roman"/>
          <w:sz w:val="24"/>
          <w:lang w:eastAsia="en-US"/>
        </w:rPr>
        <w:t xml:space="preserve"> and other stakeholders.</w:t>
      </w:r>
    </w:p>
    <w:p w14:paraId="5BF3BF73" w14:textId="7382C012" w:rsidR="00C456DF" w:rsidRPr="005124CE" w:rsidRDefault="00C456DF" w:rsidP="005705B1">
      <w:pPr>
        <w:rPr>
          <w:rFonts w:ascii="Times New Roman" w:hAnsi="Times New Roman" w:cs="Times New Roman"/>
          <w:b/>
          <w:bCs/>
        </w:rPr>
      </w:pPr>
      <w:r w:rsidRPr="000429C6">
        <w:rPr>
          <w:rFonts w:ascii="Times New Roman" w:hAnsi="Times New Roman" w:cs="Times New Roman"/>
          <w:b/>
          <w:bCs/>
          <w:sz w:val="24"/>
          <w:szCs w:val="24"/>
        </w:rPr>
        <w:t>Attendance</w:t>
      </w:r>
    </w:p>
    <w:p w14:paraId="34DDF7B9" w14:textId="4555842B" w:rsidR="00811F5B" w:rsidRPr="000429C6" w:rsidRDefault="005705B1"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The Zbar report</w:t>
      </w:r>
      <w:r w:rsidR="00C456DF" w:rsidRPr="000429C6">
        <w:rPr>
          <w:rFonts w:ascii="Times New Roman" w:eastAsia="Times New Roman" w:hAnsi="Times New Roman" w:cs="Times New Roman"/>
          <w:sz w:val="24"/>
          <w:lang w:eastAsia="en-US"/>
        </w:rPr>
        <w:t xml:space="preserve"> (2014) s</w:t>
      </w:r>
      <w:r w:rsidRPr="000429C6">
        <w:rPr>
          <w:rFonts w:ascii="Times New Roman" w:eastAsia="Times New Roman" w:hAnsi="Times New Roman" w:cs="Times New Roman"/>
          <w:sz w:val="24"/>
          <w:lang w:eastAsia="en-US"/>
        </w:rPr>
        <w:t xml:space="preserve">hows data regarding attendance rates from 2010 to 2013 to draw a conclusion that the attendance rate was not affected by the transition from the previous 8 to 12 secondary schooling to separate middle and senior secondary schooling. However, no data is presented in the report to compare the school attendance rates prior to 2006, when the Northern Territory transitioned to the new secondary schooling model, and the current attendance. </w:t>
      </w:r>
      <w:r w:rsidR="00811F5B" w:rsidRPr="000429C6">
        <w:rPr>
          <w:rFonts w:ascii="Times New Roman" w:eastAsia="Times New Roman" w:hAnsi="Times New Roman" w:cs="Times New Roman"/>
          <w:sz w:val="24"/>
          <w:lang w:eastAsia="en-US"/>
        </w:rPr>
        <w:t>T</w:t>
      </w:r>
      <w:r w:rsidRPr="000429C6">
        <w:rPr>
          <w:rFonts w:ascii="Times New Roman" w:eastAsia="Times New Roman" w:hAnsi="Times New Roman" w:cs="Times New Roman"/>
          <w:sz w:val="24"/>
          <w:lang w:eastAsia="en-US"/>
        </w:rPr>
        <w:t>he breadth of reasons that cause absence from school is vast and the individual is likely to fall into any number of categories and/or reasons for this (Reid, 2008). Notably, school structure or organisation was not listed in this. The closest relatable factor was transitioning, which may cause anxiety among students when they are required to move between schools, which often breaks routine, friendship groups, et cetera. As such the extra transition required by students as they transition between middle school and senior secondary, may cause unnecessary change and stress on students.</w:t>
      </w:r>
      <w:r w:rsidR="00811F5B" w:rsidRPr="000429C6">
        <w:rPr>
          <w:rFonts w:ascii="Times New Roman" w:eastAsia="Times New Roman" w:hAnsi="Times New Roman" w:cs="Times New Roman"/>
          <w:sz w:val="24"/>
          <w:lang w:eastAsia="en-US"/>
        </w:rPr>
        <w:t xml:space="preserve"> Attendance </w:t>
      </w:r>
      <w:r w:rsidR="00B809CD" w:rsidRPr="000429C6">
        <w:rPr>
          <w:rFonts w:ascii="Times New Roman" w:eastAsia="Times New Roman" w:hAnsi="Times New Roman" w:cs="Times New Roman"/>
          <w:sz w:val="24"/>
          <w:lang w:eastAsia="en-US"/>
        </w:rPr>
        <w:t>is also closely related to the proximity of the school to larger population centres.</w:t>
      </w:r>
    </w:p>
    <w:p w14:paraId="32FE7C9B" w14:textId="541F1C1E" w:rsidR="00F94BB7" w:rsidRPr="000429C6" w:rsidRDefault="00F94BB7">
      <w:pPr>
        <w:rPr>
          <w:rFonts w:ascii="Times New Roman" w:hAnsi="Times New Roman" w:cs="Times New Roman"/>
          <w:b/>
          <w:bCs/>
          <w:sz w:val="24"/>
          <w:szCs w:val="24"/>
        </w:rPr>
      </w:pPr>
      <w:r w:rsidRPr="000429C6">
        <w:rPr>
          <w:rFonts w:ascii="Times New Roman" w:hAnsi="Times New Roman" w:cs="Times New Roman"/>
          <w:b/>
          <w:bCs/>
          <w:sz w:val="24"/>
          <w:szCs w:val="24"/>
        </w:rPr>
        <w:t>Teacher, Leadership and Staff Recommendations</w:t>
      </w:r>
    </w:p>
    <w:p w14:paraId="0869E627" w14:textId="6BD3FA27" w:rsidR="008D778B" w:rsidRPr="000429C6" w:rsidRDefault="008D778B"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Leadership coaching</w:t>
      </w:r>
      <w:r w:rsidR="005221AD" w:rsidRPr="000429C6">
        <w:rPr>
          <w:rFonts w:ascii="Times New Roman" w:eastAsia="Times New Roman" w:hAnsi="Times New Roman" w:cs="Times New Roman"/>
          <w:sz w:val="24"/>
          <w:lang w:eastAsia="en-US"/>
        </w:rPr>
        <w:t xml:space="preserve"> is recommended specifically for Middle School staff in lead</w:t>
      </w:r>
      <w:r w:rsidR="00E756EF" w:rsidRPr="000429C6">
        <w:rPr>
          <w:rFonts w:ascii="Times New Roman" w:eastAsia="Times New Roman" w:hAnsi="Times New Roman" w:cs="Times New Roman"/>
          <w:sz w:val="24"/>
          <w:lang w:eastAsia="en-US"/>
        </w:rPr>
        <w:t>er</w:t>
      </w:r>
      <w:r w:rsidR="005221AD" w:rsidRPr="000429C6">
        <w:rPr>
          <w:rFonts w:ascii="Times New Roman" w:eastAsia="Times New Roman" w:hAnsi="Times New Roman" w:cs="Times New Roman"/>
          <w:sz w:val="24"/>
          <w:lang w:eastAsia="en-US"/>
        </w:rPr>
        <w:t>ship roles</w:t>
      </w:r>
      <w:r w:rsidR="000F77D3" w:rsidRPr="000429C6">
        <w:rPr>
          <w:rFonts w:ascii="Times New Roman" w:eastAsia="Times New Roman" w:hAnsi="Times New Roman" w:cs="Times New Roman"/>
          <w:sz w:val="24"/>
          <w:lang w:eastAsia="en-US"/>
        </w:rPr>
        <w:t>, such as Principals and Assistant Principals</w:t>
      </w:r>
      <w:r w:rsidR="00DE07C1" w:rsidRPr="000429C6">
        <w:rPr>
          <w:rFonts w:ascii="Times New Roman" w:eastAsia="Times New Roman" w:hAnsi="Times New Roman" w:cs="Times New Roman"/>
          <w:sz w:val="24"/>
          <w:lang w:eastAsia="en-US"/>
        </w:rPr>
        <w:t xml:space="preserve">. This seeks to improve and develop </w:t>
      </w:r>
      <w:r w:rsidR="00A53B58" w:rsidRPr="000429C6">
        <w:rPr>
          <w:rFonts w:ascii="Times New Roman" w:eastAsia="Times New Roman" w:hAnsi="Times New Roman" w:cs="Times New Roman"/>
          <w:sz w:val="24"/>
          <w:lang w:eastAsia="en-US"/>
        </w:rPr>
        <w:t>leadership and culture within the specified Middle School setting</w:t>
      </w:r>
      <w:r w:rsidR="006D0ADB" w:rsidRPr="000429C6">
        <w:rPr>
          <w:rFonts w:ascii="Times New Roman" w:eastAsia="Times New Roman" w:hAnsi="Times New Roman" w:cs="Times New Roman"/>
          <w:sz w:val="24"/>
          <w:lang w:eastAsia="en-US"/>
        </w:rPr>
        <w:t>.</w:t>
      </w:r>
      <w:r w:rsidR="003F0CD9" w:rsidRPr="000429C6">
        <w:rPr>
          <w:rFonts w:ascii="Times New Roman" w:eastAsia="Times New Roman" w:hAnsi="Times New Roman" w:cs="Times New Roman"/>
          <w:sz w:val="24"/>
          <w:lang w:eastAsia="en-US"/>
        </w:rPr>
        <w:t xml:space="preserve"> Gu et al., (2018) </w:t>
      </w:r>
      <w:r w:rsidR="007375CC" w:rsidRPr="000429C6">
        <w:rPr>
          <w:rFonts w:ascii="Times New Roman" w:eastAsia="Times New Roman" w:hAnsi="Times New Roman" w:cs="Times New Roman"/>
          <w:sz w:val="24"/>
          <w:lang w:eastAsia="en-US"/>
        </w:rPr>
        <w:t>identified that Principals of schools that either maintained or achieved outstanding s</w:t>
      </w:r>
      <w:r w:rsidR="002362CD" w:rsidRPr="000429C6">
        <w:rPr>
          <w:rFonts w:ascii="Times New Roman" w:eastAsia="Times New Roman" w:hAnsi="Times New Roman" w:cs="Times New Roman"/>
          <w:sz w:val="24"/>
          <w:lang w:eastAsia="en-US"/>
        </w:rPr>
        <w:t xml:space="preserve">chool status, did so by utilising new policies to effect change within a school with the aim of improving or developing </w:t>
      </w:r>
      <w:r w:rsidR="00DF229F" w:rsidRPr="000429C6">
        <w:rPr>
          <w:rFonts w:ascii="Times New Roman" w:eastAsia="Times New Roman" w:hAnsi="Times New Roman" w:cs="Times New Roman"/>
          <w:sz w:val="24"/>
          <w:lang w:eastAsia="en-US"/>
        </w:rPr>
        <w:t>staff, curriculum and culture.</w:t>
      </w:r>
      <w:r w:rsidR="00667DB5" w:rsidRPr="000429C6">
        <w:rPr>
          <w:rFonts w:ascii="Times New Roman" w:eastAsia="Times New Roman" w:hAnsi="Times New Roman" w:cs="Times New Roman"/>
          <w:sz w:val="24"/>
          <w:lang w:eastAsia="en-US"/>
        </w:rPr>
        <w:t xml:space="preserve"> Leaders at these schools </w:t>
      </w:r>
      <w:r w:rsidR="007A3793" w:rsidRPr="000429C6">
        <w:rPr>
          <w:rFonts w:ascii="Times New Roman" w:eastAsia="Times New Roman" w:hAnsi="Times New Roman" w:cs="Times New Roman"/>
          <w:sz w:val="24"/>
          <w:lang w:eastAsia="en-US"/>
        </w:rPr>
        <w:t>ensured that there was open communication</w:t>
      </w:r>
      <w:r w:rsidR="00C42620" w:rsidRPr="000429C6">
        <w:rPr>
          <w:rFonts w:ascii="Times New Roman" w:eastAsia="Times New Roman" w:hAnsi="Times New Roman" w:cs="Times New Roman"/>
          <w:sz w:val="24"/>
          <w:lang w:eastAsia="en-US"/>
        </w:rPr>
        <w:t xml:space="preserve"> with staff and supported their</w:t>
      </w:r>
      <w:r w:rsidR="00700C73" w:rsidRPr="000429C6">
        <w:rPr>
          <w:rFonts w:ascii="Times New Roman" w:eastAsia="Times New Roman" w:hAnsi="Times New Roman" w:cs="Times New Roman"/>
          <w:sz w:val="24"/>
          <w:lang w:eastAsia="en-US"/>
        </w:rPr>
        <w:t xml:space="preserve"> needs.</w:t>
      </w:r>
      <w:r w:rsidR="006F3BB5" w:rsidRPr="000429C6">
        <w:rPr>
          <w:rFonts w:ascii="Times New Roman" w:eastAsia="Times New Roman" w:hAnsi="Times New Roman" w:cs="Times New Roman"/>
          <w:sz w:val="24"/>
          <w:lang w:eastAsia="en-US"/>
        </w:rPr>
        <w:t xml:space="preserve"> School leaders, at all levels of schooling</w:t>
      </w:r>
      <w:r w:rsidR="00D539B5" w:rsidRPr="000429C6">
        <w:rPr>
          <w:rFonts w:ascii="Times New Roman" w:eastAsia="Times New Roman" w:hAnsi="Times New Roman" w:cs="Times New Roman"/>
          <w:sz w:val="24"/>
          <w:lang w:eastAsia="en-US"/>
        </w:rPr>
        <w:t xml:space="preserve">, are critical to the culture, development and improvement of a school, and </w:t>
      </w:r>
      <w:r w:rsidR="00C10B72" w:rsidRPr="000429C6">
        <w:rPr>
          <w:rFonts w:ascii="Times New Roman" w:eastAsia="Times New Roman" w:hAnsi="Times New Roman" w:cs="Times New Roman"/>
          <w:sz w:val="24"/>
          <w:lang w:eastAsia="en-US"/>
        </w:rPr>
        <w:t xml:space="preserve">active development and training of Middle School leaders is a key action that </w:t>
      </w:r>
      <w:r w:rsidR="00227518" w:rsidRPr="000429C6">
        <w:rPr>
          <w:rFonts w:ascii="Times New Roman" w:eastAsia="Times New Roman" w:hAnsi="Times New Roman" w:cs="Times New Roman"/>
          <w:sz w:val="24"/>
          <w:lang w:eastAsia="en-US"/>
        </w:rPr>
        <w:t>may lead to better outcomes for students.</w:t>
      </w:r>
    </w:p>
    <w:p w14:paraId="7800D0D2" w14:textId="77777777" w:rsidR="00D938F4" w:rsidRPr="000429C6" w:rsidRDefault="00D938F4" w:rsidP="00D938F4">
      <w:pPr>
        <w:rPr>
          <w:rFonts w:ascii="Times New Roman" w:hAnsi="Times New Roman" w:cs="Times New Roman"/>
          <w:b/>
          <w:bCs/>
          <w:sz w:val="24"/>
          <w:szCs w:val="24"/>
        </w:rPr>
      </w:pPr>
      <w:r w:rsidRPr="000429C6">
        <w:rPr>
          <w:rFonts w:ascii="Times New Roman" w:hAnsi="Times New Roman" w:cs="Times New Roman"/>
          <w:b/>
          <w:bCs/>
          <w:sz w:val="24"/>
          <w:szCs w:val="24"/>
        </w:rPr>
        <w:lastRenderedPageBreak/>
        <w:t>Literacy and numeracy as the base</w:t>
      </w:r>
    </w:p>
    <w:p w14:paraId="5A7D1033" w14:textId="2D525D45" w:rsidR="00BD6CF5" w:rsidRPr="000429C6" w:rsidRDefault="00D938F4"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Literacy and numeracy are identified as the foundation for students to develop in all areas of education and learning. This report</w:t>
      </w:r>
      <w:r w:rsidR="00A307C4" w:rsidRPr="000429C6">
        <w:rPr>
          <w:rFonts w:ascii="Times New Roman" w:eastAsia="Times New Roman" w:hAnsi="Times New Roman" w:cs="Times New Roman"/>
          <w:sz w:val="24"/>
          <w:lang w:eastAsia="en-US"/>
        </w:rPr>
        <w:t xml:space="preserve"> recommends that there be specific specialised training to improve teachers’ cap</w:t>
      </w:r>
      <w:r w:rsidR="003F47D9" w:rsidRPr="000429C6">
        <w:rPr>
          <w:rFonts w:ascii="Times New Roman" w:eastAsia="Times New Roman" w:hAnsi="Times New Roman" w:cs="Times New Roman"/>
          <w:sz w:val="24"/>
          <w:lang w:eastAsia="en-US"/>
        </w:rPr>
        <w:t>acity and capability to improve student literacy and numeracy.</w:t>
      </w:r>
      <w:r w:rsidR="00306C53" w:rsidRPr="000429C6">
        <w:rPr>
          <w:rFonts w:ascii="Times New Roman" w:eastAsia="Times New Roman" w:hAnsi="Times New Roman" w:cs="Times New Roman"/>
          <w:sz w:val="24"/>
          <w:lang w:eastAsia="en-US"/>
        </w:rPr>
        <w:t xml:space="preserve"> This report also recommends an expert panel be established to </w:t>
      </w:r>
      <w:r w:rsidR="002127F4" w:rsidRPr="000429C6">
        <w:rPr>
          <w:rFonts w:ascii="Times New Roman" w:eastAsia="Times New Roman" w:hAnsi="Times New Roman" w:cs="Times New Roman"/>
          <w:sz w:val="24"/>
          <w:lang w:eastAsia="en-US"/>
        </w:rPr>
        <w:t>encourage these improvements</w:t>
      </w:r>
      <w:r w:rsidR="00493057" w:rsidRPr="000429C6">
        <w:rPr>
          <w:rFonts w:ascii="Times New Roman" w:eastAsia="Times New Roman" w:hAnsi="Times New Roman" w:cs="Times New Roman"/>
          <w:sz w:val="24"/>
          <w:lang w:eastAsia="en-US"/>
        </w:rPr>
        <w:t>, which would be centralised within the Department</w:t>
      </w:r>
      <w:r w:rsidR="002127F4" w:rsidRPr="000429C6">
        <w:rPr>
          <w:rFonts w:ascii="Times New Roman" w:eastAsia="Times New Roman" w:hAnsi="Times New Roman" w:cs="Times New Roman"/>
          <w:sz w:val="24"/>
          <w:lang w:eastAsia="en-US"/>
        </w:rPr>
        <w:t>.</w:t>
      </w:r>
    </w:p>
    <w:p w14:paraId="6780C66A" w14:textId="248AF3E3" w:rsidR="00AC6A82" w:rsidRPr="000429C6" w:rsidRDefault="001318D9">
      <w:pPr>
        <w:rPr>
          <w:rFonts w:ascii="Times New Roman" w:hAnsi="Times New Roman" w:cs="Times New Roman"/>
          <w:b/>
          <w:bCs/>
          <w:sz w:val="24"/>
          <w:szCs w:val="24"/>
        </w:rPr>
      </w:pPr>
      <w:r w:rsidRPr="000429C6">
        <w:rPr>
          <w:rFonts w:ascii="Times New Roman" w:hAnsi="Times New Roman" w:cs="Times New Roman"/>
          <w:b/>
          <w:bCs/>
          <w:sz w:val="24"/>
          <w:szCs w:val="24"/>
        </w:rPr>
        <w:t xml:space="preserve">Transition Programs </w:t>
      </w:r>
      <w:r w:rsidR="006A1EF0" w:rsidRPr="000429C6">
        <w:rPr>
          <w:rFonts w:ascii="Times New Roman" w:hAnsi="Times New Roman" w:cs="Times New Roman"/>
          <w:b/>
          <w:bCs/>
          <w:sz w:val="24"/>
          <w:szCs w:val="24"/>
        </w:rPr>
        <w:t>into Middle Schooling</w:t>
      </w:r>
    </w:p>
    <w:p w14:paraId="7B67C8FF" w14:textId="2BD6C4B1" w:rsidR="002F2023" w:rsidRPr="000429C6" w:rsidRDefault="006A1EF0"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The recommendation to d</w:t>
      </w:r>
      <w:r w:rsidR="002F2023" w:rsidRPr="000429C6">
        <w:rPr>
          <w:rFonts w:ascii="Times New Roman" w:eastAsia="Times New Roman" w:hAnsi="Times New Roman" w:cs="Times New Roman"/>
          <w:sz w:val="24"/>
          <w:lang w:eastAsia="en-US"/>
        </w:rPr>
        <w:t xml:space="preserve">evelop </w:t>
      </w:r>
      <w:r w:rsidR="00777C9F" w:rsidRPr="000429C6">
        <w:rPr>
          <w:rFonts w:ascii="Times New Roman" w:eastAsia="Times New Roman" w:hAnsi="Times New Roman" w:cs="Times New Roman"/>
          <w:sz w:val="24"/>
          <w:lang w:eastAsia="en-US"/>
        </w:rPr>
        <w:t>Y</w:t>
      </w:r>
      <w:r w:rsidR="00276274" w:rsidRPr="000429C6">
        <w:rPr>
          <w:rFonts w:ascii="Times New Roman" w:eastAsia="Times New Roman" w:hAnsi="Times New Roman" w:cs="Times New Roman"/>
          <w:sz w:val="24"/>
          <w:lang w:eastAsia="en-US"/>
        </w:rPr>
        <w:t>ea</w:t>
      </w:r>
      <w:r w:rsidR="00777C9F" w:rsidRPr="000429C6">
        <w:rPr>
          <w:rFonts w:ascii="Times New Roman" w:eastAsia="Times New Roman" w:hAnsi="Times New Roman" w:cs="Times New Roman"/>
          <w:sz w:val="24"/>
          <w:lang w:eastAsia="en-US"/>
        </w:rPr>
        <w:t xml:space="preserve">r </w:t>
      </w:r>
      <w:r w:rsidR="00276274" w:rsidRPr="000429C6">
        <w:rPr>
          <w:rFonts w:ascii="Times New Roman" w:eastAsia="Times New Roman" w:hAnsi="Times New Roman" w:cs="Times New Roman"/>
          <w:sz w:val="24"/>
          <w:lang w:eastAsia="en-US"/>
        </w:rPr>
        <w:t>six to seven</w:t>
      </w:r>
      <w:r w:rsidR="00777C9F" w:rsidRPr="000429C6">
        <w:rPr>
          <w:rFonts w:ascii="Times New Roman" w:eastAsia="Times New Roman" w:hAnsi="Times New Roman" w:cs="Times New Roman"/>
          <w:sz w:val="24"/>
          <w:lang w:eastAsia="en-US"/>
        </w:rPr>
        <w:t xml:space="preserve"> transition programs</w:t>
      </w:r>
      <w:r w:rsidR="00745A3A" w:rsidRPr="000429C6">
        <w:rPr>
          <w:rFonts w:ascii="Times New Roman" w:eastAsia="Times New Roman" w:hAnsi="Times New Roman" w:cs="Times New Roman"/>
          <w:sz w:val="24"/>
          <w:lang w:eastAsia="en-US"/>
        </w:rPr>
        <w:t xml:space="preserve"> highlight the stress and anxiety that student encounter when entering a new school. The new environment, new social </w:t>
      </w:r>
      <w:r w:rsidR="00793D90" w:rsidRPr="000429C6">
        <w:rPr>
          <w:rFonts w:ascii="Times New Roman" w:eastAsia="Times New Roman" w:hAnsi="Times New Roman" w:cs="Times New Roman"/>
          <w:sz w:val="24"/>
          <w:lang w:eastAsia="en-US"/>
        </w:rPr>
        <w:t>groups and</w:t>
      </w:r>
      <w:r w:rsidR="00E12861" w:rsidRPr="000429C6">
        <w:rPr>
          <w:rFonts w:ascii="Times New Roman" w:eastAsia="Times New Roman" w:hAnsi="Times New Roman" w:cs="Times New Roman"/>
          <w:sz w:val="24"/>
          <w:lang w:eastAsia="en-US"/>
        </w:rPr>
        <w:t xml:space="preserve"> the loss of old ones, coupled with the biological changes occurring </w:t>
      </w:r>
      <w:r w:rsidR="0036348F" w:rsidRPr="000429C6">
        <w:rPr>
          <w:rFonts w:ascii="Times New Roman" w:eastAsia="Times New Roman" w:hAnsi="Times New Roman" w:cs="Times New Roman"/>
          <w:sz w:val="24"/>
          <w:lang w:eastAsia="en-US"/>
        </w:rPr>
        <w:t>create a need to provide opportunity for students to grow accustomed to a new school.</w:t>
      </w:r>
      <w:r w:rsidR="00793D90" w:rsidRPr="000429C6">
        <w:rPr>
          <w:rFonts w:ascii="Times New Roman" w:eastAsia="Times New Roman" w:hAnsi="Times New Roman" w:cs="Times New Roman"/>
          <w:sz w:val="24"/>
          <w:lang w:eastAsia="en-US"/>
        </w:rPr>
        <w:t xml:space="preserve"> This is enacted </w:t>
      </w:r>
      <w:r w:rsidR="00BB6042" w:rsidRPr="000429C6">
        <w:rPr>
          <w:rFonts w:ascii="Times New Roman" w:eastAsia="Times New Roman" w:hAnsi="Times New Roman" w:cs="Times New Roman"/>
          <w:sz w:val="24"/>
          <w:lang w:eastAsia="en-US"/>
        </w:rPr>
        <w:t>by transitioning</w:t>
      </w:r>
      <w:r w:rsidR="009E694B" w:rsidRPr="000429C6">
        <w:rPr>
          <w:rFonts w:ascii="Times New Roman" w:eastAsia="Times New Roman" w:hAnsi="Times New Roman" w:cs="Times New Roman"/>
          <w:sz w:val="24"/>
          <w:lang w:eastAsia="en-US"/>
        </w:rPr>
        <w:t xml:space="preserve"> programs that introduce students to a new school</w:t>
      </w:r>
      <w:r w:rsidR="00BB6042" w:rsidRPr="000429C6">
        <w:rPr>
          <w:rFonts w:ascii="Times New Roman" w:eastAsia="Times New Roman" w:hAnsi="Times New Roman" w:cs="Times New Roman"/>
          <w:sz w:val="24"/>
          <w:lang w:eastAsia="en-US"/>
        </w:rPr>
        <w:t xml:space="preserve"> and staff. </w:t>
      </w:r>
      <w:r w:rsidR="00C4645F" w:rsidRPr="000429C6">
        <w:rPr>
          <w:rFonts w:ascii="Times New Roman" w:eastAsia="Times New Roman" w:hAnsi="Times New Roman" w:cs="Times New Roman"/>
          <w:sz w:val="24"/>
          <w:lang w:eastAsia="en-US"/>
        </w:rPr>
        <w:t xml:space="preserve"> As a result, this is </w:t>
      </w:r>
      <w:r w:rsidR="00240DB5" w:rsidRPr="000429C6">
        <w:rPr>
          <w:rFonts w:ascii="Times New Roman" w:eastAsia="Times New Roman" w:hAnsi="Times New Roman" w:cs="Times New Roman"/>
          <w:sz w:val="24"/>
          <w:lang w:eastAsia="en-US"/>
        </w:rPr>
        <w:t>also expected</w:t>
      </w:r>
      <w:r w:rsidR="00C4645F" w:rsidRPr="000429C6">
        <w:rPr>
          <w:rFonts w:ascii="Times New Roman" w:eastAsia="Times New Roman" w:hAnsi="Times New Roman" w:cs="Times New Roman"/>
          <w:sz w:val="24"/>
          <w:lang w:eastAsia="en-US"/>
        </w:rPr>
        <w:t xml:space="preserve"> to occur between Middle and Senior Secondary School.</w:t>
      </w:r>
      <w:r w:rsidR="0071698C" w:rsidRPr="000429C6">
        <w:rPr>
          <w:rFonts w:ascii="Times New Roman" w:eastAsia="Times New Roman" w:hAnsi="Times New Roman" w:cs="Times New Roman"/>
          <w:sz w:val="24"/>
          <w:lang w:eastAsia="en-US"/>
        </w:rPr>
        <w:t xml:space="preserve"> Yecke (2006)</w:t>
      </w:r>
      <w:r w:rsidR="00A22FD2" w:rsidRPr="000429C6">
        <w:rPr>
          <w:rFonts w:ascii="Times New Roman" w:eastAsia="Times New Roman" w:hAnsi="Times New Roman" w:cs="Times New Roman"/>
          <w:sz w:val="24"/>
          <w:lang w:eastAsia="en-US"/>
        </w:rPr>
        <w:t xml:space="preserve"> also recommends that Year </w:t>
      </w:r>
      <w:r w:rsidR="00DB0D8E" w:rsidRPr="000429C6">
        <w:rPr>
          <w:rFonts w:ascii="Times New Roman" w:eastAsia="Times New Roman" w:hAnsi="Times New Roman" w:cs="Times New Roman"/>
          <w:sz w:val="24"/>
          <w:lang w:eastAsia="en-US"/>
        </w:rPr>
        <w:t>six</w:t>
      </w:r>
      <w:r w:rsidR="00A22FD2" w:rsidRPr="000429C6">
        <w:rPr>
          <w:rFonts w:ascii="Times New Roman" w:eastAsia="Times New Roman" w:hAnsi="Times New Roman" w:cs="Times New Roman"/>
          <w:sz w:val="24"/>
          <w:lang w:eastAsia="en-US"/>
        </w:rPr>
        <w:t xml:space="preserve"> be used as a transition period to enable students to </w:t>
      </w:r>
      <w:r w:rsidR="003F37D1" w:rsidRPr="000429C6">
        <w:rPr>
          <w:rFonts w:ascii="Times New Roman" w:eastAsia="Times New Roman" w:hAnsi="Times New Roman" w:cs="Times New Roman"/>
          <w:sz w:val="24"/>
          <w:lang w:eastAsia="en-US"/>
        </w:rPr>
        <w:t>move</w:t>
      </w:r>
      <w:r w:rsidR="00A22FD2" w:rsidRPr="000429C6">
        <w:rPr>
          <w:rFonts w:ascii="Times New Roman" w:eastAsia="Times New Roman" w:hAnsi="Times New Roman" w:cs="Times New Roman"/>
          <w:sz w:val="24"/>
          <w:lang w:eastAsia="en-US"/>
        </w:rPr>
        <w:t xml:space="preserve"> into upper years of education, however, </w:t>
      </w:r>
      <w:r w:rsidR="002D00D3" w:rsidRPr="000429C6">
        <w:rPr>
          <w:rFonts w:ascii="Times New Roman" w:eastAsia="Times New Roman" w:hAnsi="Times New Roman" w:cs="Times New Roman"/>
          <w:sz w:val="24"/>
          <w:lang w:eastAsia="en-US"/>
        </w:rPr>
        <w:t>the broader recommendation is to transition schools to K</w:t>
      </w:r>
      <w:r w:rsidR="003F1EA0" w:rsidRPr="000429C6">
        <w:rPr>
          <w:rFonts w:ascii="Times New Roman" w:eastAsia="Times New Roman" w:hAnsi="Times New Roman" w:cs="Times New Roman"/>
          <w:sz w:val="24"/>
          <w:lang w:eastAsia="en-US"/>
        </w:rPr>
        <w:t>-8 as primary level of education.</w:t>
      </w:r>
      <w:r w:rsidR="0063100B" w:rsidRPr="000429C6">
        <w:rPr>
          <w:rFonts w:ascii="Times New Roman" w:eastAsia="Times New Roman" w:hAnsi="Times New Roman" w:cs="Times New Roman"/>
          <w:sz w:val="24"/>
          <w:lang w:eastAsia="en-US"/>
        </w:rPr>
        <w:t xml:space="preserve"> Further, engagement with families is also critical to the successful transition of students into </w:t>
      </w:r>
      <w:r w:rsidR="00960F34" w:rsidRPr="000429C6">
        <w:rPr>
          <w:rFonts w:ascii="Times New Roman" w:eastAsia="Times New Roman" w:hAnsi="Times New Roman" w:cs="Times New Roman"/>
          <w:sz w:val="24"/>
          <w:lang w:eastAsia="en-US"/>
        </w:rPr>
        <w:t>secondary education, however, has declined. (Mac Iver et al., 2015)</w:t>
      </w:r>
    </w:p>
    <w:p w14:paraId="3E5E3218" w14:textId="77777777" w:rsidR="001446AF" w:rsidRPr="005124CE" w:rsidRDefault="001446AF" w:rsidP="00C6065A">
      <w:pPr>
        <w:spacing w:after="0" w:line="480" w:lineRule="auto"/>
        <w:jc w:val="center"/>
        <w:rPr>
          <w:rFonts w:ascii="Times New Roman" w:hAnsi="Times New Roman" w:cs="Times New Roman"/>
          <w:b/>
          <w:bCs/>
          <w:color w:val="222222"/>
          <w:sz w:val="20"/>
          <w:szCs w:val="20"/>
          <w:shd w:val="clear" w:color="auto" w:fill="FFFFFF"/>
        </w:rPr>
      </w:pPr>
    </w:p>
    <w:p w14:paraId="48C59EC3" w14:textId="6B3D8FA2" w:rsidR="00C6065A" w:rsidRPr="000429C6" w:rsidRDefault="00C6065A" w:rsidP="00C6065A">
      <w:pPr>
        <w:spacing w:after="0" w:line="480" w:lineRule="auto"/>
        <w:jc w:val="center"/>
        <w:rPr>
          <w:rFonts w:ascii="Times New Roman" w:hAnsi="Times New Roman" w:cs="Times New Roman"/>
          <w:b/>
          <w:bCs/>
          <w:color w:val="222222"/>
          <w:sz w:val="24"/>
          <w:szCs w:val="24"/>
          <w:shd w:val="clear" w:color="auto" w:fill="FFFFFF"/>
        </w:rPr>
      </w:pPr>
      <w:r w:rsidRPr="000429C6">
        <w:rPr>
          <w:rFonts w:ascii="Times New Roman" w:hAnsi="Times New Roman" w:cs="Times New Roman"/>
          <w:b/>
          <w:bCs/>
          <w:color w:val="222222"/>
          <w:sz w:val="28"/>
          <w:szCs w:val="28"/>
          <w:shd w:val="clear" w:color="auto" w:fill="FFFFFF"/>
        </w:rPr>
        <w:t>Report on</w:t>
      </w:r>
      <w:r w:rsidRPr="000429C6">
        <w:rPr>
          <w:rFonts w:ascii="Times New Roman" w:hAnsi="Times New Roman" w:cs="Times New Roman"/>
          <w:b/>
          <w:bCs/>
          <w:color w:val="222222"/>
          <w:sz w:val="28"/>
          <w:szCs w:val="28"/>
          <w:shd w:val="clear" w:color="auto" w:fill="FFFFFF"/>
        </w:rPr>
        <w:t xml:space="preserve"> </w:t>
      </w:r>
      <w:r w:rsidRPr="000429C6">
        <w:rPr>
          <w:rFonts w:ascii="Times New Roman" w:hAnsi="Times New Roman" w:cs="Times New Roman"/>
          <w:b/>
          <w:bCs/>
          <w:color w:val="222222"/>
          <w:sz w:val="28"/>
          <w:szCs w:val="28"/>
          <w:shd w:val="clear" w:color="auto" w:fill="FFFFFF"/>
        </w:rPr>
        <w:t>Future Directions</w:t>
      </w:r>
      <w:r w:rsidRPr="000429C6">
        <w:rPr>
          <w:rFonts w:ascii="Times New Roman" w:hAnsi="Times New Roman" w:cs="Times New Roman"/>
          <w:b/>
          <w:bCs/>
          <w:color w:val="222222"/>
          <w:sz w:val="28"/>
          <w:szCs w:val="28"/>
          <w:shd w:val="clear" w:color="auto" w:fill="FFFFFF"/>
        </w:rPr>
        <w:t xml:space="preserve"> </w:t>
      </w:r>
      <w:r w:rsidRPr="000429C6">
        <w:rPr>
          <w:rFonts w:ascii="Times New Roman" w:hAnsi="Times New Roman" w:cs="Times New Roman"/>
          <w:b/>
          <w:bCs/>
          <w:color w:val="222222"/>
          <w:sz w:val="28"/>
          <w:szCs w:val="28"/>
          <w:shd w:val="clear" w:color="auto" w:fill="FFFFFF"/>
        </w:rPr>
        <w:t>for Secondary</w:t>
      </w:r>
      <w:r w:rsidRPr="000429C6">
        <w:rPr>
          <w:rFonts w:ascii="Times New Roman" w:hAnsi="Times New Roman" w:cs="Times New Roman"/>
          <w:b/>
          <w:bCs/>
          <w:color w:val="222222"/>
          <w:sz w:val="28"/>
          <w:szCs w:val="28"/>
          <w:shd w:val="clear" w:color="auto" w:fill="FFFFFF"/>
        </w:rPr>
        <w:t xml:space="preserve"> </w:t>
      </w:r>
      <w:r w:rsidRPr="000429C6">
        <w:rPr>
          <w:rFonts w:ascii="Times New Roman" w:hAnsi="Times New Roman" w:cs="Times New Roman"/>
          <w:b/>
          <w:bCs/>
          <w:color w:val="222222"/>
          <w:sz w:val="28"/>
          <w:szCs w:val="28"/>
          <w:shd w:val="clear" w:color="auto" w:fill="FFFFFF"/>
        </w:rPr>
        <w:t>Education in the</w:t>
      </w:r>
      <w:r w:rsidRPr="000429C6">
        <w:rPr>
          <w:rFonts w:ascii="Times New Roman" w:hAnsi="Times New Roman" w:cs="Times New Roman"/>
          <w:b/>
          <w:bCs/>
          <w:color w:val="222222"/>
          <w:sz w:val="28"/>
          <w:szCs w:val="28"/>
          <w:shd w:val="clear" w:color="auto" w:fill="FFFFFF"/>
        </w:rPr>
        <w:t xml:space="preserve"> </w:t>
      </w:r>
      <w:r w:rsidRPr="000429C6">
        <w:rPr>
          <w:rFonts w:ascii="Times New Roman" w:hAnsi="Times New Roman" w:cs="Times New Roman"/>
          <w:b/>
          <w:bCs/>
          <w:color w:val="222222"/>
          <w:sz w:val="28"/>
          <w:szCs w:val="28"/>
          <w:shd w:val="clear" w:color="auto" w:fill="FFFFFF"/>
        </w:rPr>
        <w:t>Northern Territory</w:t>
      </w:r>
      <w:r w:rsidRPr="000429C6">
        <w:rPr>
          <w:rFonts w:ascii="Times New Roman" w:hAnsi="Times New Roman" w:cs="Times New Roman"/>
          <w:b/>
          <w:bCs/>
          <w:color w:val="222222"/>
          <w:sz w:val="28"/>
          <w:szCs w:val="28"/>
          <w:shd w:val="clear" w:color="auto" w:fill="FFFFFF"/>
        </w:rPr>
        <w:t>.</w:t>
      </w:r>
      <w:r w:rsidRPr="000429C6">
        <w:rPr>
          <w:rFonts w:ascii="Times New Roman" w:hAnsi="Times New Roman" w:cs="Times New Roman"/>
          <w:b/>
          <w:bCs/>
          <w:color w:val="222222"/>
          <w:sz w:val="24"/>
          <w:szCs w:val="24"/>
          <w:shd w:val="clear" w:color="auto" w:fill="FFFFFF"/>
        </w:rPr>
        <w:t xml:space="preserve"> </w:t>
      </w:r>
      <w:r w:rsidRPr="000429C6">
        <w:rPr>
          <w:rFonts w:ascii="Times New Roman" w:hAnsi="Times New Roman" w:cs="Times New Roman"/>
          <w:color w:val="222222"/>
          <w:sz w:val="24"/>
          <w:szCs w:val="24"/>
          <w:shd w:val="clear" w:color="auto" w:fill="FFFFFF"/>
        </w:rPr>
        <w:t>(</w:t>
      </w:r>
      <w:r w:rsidRPr="000429C6">
        <w:rPr>
          <w:rFonts w:ascii="Times New Roman" w:hAnsi="Times New Roman" w:cs="Times New Roman"/>
          <w:color w:val="222222"/>
          <w:sz w:val="24"/>
          <w:szCs w:val="24"/>
          <w:shd w:val="clear" w:color="auto" w:fill="FFFFFF"/>
        </w:rPr>
        <w:t>Ramsey, 2003).</w:t>
      </w:r>
    </w:p>
    <w:p w14:paraId="559D1776" w14:textId="60F24172" w:rsidR="00C464F0" w:rsidRPr="000429C6" w:rsidRDefault="00C464F0" w:rsidP="00C6065A">
      <w:pPr>
        <w:spacing w:after="0" w:line="480" w:lineRule="auto"/>
        <w:rPr>
          <w:rFonts w:ascii="Times New Roman" w:hAnsi="Times New Roman" w:cs="Times New Roman"/>
          <w:b/>
          <w:bCs/>
          <w:color w:val="222222"/>
          <w:sz w:val="24"/>
          <w:szCs w:val="24"/>
          <w:shd w:val="clear" w:color="auto" w:fill="FFFFFF"/>
        </w:rPr>
      </w:pPr>
      <w:r w:rsidRPr="000429C6">
        <w:rPr>
          <w:rFonts w:ascii="Times New Roman" w:hAnsi="Times New Roman" w:cs="Times New Roman"/>
          <w:b/>
          <w:bCs/>
          <w:color w:val="222222"/>
          <w:sz w:val="24"/>
          <w:szCs w:val="24"/>
          <w:shd w:val="clear" w:color="auto" w:fill="FFFFFF"/>
        </w:rPr>
        <w:t>Attendance</w:t>
      </w:r>
    </w:p>
    <w:p w14:paraId="6639C631" w14:textId="43B1BC5E" w:rsidR="00E75B41" w:rsidRPr="000429C6" w:rsidRDefault="00C466CE"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 xml:space="preserve">Attendance rates and completion rates have lifted somewhat, however, this may also be a product of increasing requirement of </w:t>
      </w:r>
      <w:r w:rsidR="00923C6B" w:rsidRPr="000429C6">
        <w:rPr>
          <w:rFonts w:ascii="Times New Roman" w:eastAsia="Times New Roman" w:hAnsi="Times New Roman" w:cs="Times New Roman"/>
          <w:sz w:val="24"/>
          <w:lang w:eastAsia="en-US"/>
        </w:rPr>
        <w:t>higher education and qualification requirements for employment and employability.</w:t>
      </w:r>
      <w:r w:rsidR="00500A5B" w:rsidRPr="000429C6">
        <w:rPr>
          <w:rFonts w:ascii="Times New Roman" w:eastAsia="Times New Roman" w:hAnsi="Times New Roman" w:cs="Times New Roman"/>
          <w:sz w:val="24"/>
          <w:lang w:eastAsia="en-US"/>
        </w:rPr>
        <w:t xml:space="preserve"> (Department of Education, Skills and Employment, 2020).</w:t>
      </w:r>
      <w:r w:rsidR="00CA21B9" w:rsidRPr="000429C6">
        <w:rPr>
          <w:rFonts w:ascii="Times New Roman" w:eastAsia="Times New Roman" w:hAnsi="Times New Roman" w:cs="Times New Roman"/>
          <w:sz w:val="24"/>
          <w:lang w:eastAsia="en-US"/>
        </w:rPr>
        <w:t xml:space="preserve"> Further, the attendance rates are still well below national averages for senior secondary school.</w:t>
      </w:r>
    </w:p>
    <w:p w14:paraId="19311B60" w14:textId="7DA16CBA" w:rsidR="00E75B41" w:rsidRPr="000429C6" w:rsidRDefault="00B2410C" w:rsidP="00A427D2">
      <w:pPr>
        <w:spacing w:after="0" w:line="480" w:lineRule="auto"/>
        <w:rPr>
          <w:rFonts w:ascii="Times New Roman" w:hAnsi="Times New Roman" w:cs="Times New Roman"/>
          <w:b/>
          <w:bCs/>
          <w:color w:val="222222"/>
          <w:sz w:val="24"/>
          <w:szCs w:val="24"/>
          <w:shd w:val="clear" w:color="auto" w:fill="FFFFFF"/>
        </w:rPr>
      </w:pPr>
      <w:r w:rsidRPr="000429C6">
        <w:rPr>
          <w:rFonts w:ascii="Times New Roman" w:hAnsi="Times New Roman" w:cs="Times New Roman"/>
          <w:b/>
          <w:bCs/>
          <w:color w:val="222222"/>
          <w:sz w:val="24"/>
          <w:szCs w:val="24"/>
          <w:shd w:val="clear" w:color="auto" w:fill="FFFFFF"/>
        </w:rPr>
        <w:t xml:space="preserve">Meeting the needs of </w:t>
      </w:r>
      <w:r w:rsidR="008B4219" w:rsidRPr="000429C6">
        <w:rPr>
          <w:rFonts w:ascii="Times New Roman" w:hAnsi="Times New Roman" w:cs="Times New Roman"/>
          <w:b/>
          <w:bCs/>
          <w:color w:val="222222"/>
          <w:sz w:val="24"/>
          <w:szCs w:val="24"/>
          <w:shd w:val="clear" w:color="auto" w:fill="FFFFFF"/>
        </w:rPr>
        <w:t>young people</w:t>
      </w:r>
    </w:p>
    <w:p w14:paraId="221C3F21" w14:textId="0999A07B" w:rsidR="00500A5B" w:rsidRPr="000429C6" w:rsidRDefault="00AD1233"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Schools across the Northern Territory</w:t>
      </w:r>
      <w:r w:rsidR="00D160A1" w:rsidRPr="000429C6">
        <w:rPr>
          <w:rFonts w:ascii="Times New Roman" w:eastAsia="Times New Roman" w:hAnsi="Times New Roman" w:cs="Times New Roman"/>
          <w:sz w:val="24"/>
          <w:lang w:eastAsia="en-US"/>
        </w:rPr>
        <w:t xml:space="preserve"> are consistently committed to delivering</w:t>
      </w:r>
      <w:r w:rsidR="007C3B9E" w:rsidRPr="000429C6">
        <w:rPr>
          <w:rFonts w:ascii="Times New Roman" w:eastAsia="Times New Roman" w:hAnsi="Times New Roman" w:cs="Times New Roman"/>
          <w:sz w:val="24"/>
          <w:lang w:eastAsia="en-US"/>
        </w:rPr>
        <w:t xml:space="preserve"> education pathways that meet the diverse and individualised needs of young people</w:t>
      </w:r>
      <w:r w:rsidR="0058531B" w:rsidRPr="000429C6">
        <w:rPr>
          <w:rFonts w:ascii="Times New Roman" w:eastAsia="Times New Roman" w:hAnsi="Times New Roman" w:cs="Times New Roman"/>
          <w:sz w:val="24"/>
          <w:lang w:eastAsia="en-US"/>
        </w:rPr>
        <w:t xml:space="preserve">, now and in the future. Whilst this is regularly the intent, </w:t>
      </w:r>
      <w:r w:rsidR="00E36544" w:rsidRPr="000429C6">
        <w:rPr>
          <w:rFonts w:ascii="Times New Roman" w:eastAsia="Times New Roman" w:hAnsi="Times New Roman" w:cs="Times New Roman"/>
          <w:sz w:val="24"/>
          <w:lang w:eastAsia="en-US"/>
        </w:rPr>
        <w:t xml:space="preserve">it if often not sustained and further, due to the highly </w:t>
      </w:r>
      <w:r w:rsidR="00831A5C" w:rsidRPr="000429C6">
        <w:rPr>
          <w:rFonts w:ascii="Times New Roman" w:eastAsia="Times New Roman" w:hAnsi="Times New Roman" w:cs="Times New Roman"/>
          <w:sz w:val="24"/>
          <w:lang w:eastAsia="en-US"/>
        </w:rPr>
        <w:t xml:space="preserve">transient population of the </w:t>
      </w:r>
      <w:r w:rsidR="00831A5C" w:rsidRPr="000429C6">
        <w:rPr>
          <w:rFonts w:ascii="Times New Roman" w:eastAsia="Times New Roman" w:hAnsi="Times New Roman" w:cs="Times New Roman"/>
          <w:sz w:val="24"/>
          <w:lang w:eastAsia="en-US"/>
        </w:rPr>
        <w:lastRenderedPageBreak/>
        <w:t>Northern Territory,</w:t>
      </w:r>
      <w:r w:rsidR="00036E64" w:rsidRPr="000429C6">
        <w:rPr>
          <w:rFonts w:ascii="Times New Roman" w:eastAsia="Times New Roman" w:hAnsi="Times New Roman" w:cs="Times New Roman"/>
          <w:sz w:val="24"/>
          <w:lang w:eastAsia="en-US"/>
        </w:rPr>
        <w:t xml:space="preserve"> needs of individuals are unable to be identified and met within a suitable timeframe</w:t>
      </w:r>
      <w:r w:rsidR="002C4275" w:rsidRPr="000429C6">
        <w:rPr>
          <w:rFonts w:ascii="Times New Roman" w:eastAsia="Times New Roman" w:hAnsi="Times New Roman" w:cs="Times New Roman"/>
          <w:sz w:val="24"/>
          <w:lang w:eastAsia="en-US"/>
        </w:rPr>
        <w:t xml:space="preserve"> to allow for efficacy.</w:t>
      </w:r>
    </w:p>
    <w:p w14:paraId="65AE357F" w14:textId="3AD774B2" w:rsidR="002C4275" w:rsidRPr="000429C6" w:rsidRDefault="002C4275"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 xml:space="preserve">Another issue that disadvantages the unique student population in the Northern Territory, </w:t>
      </w:r>
      <w:r w:rsidR="00F15C4E" w:rsidRPr="000429C6">
        <w:rPr>
          <w:rFonts w:ascii="Times New Roman" w:eastAsia="Times New Roman" w:hAnsi="Times New Roman" w:cs="Times New Roman"/>
          <w:sz w:val="24"/>
          <w:lang w:eastAsia="en-US"/>
        </w:rPr>
        <w:t>is the remote locations that students expect to receive a quality education.</w:t>
      </w:r>
      <w:r w:rsidR="00F149C4" w:rsidRPr="000429C6">
        <w:rPr>
          <w:rFonts w:ascii="Times New Roman" w:eastAsia="Times New Roman" w:hAnsi="Times New Roman" w:cs="Times New Roman"/>
          <w:sz w:val="24"/>
          <w:lang w:eastAsia="en-US"/>
        </w:rPr>
        <w:t xml:space="preserve"> </w:t>
      </w:r>
      <w:r w:rsidR="0011198F" w:rsidRPr="000429C6">
        <w:rPr>
          <w:rFonts w:ascii="Times New Roman" w:eastAsia="Times New Roman" w:hAnsi="Times New Roman" w:cs="Times New Roman"/>
          <w:sz w:val="24"/>
          <w:lang w:eastAsia="en-US"/>
        </w:rPr>
        <w:t xml:space="preserve">For example, </w:t>
      </w:r>
      <w:r w:rsidR="00920417" w:rsidRPr="000429C6">
        <w:rPr>
          <w:rFonts w:ascii="Times New Roman" w:eastAsia="Times New Roman" w:hAnsi="Times New Roman" w:cs="Times New Roman"/>
          <w:sz w:val="24"/>
          <w:lang w:eastAsia="en-US"/>
        </w:rPr>
        <w:t xml:space="preserve">only a limited number of schools are able to </w:t>
      </w:r>
      <w:r w:rsidR="00E0126A" w:rsidRPr="000429C6">
        <w:rPr>
          <w:rFonts w:ascii="Times New Roman" w:eastAsia="Times New Roman" w:hAnsi="Times New Roman" w:cs="Times New Roman"/>
          <w:sz w:val="24"/>
          <w:lang w:eastAsia="en-US"/>
        </w:rPr>
        <w:t>deliver</w:t>
      </w:r>
      <w:r w:rsidR="00920417" w:rsidRPr="000429C6">
        <w:rPr>
          <w:rFonts w:ascii="Times New Roman" w:eastAsia="Times New Roman" w:hAnsi="Times New Roman" w:cs="Times New Roman"/>
          <w:sz w:val="24"/>
          <w:lang w:eastAsia="en-US"/>
        </w:rPr>
        <w:t xml:space="preserve"> on-site secondary education in remote areas of the Northern Territory and the primary delivery method is through</w:t>
      </w:r>
      <w:r w:rsidR="00E0126A" w:rsidRPr="000429C6">
        <w:rPr>
          <w:rFonts w:ascii="Times New Roman" w:eastAsia="Times New Roman" w:hAnsi="Times New Roman" w:cs="Times New Roman"/>
          <w:sz w:val="24"/>
          <w:lang w:eastAsia="en-US"/>
        </w:rPr>
        <w:t xml:space="preserve"> online and remote learning methods, which does not suit </w:t>
      </w:r>
      <w:r w:rsidR="00E10208" w:rsidRPr="000429C6">
        <w:rPr>
          <w:rFonts w:ascii="Times New Roman" w:eastAsia="Times New Roman" w:hAnsi="Times New Roman" w:cs="Times New Roman"/>
          <w:sz w:val="24"/>
          <w:lang w:eastAsia="en-US"/>
        </w:rPr>
        <w:t>many students for a variety of reason.</w:t>
      </w:r>
      <w:r w:rsidR="00920417" w:rsidRPr="000429C6">
        <w:rPr>
          <w:rFonts w:ascii="Times New Roman" w:eastAsia="Times New Roman" w:hAnsi="Times New Roman" w:cs="Times New Roman"/>
          <w:sz w:val="24"/>
          <w:lang w:eastAsia="en-US"/>
        </w:rPr>
        <w:t xml:space="preserve"> </w:t>
      </w:r>
      <w:r w:rsidR="00F149C4" w:rsidRPr="000429C6">
        <w:rPr>
          <w:rFonts w:ascii="Times New Roman" w:eastAsia="Times New Roman" w:hAnsi="Times New Roman" w:cs="Times New Roman"/>
          <w:sz w:val="24"/>
          <w:lang w:eastAsia="en-US"/>
        </w:rPr>
        <w:t xml:space="preserve">Due to </w:t>
      </w:r>
      <w:r w:rsidR="001C067E" w:rsidRPr="000429C6">
        <w:rPr>
          <w:rFonts w:ascii="Times New Roman" w:eastAsia="Times New Roman" w:hAnsi="Times New Roman" w:cs="Times New Roman"/>
          <w:sz w:val="24"/>
          <w:lang w:eastAsia="en-US"/>
        </w:rPr>
        <w:t>these factors, student retention is lower than the national average</w:t>
      </w:r>
      <w:r w:rsidR="00E10208" w:rsidRPr="000429C6">
        <w:rPr>
          <w:rFonts w:ascii="Times New Roman" w:eastAsia="Times New Roman" w:hAnsi="Times New Roman" w:cs="Times New Roman"/>
          <w:sz w:val="24"/>
          <w:lang w:eastAsia="en-US"/>
        </w:rPr>
        <w:t xml:space="preserve"> into senior secondary education and </w:t>
      </w:r>
      <w:r w:rsidR="008556C2" w:rsidRPr="000429C6">
        <w:rPr>
          <w:rFonts w:ascii="Times New Roman" w:eastAsia="Times New Roman" w:hAnsi="Times New Roman" w:cs="Times New Roman"/>
          <w:sz w:val="24"/>
          <w:lang w:eastAsia="en-US"/>
        </w:rPr>
        <w:t>beyond into tertiary education</w:t>
      </w:r>
      <w:r w:rsidR="001C067E" w:rsidRPr="000429C6">
        <w:rPr>
          <w:rFonts w:ascii="Times New Roman" w:eastAsia="Times New Roman" w:hAnsi="Times New Roman" w:cs="Times New Roman"/>
          <w:sz w:val="24"/>
          <w:lang w:eastAsia="en-US"/>
        </w:rPr>
        <w:t>.</w:t>
      </w:r>
    </w:p>
    <w:p w14:paraId="59D45C1D" w14:textId="62A52E83" w:rsidR="003A7A63" w:rsidRPr="000429C6" w:rsidRDefault="003A7A63" w:rsidP="00A427D2">
      <w:pPr>
        <w:spacing w:after="0" w:line="480" w:lineRule="auto"/>
        <w:rPr>
          <w:rFonts w:ascii="Times New Roman" w:hAnsi="Times New Roman" w:cs="Times New Roman"/>
          <w:b/>
          <w:bCs/>
          <w:color w:val="222222"/>
          <w:sz w:val="24"/>
          <w:szCs w:val="24"/>
          <w:shd w:val="clear" w:color="auto" w:fill="FFFFFF"/>
        </w:rPr>
      </w:pPr>
      <w:r w:rsidRPr="000429C6">
        <w:rPr>
          <w:rFonts w:ascii="Times New Roman" w:hAnsi="Times New Roman" w:cs="Times New Roman"/>
          <w:b/>
          <w:bCs/>
          <w:color w:val="222222"/>
          <w:sz w:val="24"/>
          <w:szCs w:val="24"/>
          <w:shd w:val="clear" w:color="auto" w:fill="FFFFFF"/>
        </w:rPr>
        <w:t>Indigenous Issues</w:t>
      </w:r>
    </w:p>
    <w:p w14:paraId="7FAA9F76" w14:textId="083F9DB6" w:rsidR="00356DAC" w:rsidRPr="000429C6" w:rsidRDefault="00F3241A" w:rsidP="000429C6">
      <w:pPr>
        <w:spacing w:after="0" w:line="480" w:lineRule="auto"/>
        <w:ind w:firstLine="568"/>
        <w:rPr>
          <w:rFonts w:ascii="Times New Roman" w:eastAsia="Times New Roman" w:hAnsi="Times New Roman" w:cs="Times New Roman"/>
          <w:sz w:val="24"/>
          <w:lang w:eastAsia="en-US"/>
        </w:rPr>
      </w:pPr>
      <w:r w:rsidRPr="000429C6">
        <w:rPr>
          <w:rFonts w:ascii="Times New Roman" w:eastAsia="Times New Roman" w:hAnsi="Times New Roman" w:cs="Times New Roman"/>
          <w:sz w:val="24"/>
          <w:lang w:eastAsia="en-US"/>
        </w:rPr>
        <w:t xml:space="preserve">Whilst many of the </w:t>
      </w:r>
      <w:r w:rsidR="00785C6A" w:rsidRPr="000429C6">
        <w:rPr>
          <w:rFonts w:ascii="Times New Roman" w:eastAsia="Times New Roman" w:hAnsi="Times New Roman" w:cs="Times New Roman"/>
          <w:sz w:val="24"/>
          <w:lang w:eastAsia="en-US"/>
        </w:rPr>
        <w:t>difficulties related to remote</w:t>
      </w:r>
      <w:r w:rsidR="003D7E94" w:rsidRPr="000429C6">
        <w:rPr>
          <w:rFonts w:ascii="Times New Roman" w:eastAsia="Times New Roman" w:hAnsi="Times New Roman" w:cs="Times New Roman"/>
          <w:sz w:val="24"/>
          <w:lang w:eastAsia="en-US"/>
        </w:rPr>
        <w:t xml:space="preserve"> localities applies to Indigenous students</w:t>
      </w:r>
      <w:r w:rsidR="008556C2" w:rsidRPr="000429C6">
        <w:rPr>
          <w:rFonts w:ascii="Times New Roman" w:eastAsia="Times New Roman" w:hAnsi="Times New Roman" w:cs="Times New Roman"/>
          <w:sz w:val="24"/>
          <w:lang w:eastAsia="en-US"/>
        </w:rPr>
        <w:t>,</w:t>
      </w:r>
      <w:r w:rsidR="0004122C" w:rsidRPr="000429C6">
        <w:rPr>
          <w:rFonts w:ascii="Times New Roman" w:eastAsia="Times New Roman" w:hAnsi="Times New Roman" w:cs="Times New Roman"/>
          <w:sz w:val="24"/>
          <w:lang w:eastAsia="en-US"/>
        </w:rPr>
        <w:t xml:space="preserve"> other factors compound the</w:t>
      </w:r>
      <w:r w:rsidR="008354DA" w:rsidRPr="000429C6">
        <w:rPr>
          <w:rFonts w:ascii="Times New Roman" w:eastAsia="Times New Roman" w:hAnsi="Times New Roman" w:cs="Times New Roman"/>
          <w:sz w:val="24"/>
          <w:lang w:eastAsia="en-US"/>
        </w:rPr>
        <w:t xml:space="preserve"> </w:t>
      </w:r>
      <w:r w:rsidR="00C83441" w:rsidRPr="000429C6">
        <w:rPr>
          <w:rFonts w:ascii="Times New Roman" w:eastAsia="Times New Roman" w:hAnsi="Times New Roman" w:cs="Times New Roman"/>
          <w:sz w:val="24"/>
          <w:lang w:eastAsia="en-US"/>
        </w:rPr>
        <w:t>barriers receiving a quality education.</w:t>
      </w:r>
      <w:r w:rsidR="00D119D9" w:rsidRPr="000429C6">
        <w:rPr>
          <w:rFonts w:ascii="Times New Roman" w:eastAsia="Times New Roman" w:hAnsi="Times New Roman" w:cs="Times New Roman"/>
          <w:sz w:val="24"/>
          <w:lang w:eastAsia="en-US"/>
        </w:rPr>
        <w:t xml:space="preserve"> As discussed above, ability to receive the </w:t>
      </w:r>
      <w:r w:rsidR="00C269F6" w:rsidRPr="000429C6">
        <w:rPr>
          <w:rFonts w:ascii="Times New Roman" w:eastAsia="Times New Roman" w:hAnsi="Times New Roman" w:cs="Times New Roman"/>
          <w:sz w:val="24"/>
          <w:lang w:eastAsia="en-US"/>
        </w:rPr>
        <w:t xml:space="preserve">education, through the technology requirements poses a barrier that many are unable to breach. However, this is often coupled with a </w:t>
      </w:r>
      <w:r w:rsidR="00DD141A" w:rsidRPr="000429C6">
        <w:rPr>
          <w:rFonts w:ascii="Times New Roman" w:eastAsia="Times New Roman" w:hAnsi="Times New Roman" w:cs="Times New Roman"/>
          <w:sz w:val="24"/>
          <w:lang w:eastAsia="en-US"/>
        </w:rPr>
        <w:t xml:space="preserve">language and literacy gap that prevents students from being able to </w:t>
      </w:r>
      <w:r w:rsidR="00362AEC" w:rsidRPr="000429C6">
        <w:rPr>
          <w:rFonts w:ascii="Times New Roman" w:eastAsia="Times New Roman" w:hAnsi="Times New Roman" w:cs="Times New Roman"/>
          <w:sz w:val="24"/>
          <w:lang w:eastAsia="en-US"/>
        </w:rPr>
        <w:t>engage</w:t>
      </w:r>
      <w:r w:rsidR="00AC726F" w:rsidRPr="000429C6">
        <w:rPr>
          <w:rFonts w:ascii="Times New Roman" w:eastAsia="Times New Roman" w:hAnsi="Times New Roman" w:cs="Times New Roman"/>
          <w:sz w:val="24"/>
          <w:lang w:eastAsia="en-US"/>
        </w:rPr>
        <w:t xml:space="preserve"> appropriately with the content.</w:t>
      </w:r>
      <w:r w:rsidR="004416DD" w:rsidRPr="000429C6">
        <w:rPr>
          <w:rFonts w:ascii="Times New Roman" w:eastAsia="Times New Roman" w:hAnsi="Times New Roman" w:cs="Times New Roman"/>
          <w:sz w:val="24"/>
          <w:lang w:eastAsia="en-US"/>
        </w:rPr>
        <w:t xml:space="preserve"> This results in poor outcomes through attendance and retentions, and achievement</w:t>
      </w:r>
      <w:r w:rsidR="00C464F0" w:rsidRPr="000429C6">
        <w:rPr>
          <w:rFonts w:ascii="Times New Roman" w:eastAsia="Times New Roman" w:hAnsi="Times New Roman" w:cs="Times New Roman"/>
          <w:sz w:val="24"/>
          <w:lang w:eastAsia="en-US"/>
        </w:rPr>
        <w:t xml:space="preserve"> by Indigenous students.</w:t>
      </w:r>
    </w:p>
    <w:p w14:paraId="668B25F4" w14:textId="612CA194" w:rsidR="009B122C" w:rsidRPr="003B23CC" w:rsidRDefault="009B122C" w:rsidP="00A427D2">
      <w:pPr>
        <w:spacing w:after="0" w:line="480" w:lineRule="auto"/>
        <w:rPr>
          <w:rFonts w:ascii="Times New Roman" w:hAnsi="Times New Roman" w:cs="Times New Roman"/>
          <w:b/>
          <w:bCs/>
          <w:color w:val="222222"/>
          <w:sz w:val="24"/>
          <w:szCs w:val="24"/>
          <w:shd w:val="clear" w:color="auto" w:fill="FFFFFF"/>
        </w:rPr>
      </w:pPr>
      <w:r w:rsidRPr="003B23CC">
        <w:rPr>
          <w:rFonts w:ascii="Times New Roman" w:hAnsi="Times New Roman" w:cs="Times New Roman"/>
          <w:b/>
          <w:bCs/>
          <w:color w:val="222222"/>
          <w:sz w:val="24"/>
          <w:szCs w:val="24"/>
          <w:shd w:val="clear" w:color="auto" w:fill="FFFFFF"/>
        </w:rPr>
        <w:t>Building Capacity and Capability</w:t>
      </w:r>
    </w:p>
    <w:p w14:paraId="55E8EB58" w14:textId="2CF8424A" w:rsidR="008414F4" w:rsidRPr="00AE6756" w:rsidRDefault="00334B81" w:rsidP="00AE6756">
      <w:pPr>
        <w:spacing w:after="0" w:line="480" w:lineRule="auto"/>
        <w:ind w:firstLine="568"/>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 xml:space="preserve">The report specifically identifies and recommends the development of </w:t>
      </w:r>
      <w:r w:rsidR="008B00C7" w:rsidRPr="00AE6756">
        <w:rPr>
          <w:rFonts w:ascii="Times New Roman" w:eastAsia="Times New Roman" w:hAnsi="Times New Roman" w:cs="Times New Roman"/>
          <w:sz w:val="24"/>
          <w:lang w:eastAsia="en-US"/>
        </w:rPr>
        <w:t xml:space="preserve">the core staff within the education system, being teachers, leadership and </w:t>
      </w:r>
      <w:r w:rsidR="00966488" w:rsidRPr="00AE6756">
        <w:rPr>
          <w:rFonts w:ascii="Times New Roman" w:eastAsia="Times New Roman" w:hAnsi="Times New Roman" w:cs="Times New Roman"/>
          <w:sz w:val="24"/>
          <w:lang w:eastAsia="en-US"/>
        </w:rPr>
        <w:t>staff within the Education Department.</w:t>
      </w:r>
      <w:r w:rsidR="004F15C9" w:rsidRPr="00AE6756">
        <w:rPr>
          <w:rFonts w:ascii="Times New Roman" w:eastAsia="Times New Roman" w:hAnsi="Times New Roman" w:cs="Times New Roman"/>
          <w:sz w:val="24"/>
          <w:lang w:eastAsia="en-US"/>
        </w:rPr>
        <w:t xml:space="preserve"> The requirement for effective leadership at schools is particularly important, especially during </w:t>
      </w:r>
      <w:r w:rsidR="00AF6D75" w:rsidRPr="00AE6756">
        <w:rPr>
          <w:rFonts w:ascii="Times New Roman" w:eastAsia="Times New Roman" w:hAnsi="Times New Roman" w:cs="Times New Roman"/>
          <w:sz w:val="24"/>
          <w:lang w:eastAsia="en-US"/>
        </w:rPr>
        <w:t>periods of substantial change.</w:t>
      </w:r>
      <w:r w:rsidR="0005774E" w:rsidRPr="00AE6756">
        <w:rPr>
          <w:rFonts w:ascii="Times New Roman" w:eastAsia="Times New Roman" w:hAnsi="Times New Roman" w:cs="Times New Roman"/>
          <w:sz w:val="24"/>
          <w:lang w:eastAsia="en-US"/>
        </w:rPr>
        <w:t xml:space="preserve"> By developing and investing in the whole school leadership, not only principal and assistant principals, </w:t>
      </w:r>
      <w:r w:rsidR="000429C6" w:rsidRPr="00AE6756">
        <w:rPr>
          <w:rFonts w:ascii="Times New Roman" w:eastAsia="Times New Roman" w:hAnsi="Times New Roman" w:cs="Times New Roman"/>
          <w:sz w:val="24"/>
          <w:lang w:eastAsia="en-US"/>
        </w:rPr>
        <w:t>but the school culture can also</w:t>
      </w:r>
      <w:r w:rsidR="00DD0F5A" w:rsidRPr="00AE6756">
        <w:rPr>
          <w:rFonts w:ascii="Times New Roman" w:eastAsia="Times New Roman" w:hAnsi="Times New Roman" w:cs="Times New Roman"/>
          <w:sz w:val="24"/>
          <w:lang w:eastAsia="en-US"/>
        </w:rPr>
        <w:t xml:space="preserve"> meet the changes necessary to meet the needs of the </w:t>
      </w:r>
      <w:r w:rsidR="00C26B0C" w:rsidRPr="00AE6756">
        <w:rPr>
          <w:rFonts w:ascii="Times New Roman" w:eastAsia="Times New Roman" w:hAnsi="Times New Roman" w:cs="Times New Roman"/>
          <w:sz w:val="24"/>
          <w:lang w:eastAsia="en-US"/>
        </w:rPr>
        <w:t>students.</w:t>
      </w:r>
    </w:p>
    <w:p w14:paraId="0E14AFF0" w14:textId="77777777" w:rsidR="009C51B5" w:rsidRPr="005124CE" w:rsidRDefault="009C51B5" w:rsidP="00A427D2">
      <w:pPr>
        <w:spacing w:after="0" w:line="480" w:lineRule="auto"/>
        <w:rPr>
          <w:rFonts w:ascii="Times New Roman" w:hAnsi="Times New Roman" w:cs="Times New Roman"/>
          <w:color w:val="222222"/>
          <w:sz w:val="20"/>
          <w:szCs w:val="20"/>
          <w:shd w:val="clear" w:color="auto" w:fill="FFFFFF"/>
        </w:rPr>
      </w:pPr>
    </w:p>
    <w:p w14:paraId="3BDBAD4F" w14:textId="4A2CA576" w:rsidR="00356DAC" w:rsidRPr="00AE6756" w:rsidRDefault="00D85192" w:rsidP="00D85192">
      <w:pPr>
        <w:spacing w:after="0" w:line="480" w:lineRule="auto"/>
        <w:jc w:val="center"/>
        <w:rPr>
          <w:rFonts w:ascii="Times New Roman" w:hAnsi="Times New Roman" w:cs="Times New Roman"/>
          <w:b/>
          <w:bCs/>
          <w:color w:val="222222"/>
          <w:sz w:val="24"/>
          <w:szCs w:val="24"/>
          <w:shd w:val="clear" w:color="auto" w:fill="FFFFFF"/>
        </w:rPr>
      </w:pPr>
      <w:r w:rsidRPr="00AE6756">
        <w:rPr>
          <w:rFonts w:ascii="Times New Roman" w:hAnsi="Times New Roman" w:cs="Times New Roman"/>
          <w:b/>
          <w:bCs/>
          <w:color w:val="222222"/>
          <w:sz w:val="28"/>
          <w:szCs w:val="28"/>
          <w:shd w:val="clear" w:color="auto" w:fill="FFFFFF"/>
        </w:rPr>
        <w:t xml:space="preserve">A share in the future. </w:t>
      </w:r>
      <w:r w:rsidRPr="00AE6756">
        <w:rPr>
          <w:rFonts w:ascii="Times New Roman" w:hAnsi="Times New Roman" w:cs="Times New Roman"/>
          <w:b/>
          <w:bCs/>
          <w:color w:val="222222"/>
          <w:sz w:val="28"/>
          <w:szCs w:val="28"/>
          <w:shd w:val="clear" w:color="auto" w:fill="FFFFFF"/>
        </w:rPr>
        <w:t>Review of Indigenous Education</w:t>
      </w:r>
      <w:r w:rsidRPr="00AE6756">
        <w:rPr>
          <w:rFonts w:ascii="Times New Roman" w:hAnsi="Times New Roman" w:cs="Times New Roman"/>
          <w:b/>
          <w:bCs/>
          <w:color w:val="222222"/>
          <w:sz w:val="28"/>
          <w:szCs w:val="28"/>
          <w:shd w:val="clear" w:color="auto" w:fill="FFFFFF"/>
        </w:rPr>
        <w:t xml:space="preserve"> </w:t>
      </w:r>
      <w:r w:rsidRPr="00AE6756">
        <w:rPr>
          <w:rFonts w:ascii="Times New Roman" w:hAnsi="Times New Roman" w:cs="Times New Roman"/>
          <w:b/>
          <w:bCs/>
          <w:color w:val="222222"/>
          <w:sz w:val="28"/>
          <w:szCs w:val="28"/>
          <w:shd w:val="clear" w:color="auto" w:fill="FFFFFF"/>
        </w:rPr>
        <w:t>in the Northern Territory</w:t>
      </w:r>
      <w:r w:rsidRPr="00AE6756">
        <w:rPr>
          <w:rFonts w:ascii="Times New Roman" w:hAnsi="Times New Roman" w:cs="Times New Roman"/>
          <w:b/>
          <w:bCs/>
          <w:color w:val="222222"/>
          <w:sz w:val="28"/>
          <w:szCs w:val="28"/>
          <w:shd w:val="clear" w:color="auto" w:fill="FFFFFF"/>
        </w:rPr>
        <w:t>.</w:t>
      </w:r>
      <w:r w:rsidR="008B4B20" w:rsidRPr="00AE6756">
        <w:rPr>
          <w:rFonts w:ascii="Times New Roman" w:hAnsi="Times New Roman" w:cs="Times New Roman"/>
          <w:b/>
          <w:bCs/>
          <w:color w:val="222222"/>
          <w:sz w:val="24"/>
          <w:szCs w:val="24"/>
          <w:shd w:val="clear" w:color="auto" w:fill="FFFFFF"/>
        </w:rPr>
        <w:t xml:space="preserve"> </w:t>
      </w:r>
      <w:r w:rsidR="008B4B20" w:rsidRPr="00AE6756">
        <w:rPr>
          <w:rFonts w:ascii="Times New Roman" w:hAnsi="Times New Roman" w:cs="Times New Roman"/>
          <w:color w:val="222222"/>
          <w:sz w:val="24"/>
          <w:szCs w:val="24"/>
          <w:shd w:val="clear" w:color="auto" w:fill="FFFFFF"/>
        </w:rPr>
        <w:t>(</w:t>
      </w:r>
      <w:r w:rsidR="008B4B20" w:rsidRPr="00AE6756">
        <w:rPr>
          <w:rFonts w:ascii="Times New Roman" w:hAnsi="Times New Roman" w:cs="Times New Roman"/>
          <w:color w:val="222222"/>
          <w:sz w:val="24"/>
          <w:szCs w:val="24"/>
          <w:shd w:val="clear" w:color="auto" w:fill="FFFFFF"/>
        </w:rPr>
        <w:t>Wilson,</w:t>
      </w:r>
      <w:r w:rsidR="008B4B20" w:rsidRPr="00AE6756">
        <w:rPr>
          <w:rFonts w:ascii="Times New Roman" w:hAnsi="Times New Roman" w:cs="Times New Roman"/>
          <w:color w:val="222222"/>
          <w:sz w:val="24"/>
          <w:szCs w:val="24"/>
          <w:shd w:val="clear" w:color="auto" w:fill="FFFFFF"/>
        </w:rPr>
        <w:t xml:space="preserve"> </w:t>
      </w:r>
      <w:r w:rsidR="008B4B20" w:rsidRPr="00AE6756">
        <w:rPr>
          <w:rFonts w:ascii="Times New Roman" w:hAnsi="Times New Roman" w:cs="Times New Roman"/>
          <w:color w:val="222222"/>
          <w:sz w:val="24"/>
          <w:szCs w:val="24"/>
          <w:shd w:val="clear" w:color="auto" w:fill="FFFFFF"/>
        </w:rPr>
        <w:t>2014). </w:t>
      </w:r>
    </w:p>
    <w:p w14:paraId="75949513" w14:textId="79FF50C5" w:rsidR="00356DAC" w:rsidRPr="00AE6756" w:rsidRDefault="006E4016" w:rsidP="00AE6756">
      <w:pPr>
        <w:spacing w:after="0" w:line="480" w:lineRule="auto"/>
        <w:ind w:firstLine="568"/>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 xml:space="preserve">As with the </w:t>
      </w:r>
      <w:r w:rsidR="001371C5" w:rsidRPr="00AE6756">
        <w:rPr>
          <w:rFonts w:ascii="Times New Roman" w:eastAsia="Times New Roman" w:hAnsi="Times New Roman" w:cs="Times New Roman"/>
          <w:sz w:val="24"/>
          <w:lang w:eastAsia="en-US"/>
        </w:rPr>
        <w:t>two other reports, the Review of Indigenous Education’s r</w:t>
      </w:r>
      <w:r w:rsidR="00356DAC" w:rsidRPr="00AE6756">
        <w:rPr>
          <w:rFonts w:ascii="Times New Roman" w:eastAsia="Times New Roman" w:hAnsi="Times New Roman" w:cs="Times New Roman"/>
          <w:sz w:val="24"/>
          <w:lang w:eastAsia="en-US"/>
        </w:rPr>
        <w:t>ecommendations are pragmatic and do not attempt to address every issue with Indigenous education but prioritise effort to affect the greatest benefit.</w:t>
      </w:r>
      <w:r w:rsidR="00695A05" w:rsidRPr="00AE6756">
        <w:rPr>
          <w:rFonts w:ascii="Times New Roman" w:eastAsia="Times New Roman" w:hAnsi="Times New Roman" w:cs="Times New Roman"/>
          <w:sz w:val="24"/>
          <w:lang w:eastAsia="en-US"/>
        </w:rPr>
        <w:t xml:space="preserve"> Much of the recommendation is toward early childhood, </w:t>
      </w:r>
      <w:r w:rsidR="00874A70" w:rsidRPr="00AE6756">
        <w:rPr>
          <w:rFonts w:ascii="Times New Roman" w:eastAsia="Times New Roman" w:hAnsi="Times New Roman" w:cs="Times New Roman"/>
          <w:sz w:val="24"/>
          <w:lang w:eastAsia="en-US"/>
        </w:rPr>
        <w:t xml:space="preserve">for example, through the Families as First Teachers program and development of early literacy programs </w:t>
      </w:r>
      <w:r w:rsidR="003E174B" w:rsidRPr="00AE6756">
        <w:rPr>
          <w:rFonts w:ascii="Times New Roman" w:eastAsia="Times New Roman" w:hAnsi="Times New Roman" w:cs="Times New Roman"/>
          <w:sz w:val="24"/>
          <w:lang w:eastAsia="en-US"/>
        </w:rPr>
        <w:t xml:space="preserve">and phonological training to support teachers </w:t>
      </w:r>
      <w:r w:rsidR="003E174B" w:rsidRPr="00AE6756">
        <w:rPr>
          <w:rFonts w:ascii="Times New Roman" w:eastAsia="Times New Roman" w:hAnsi="Times New Roman" w:cs="Times New Roman"/>
          <w:sz w:val="24"/>
          <w:lang w:eastAsia="en-US"/>
        </w:rPr>
        <w:lastRenderedPageBreak/>
        <w:t>in early language development</w:t>
      </w:r>
      <w:r w:rsidR="00013C4F" w:rsidRPr="00AE6756">
        <w:rPr>
          <w:rFonts w:ascii="Times New Roman" w:eastAsia="Times New Roman" w:hAnsi="Times New Roman" w:cs="Times New Roman"/>
          <w:sz w:val="24"/>
          <w:lang w:eastAsia="en-US"/>
        </w:rPr>
        <w:t xml:space="preserve"> (Ferguson, 2018). </w:t>
      </w:r>
      <w:r w:rsidR="009E7E77" w:rsidRPr="00AE6756">
        <w:rPr>
          <w:rFonts w:ascii="Times New Roman" w:eastAsia="Times New Roman" w:hAnsi="Times New Roman" w:cs="Times New Roman"/>
          <w:sz w:val="24"/>
          <w:lang w:eastAsia="en-US"/>
        </w:rPr>
        <w:t xml:space="preserve">Further, the report </w:t>
      </w:r>
      <w:r w:rsidR="00F1732F" w:rsidRPr="00AE6756">
        <w:rPr>
          <w:rFonts w:ascii="Times New Roman" w:eastAsia="Times New Roman" w:hAnsi="Times New Roman" w:cs="Times New Roman"/>
          <w:sz w:val="24"/>
          <w:lang w:eastAsia="en-US"/>
        </w:rPr>
        <w:t xml:space="preserve">discusses how many factors, such as </w:t>
      </w:r>
      <w:r w:rsidR="00736E19" w:rsidRPr="00AE6756">
        <w:rPr>
          <w:rFonts w:ascii="Times New Roman" w:eastAsia="Times New Roman" w:hAnsi="Times New Roman" w:cs="Times New Roman"/>
          <w:sz w:val="24"/>
          <w:lang w:eastAsia="en-US"/>
        </w:rPr>
        <w:t xml:space="preserve">malnutrition, drug and alcohol use, housing, </w:t>
      </w:r>
      <w:r w:rsidR="00E20D07" w:rsidRPr="00AE6756">
        <w:rPr>
          <w:rFonts w:ascii="Times New Roman" w:eastAsia="Times New Roman" w:hAnsi="Times New Roman" w:cs="Times New Roman"/>
          <w:sz w:val="24"/>
          <w:lang w:eastAsia="en-US"/>
        </w:rPr>
        <w:t>physical and mental health, which are more prolific in remote Northern Territory</w:t>
      </w:r>
      <w:r w:rsidR="00477EC6" w:rsidRPr="00AE6756">
        <w:rPr>
          <w:rFonts w:ascii="Times New Roman" w:eastAsia="Times New Roman" w:hAnsi="Times New Roman" w:cs="Times New Roman"/>
          <w:sz w:val="24"/>
          <w:lang w:eastAsia="en-US"/>
        </w:rPr>
        <w:t xml:space="preserve"> compared with other states, are not within the </w:t>
      </w:r>
      <w:r w:rsidR="00940927" w:rsidRPr="00AE6756">
        <w:rPr>
          <w:rFonts w:ascii="Times New Roman" w:eastAsia="Times New Roman" w:hAnsi="Times New Roman" w:cs="Times New Roman"/>
          <w:sz w:val="24"/>
          <w:lang w:eastAsia="en-US"/>
        </w:rPr>
        <w:t xml:space="preserve">area of responsibility of the Department of Education. These issues </w:t>
      </w:r>
      <w:r w:rsidR="00794269" w:rsidRPr="00AE6756">
        <w:rPr>
          <w:rFonts w:ascii="Times New Roman" w:eastAsia="Times New Roman" w:hAnsi="Times New Roman" w:cs="Times New Roman"/>
          <w:sz w:val="24"/>
          <w:lang w:eastAsia="en-US"/>
        </w:rPr>
        <w:t xml:space="preserve">must then be resolved by one or more </w:t>
      </w:r>
      <w:r w:rsidR="00EA01ED" w:rsidRPr="00AE6756">
        <w:rPr>
          <w:rFonts w:ascii="Times New Roman" w:eastAsia="Times New Roman" w:hAnsi="Times New Roman" w:cs="Times New Roman"/>
          <w:sz w:val="24"/>
          <w:lang w:eastAsia="en-US"/>
        </w:rPr>
        <w:t xml:space="preserve">government departments </w:t>
      </w:r>
      <w:r w:rsidR="002B69A0" w:rsidRPr="00AE6756">
        <w:rPr>
          <w:rFonts w:ascii="Times New Roman" w:eastAsia="Times New Roman" w:hAnsi="Times New Roman" w:cs="Times New Roman"/>
          <w:sz w:val="24"/>
          <w:lang w:eastAsia="en-US"/>
        </w:rPr>
        <w:t>and non-government agencies.</w:t>
      </w:r>
    </w:p>
    <w:p w14:paraId="18C1C5AE" w14:textId="74ECEC35" w:rsidR="00676D5F" w:rsidRPr="00AE6756" w:rsidRDefault="00676D5F" w:rsidP="00A427D2">
      <w:pPr>
        <w:spacing w:after="0" w:line="480" w:lineRule="auto"/>
        <w:rPr>
          <w:rFonts w:ascii="Times New Roman" w:hAnsi="Times New Roman" w:cs="Times New Roman"/>
          <w:b/>
          <w:bCs/>
          <w:color w:val="222222"/>
          <w:sz w:val="24"/>
          <w:szCs w:val="24"/>
          <w:shd w:val="clear" w:color="auto" w:fill="FFFFFF"/>
        </w:rPr>
      </w:pPr>
      <w:r w:rsidRPr="00AE6756">
        <w:rPr>
          <w:rFonts w:ascii="Times New Roman" w:hAnsi="Times New Roman" w:cs="Times New Roman"/>
          <w:b/>
          <w:bCs/>
          <w:color w:val="222222"/>
          <w:sz w:val="24"/>
          <w:szCs w:val="24"/>
          <w:shd w:val="clear" w:color="auto" w:fill="FFFFFF"/>
        </w:rPr>
        <w:t>Recommendations in Secondary Education</w:t>
      </w:r>
    </w:p>
    <w:p w14:paraId="564EBAE1" w14:textId="655E65BD" w:rsidR="00676D5F" w:rsidRPr="003B23CC" w:rsidRDefault="008B4E89" w:rsidP="003B23CC">
      <w:pPr>
        <w:spacing w:after="0" w:line="480" w:lineRule="auto"/>
        <w:ind w:firstLine="568"/>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 xml:space="preserve">Many of the </w:t>
      </w:r>
      <w:r w:rsidR="002E4BA1" w:rsidRPr="00AE6756">
        <w:rPr>
          <w:rFonts w:ascii="Times New Roman" w:eastAsia="Times New Roman" w:hAnsi="Times New Roman" w:cs="Times New Roman"/>
          <w:sz w:val="24"/>
          <w:lang w:eastAsia="en-US"/>
        </w:rPr>
        <w:t>issues identified by this report couple Indigenous education with the issues of remote and very remote education</w:t>
      </w:r>
      <w:r w:rsidR="008C3162" w:rsidRPr="00AE6756">
        <w:rPr>
          <w:rFonts w:ascii="Times New Roman" w:eastAsia="Times New Roman" w:hAnsi="Times New Roman" w:cs="Times New Roman"/>
          <w:sz w:val="24"/>
          <w:lang w:eastAsia="en-US"/>
        </w:rPr>
        <w:t>. Factors such as attendance and enrolment create a situation where</w:t>
      </w:r>
      <w:r w:rsidR="00B4537A" w:rsidRPr="00AE6756">
        <w:rPr>
          <w:rFonts w:ascii="Times New Roman" w:eastAsia="Times New Roman" w:hAnsi="Times New Roman" w:cs="Times New Roman"/>
          <w:sz w:val="24"/>
          <w:lang w:eastAsia="en-US"/>
        </w:rPr>
        <w:t xml:space="preserve"> a limited number of secondary school students, </w:t>
      </w:r>
      <w:r w:rsidR="00757CAD" w:rsidRPr="00AE6756">
        <w:rPr>
          <w:rFonts w:ascii="Times New Roman" w:eastAsia="Times New Roman" w:hAnsi="Times New Roman" w:cs="Times New Roman"/>
          <w:sz w:val="24"/>
          <w:lang w:eastAsia="en-US"/>
        </w:rPr>
        <w:t>around ten students,</w:t>
      </w:r>
      <w:r w:rsidR="00B4537A" w:rsidRPr="00AE6756">
        <w:rPr>
          <w:rFonts w:ascii="Times New Roman" w:eastAsia="Times New Roman" w:hAnsi="Times New Roman" w:cs="Times New Roman"/>
          <w:sz w:val="24"/>
          <w:lang w:eastAsia="en-US"/>
        </w:rPr>
        <w:t xml:space="preserve"> attend on any given day</w:t>
      </w:r>
      <w:r w:rsidR="00757CAD" w:rsidRPr="00AE6756">
        <w:rPr>
          <w:rFonts w:ascii="Times New Roman" w:eastAsia="Times New Roman" w:hAnsi="Times New Roman" w:cs="Times New Roman"/>
          <w:sz w:val="24"/>
          <w:lang w:eastAsia="en-US"/>
        </w:rPr>
        <w:t>, which does not allow a school the ability to deliver a com</w:t>
      </w:r>
      <w:r w:rsidR="00745AB1" w:rsidRPr="00AE6756">
        <w:rPr>
          <w:rFonts w:ascii="Times New Roman" w:eastAsia="Times New Roman" w:hAnsi="Times New Roman" w:cs="Times New Roman"/>
          <w:sz w:val="24"/>
          <w:lang w:eastAsia="en-US"/>
        </w:rPr>
        <w:t>prehensive curr</w:t>
      </w:r>
      <w:r w:rsidR="00066347" w:rsidRPr="00AE6756">
        <w:rPr>
          <w:rFonts w:ascii="Times New Roman" w:eastAsia="Times New Roman" w:hAnsi="Times New Roman" w:cs="Times New Roman"/>
          <w:sz w:val="24"/>
          <w:lang w:eastAsia="en-US"/>
        </w:rPr>
        <w:t xml:space="preserve">iculum or employment pathways, </w:t>
      </w:r>
      <w:r w:rsidR="00FC3730" w:rsidRPr="00AE6756">
        <w:rPr>
          <w:rFonts w:ascii="Times New Roman" w:eastAsia="Times New Roman" w:hAnsi="Times New Roman" w:cs="Times New Roman"/>
          <w:sz w:val="24"/>
          <w:lang w:eastAsia="en-US"/>
        </w:rPr>
        <w:t>in</w:t>
      </w:r>
      <w:r w:rsidR="00066347" w:rsidRPr="00AE6756">
        <w:rPr>
          <w:rFonts w:ascii="Times New Roman" w:eastAsia="Times New Roman" w:hAnsi="Times New Roman" w:cs="Times New Roman"/>
          <w:sz w:val="24"/>
          <w:lang w:eastAsia="en-US"/>
        </w:rPr>
        <w:t xml:space="preserve"> the for</w:t>
      </w:r>
      <w:r w:rsidR="00FC3730" w:rsidRPr="00AE6756">
        <w:rPr>
          <w:rFonts w:ascii="Times New Roman" w:eastAsia="Times New Roman" w:hAnsi="Times New Roman" w:cs="Times New Roman"/>
          <w:sz w:val="24"/>
          <w:lang w:eastAsia="en-US"/>
        </w:rPr>
        <w:t>m</w:t>
      </w:r>
      <w:r w:rsidR="00066347" w:rsidRPr="00AE6756">
        <w:rPr>
          <w:rFonts w:ascii="Times New Roman" w:eastAsia="Times New Roman" w:hAnsi="Times New Roman" w:cs="Times New Roman"/>
          <w:sz w:val="24"/>
          <w:lang w:eastAsia="en-US"/>
        </w:rPr>
        <w:t xml:space="preserve"> of Vocational </w:t>
      </w:r>
      <w:r w:rsidR="0093443D" w:rsidRPr="00AE6756">
        <w:rPr>
          <w:rFonts w:ascii="Times New Roman" w:eastAsia="Times New Roman" w:hAnsi="Times New Roman" w:cs="Times New Roman"/>
          <w:sz w:val="24"/>
          <w:lang w:eastAsia="en-US"/>
        </w:rPr>
        <w:t>Education and Training</w:t>
      </w:r>
      <w:r w:rsidR="00FC3730" w:rsidRPr="00AE6756">
        <w:rPr>
          <w:rFonts w:ascii="Times New Roman" w:eastAsia="Times New Roman" w:hAnsi="Times New Roman" w:cs="Times New Roman"/>
          <w:sz w:val="24"/>
          <w:lang w:eastAsia="en-US"/>
        </w:rPr>
        <w:t>.</w:t>
      </w:r>
      <w:r w:rsidR="00623232" w:rsidRPr="00AE6756">
        <w:rPr>
          <w:rFonts w:ascii="Times New Roman" w:eastAsia="Times New Roman" w:hAnsi="Times New Roman" w:cs="Times New Roman"/>
          <w:sz w:val="24"/>
          <w:lang w:eastAsia="en-US"/>
        </w:rPr>
        <w:t xml:space="preserve"> Beside some </w:t>
      </w:r>
      <w:r w:rsidR="008215D9" w:rsidRPr="00AE6756">
        <w:rPr>
          <w:rFonts w:ascii="Times New Roman" w:eastAsia="Times New Roman" w:hAnsi="Times New Roman" w:cs="Times New Roman"/>
          <w:sz w:val="24"/>
          <w:lang w:eastAsia="en-US"/>
        </w:rPr>
        <w:t>uniquely successful schools, the d</w:t>
      </w:r>
      <w:r w:rsidR="001A6C5D" w:rsidRPr="00AE6756">
        <w:rPr>
          <w:rFonts w:ascii="Times New Roman" w:eastAsia="Times New Roman" w:hAnsi="Times New Roman" w:cs="Times New Roman"/>
          <w:sz w:val="24"/>
          <w:lang w:eastAsia="en-US"/>
        </w:rPr>
        <w:t>eli</w:t>
      </w:r>
      <w:r w:rsidR="008215D9" w:rsidRPr="00AE6756">
        <w:rPr>
          <w:rFonts w:ascii="Times New Roman" w:eastAsia="Times New Roman" w:hAnsi="Times New Roman" w:cs="Times New Roman"/>
          <w:sz w:val="24"/>
          <w:lang w:eastAsia="en-US"/>
        </w:rPr>
        <w:t xml:space="preserve">very of </w:t>
      </w:r>
      <w:r w:rsidR="001A6C5D" w:rsidRPr="00AE6756">
        <w:rPr>
          <w:rFonts w:ascii="Times New Roman" w:eastAsia="Times New Roman" w:hAnsi="Times New Roman" w:cs="Times New Roman"/>
          <w:sz w:val="24"/>
          <w:lang w:eastAsia="en-US"/>
        </w:rPr>
        <w:t>secondary education</w:t>
      </w:r>
      <w:r w:rsidR="00B9444E" w:rsidRPr="00AE6756">
        <w:rPr>
          <w:rFonts w:ascii="Times New Roman" w:eastAsia="Times New Roman" w:hAnsi="Times New Roman" w:cs="Times New Roman"/>
          <w:sz w:val="24"/>
          <w:lang w:eastAsia="en-US"/>
        </w:rPr>
        <w:t xml:space="preserve"> is only successful</w:t>
      </w:r>
      <w:r w:rsidR="001A6C5D" w:rsidRPr="00AE6756">
        <w:rPr>
          <w:rFonts w:ascii="Times New Roman" w:eastAsia="Times New Roman" w:hAnsi="Times New Roman" w:cs="Times New Roman"/>
          <w:sz w:val="24"/>
          <w:lang w:eastAsia="en-US"/>
        </w:rPr>
        <w:t xml:space="preserve"> </w:t>
      </w:r>
      <w:r w:rsidR="00812A60" w:rsidRPr="00AE6756">
        <w:rPr>
          <w:rFonts w:ascii="Times New Roman" w:eastAsia="Times New Roman" w:hAnsi="Times New Roman" w:cs="Times New Roman"/>
          <w:sz w:val="24"/>
          <w:lang w:eastAsia="en-US"/>
        </w:rPr>
        <w:t xml:space="preserve">in large population centres, where school enrolment, staff and, therefore, resources </w:t>
      </w:r>
      <w:r w:rsidR="00454460" w:rsidRPr="00AE6756">
        <w:rPr>
          <w:rFonts w:ascii="Times New Roman" w:eastAsia="Times New Roman" w:hAnsi="Times New Roman" w:cs="Times New Roman"/>
          <w:sz w:val="24"/>
          <w:lang w:eastAsia="en-US"/>
        </w:rPr>
        <w:t>reach</w:t>
      </w:r>
      <w:r w:rsidR="00812A60" w:rsidRPr="00AE6756">
        <w:rPr>
          <w:rFonts w:ascii="Times New Roman" w:eastAsia="Times New Roman" w:hAnsi="Times New Roman" w:cs="Times New Roman"/>
          <w:sz w:val="24"/>
          <w:lang w:eastAsia="en-US"/>
        </w:rPr>
        <w:t xml:space="preserve"> a critical mass</w:t>
      </w:r>
      <w:r w:rsidR="00B9444E" w:rsidRPr="00AE6756">
        <w:rPr>
          <w:rFonts w:ascii="Times New Roman" w:eastAsia="Times New Roman" w:hAnsi="Times New Roman" w:cs="Times New Roman"/>
          <w:sz w:val="24"/>
          <w:lang w:eastAsia="en-US"/>
        </w:rPr>
        <w:t>.</w:t>
      </w:r>
      <w:r w:rsidR="00A215D0" w:rsidRPr="00AE6756">
        <w:rPr>
          <w:rFonts w:ascii="Times New Roman" w:eastAsia="Times New Roman" w:hAnsi="Times New Roman" w:cs="Times New Roman"/>
          <w:sz w:val="24"/>
          <w:lang w:eastAsia="en-US"/>
        </w:rPr>
        <w:t xml:space="preserve"> The report then recommends that most secondary education be </w:t>
      </w:r>
      <w:r w:rsidR="00AA6C7B" w:rsidRPr="00AE6756">
        <w:rPr>
          <w:rFonts w:ascii="Times New Roman" w:eastAsia="Times New Roman" w:hAnsi="Times New Roman" w:cs="Times New Roman"/>
          <w:sz w:val="24"/>
          <w:lang w:eastAsia="en-US"/>
        </w:rPr>
        <w:t>focused schools within Darwin, Taminmin, P</w:t>
      </w:r>
      <w:r w:rsidR="00AF1268" w:rsidRPr="00AE6756">
        <w:rPr>
          <w:rFonts w:ascii="Times New Roman" w:eastAsia="Times New Roman" w:hAnsi="Times New Roman" w:cs="Times New Roman"/>
          <w:sz w:val="24"/>
          <w:lang w:eastAsia="en-US"/>
        </w:rPr>
        <w:t>almerston, Alice Spring, Katherine, Tennant Creek and Nhulunbuy</w:t>
      </w:r>
      <w:r w:rsidR="00F81754" w:rsidRPr="00AE6756">
        <w:rPr>
          <w:rFonts w:ascii="Times New Roman" w:eastAsia="Times New Roman" w:hAnsi="Times New Roman" w:cs="Times New Roman"/>
          <w:sz w:val="24"/>
          <w:lang w:eastAsia="en-US"/>
        </w:rPr>
        <w:t>, whilst trailing alternative employment pathways beyond these areas.</w:t>
      </w:r>
    </w:p>
    <w:p w14:paraId="7C2F731F" w14:textId="297AD839" w:rsidR="00D24B72" w:rsidRPr="005124CE" w:rsidRDefault="00D24B72" w:rsidP="00A427D2">
      <w:pPr>
        <w:spacing w:after="0" w:line="480" w:lineRule="auto"/>
        <w:rPr>
          <w:rFonts w:ascii="Times New Roman" w:hAnsi="Times New Roman" w:cs="Times New Roman"/>
          <w:b/>
          <w:bCs/>
          <w:color w:val="222222"/>
          <w:sz w:val="20"/>
          <w:szCs w:val="20"/>
          <w:shd w:val="clear" w:color="auto" w:fill="FFFFFF"/>
        </w:rPr>
      </w:pPr>
      <w:r w:rsidRPr="00AE6756">
        <w:rPr>
          <w:rFonts w:ascii="Times New Roman" w:hAnsi="Times New Roman" w:cs="Times New Roman"/>
          <w:b/>
          <w:bCs/>
          <w:color w:val="222222"/>
          <w:sz w:val="24"/>
          <w:szCs w:val="24"/>
          <w:shd w:val="clear" w:color="auto" w:fill="FFFFFF"/>
        </w:rPr>
        <w:t>Attendance</w:t>
      </w:r>
    </w:p>
    <w:p w14:paraId="68C5BE80" w14:textId="563E5C40" w:rsidR="00D24B72" w:rsidRPr="00AE6756" w:rsidRDefault="007077E4" w:rsidP="00AE6756">
      <w:pPr>
        <w:spacing w:after="0" w:line="480" w:lineRule="auto"/>
        <w:ind w:firstLine="568"/>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Many measures have been introduced to remediate poor attendance levels of Indigenous students in the Northern Territory</w:t>
      </w:r>
      <w:r w:rsidR="00FD10E5" w:rsidRPr="00AE6756">
        <w:rPr>
          <w:rFonts w:ascii="Times New Roman" w:eastAsia="Times New Roman" w:hAnsi="Times New Roman" w:cs="Times New Roman"/>
          <w:sz w:val="24"/>
          <w:lang w:eastAsia="en-US"/>
        </w:rPr>
        <w:t xml:space="preserve">. </w:t>
      </w:r>
      <w:r w:rsidR="00E85EE8" w:rsidRPr="00AE6756">
        <w:rPr>
          <w:rFonts w:ascii="Times New Roman" w:eastAsia="Times New Roman" w:hAnsi="Times New Roman" w:cs="Times New Roman"/>
          <w:sz w:val="24"/>
          <w:lang w:eastAsia="en-US"/>
        </w:rPr>
        <w:t>These measures include:</w:t>
      </w:r>
    </w:p>
    <w:p w14:paraId="3165F777" w14:textId="69171D2D" w:rsidR="00E85EE8" w:rsidRPr="00AE6756" w:rsidRDefault="00F73353" w:rsidP="00AE6756">
      <w:pPr>
        <w:pStyle w:val="ListParagraph"/>
        <w:numPr>
          <w:ilvl w:val="0"/>
          <w:numId w:val="6"/>
        </w:numPr>
        <w:spacing w:after="0" w:line="480" w:lineRule="auto"/>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Support through 46 School Attendance and Truancy Officers</w:t>
      </w:r>
      <w:r w:rsidR="00CF34C5" w:rsidRPr="00AE6756">
        <w:rPr>
          <w:rFonts w:ascii="Times New Roman" w:eastAsia="Times New Roman" w:hAnsi="Times New Roman" w:cs="Times New Roman"/>
          <w:sz w:val="24"/>
          <w:lang w:eastAsia="en-US"/>
        </w:rPr>
        <w:t>,</w:t>
      </w:r>
    </w:p>
    <w:p w14:paraId="6BA8B649" w14:textId="36C73618" w:rsidR="00F73353" w:rsidRPr="00AE6756" w:rsidRDefault="00CF34C5" w:rsidP="00AE6756">
      <w:pPr>
        <w:pStyle w:val="ListParagraph"/>
        <w:numPr>
          <w:ilvl w:val="0"/>
          <w:numId w:val="6"/>
        </w:numPr>
        <w:spacing w:after="0" w:line="480" w:lineRule="auto"/>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Enrolment and Attendance Officers,</w:t>
      </w:r>
    </w:p>
    <w:p w14:paraId="1372FC08" w14:textId="751E503B" w:rsidR="00CF34C5" w:rsidRPr="00AE6756" w:rsidRDefault="00CF34C5" w:rsidP="00AE6756">
      <w:pPr>
        <w:pStyle w:val="ListParagraph"/>
        <w:numPr>
          <w:ilvl w:val="0"/>
          <w:numId w:val="6"/>
        </w:numPr>
        <w:spacing w:after="0" w:line="480" w:lineRule="auto"/>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Data Officers</w:t>
      </w:r>
      <w:r w:rsidR="007D43EA" w:rsidRPr="00AE6756">
        <w:rPr>
          <w:rFonts w:ascii="Times New Roman" w:eastAsia="Times New Roman" w:hAnsi="Times New Roman" w:cs="Times New Roman"/>
          <w:sz w:val="24"/>
          <w:lang w:eastAsia="en-US"/>
        </w:rPr>
        <w:t>,</w:t>
      </w:r>
    </w:p>
    <w:p w14:paraId="26F8DD4C" w14:textId="5ED49316" w:rsidR="007D43EA" w:rsidRPr="00AE6756" w:rsidRDefault="007D43EA" w:rsidP="00AE6756">
      <w:pPr>
        <w:pStyle w:val="ListParagraph"/>
        <w:numPr>
          <w:ilvl w:val="0"/>
          <w:numId w:val="6"/>
        </w:numPr>
        <w:spacing w:after="0" w:line="480" w:lineRule="auto"/>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School Enrolment and Attendance Measure</w:t>
      </w:r>
      <w:r w:rsidR="00A60585" w:rsidRPr="00AE6756">
        <w:rPr>
          <w:rFonts w:ascii="Times New Roman" w:eastAsia="Times New Roman" w:hAnsi="Times New Roman" w:cs="Times New Roman"/>
          <w:sz w:val="24"/>
          <w:lang w:eastAsia="en-US"/>
        </w:rPr>
        <w:t>, and</w:t>
      </w:r>
    </w:p>
    <w:p w14:paraId="250A980B" w14:textId="62B6975C" w:rsidR="00A60585" w:rsidRPr="00AE6756" w:rsidRDefault="00A60585" w:rsidP="00AE6756">
      <w:pPr>
        <w:pStyle w:val="ListParagraph"/>
        <w:numPr>
          <w:ilvl w:val="0"/>
          <w:numId w:val="6"/>
        </w:numPr>
        <w:spacing w:after="0" w:line="480" w:lineRule="auto"/>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Remote Schools Attendance Strategy.</w:t>
      </w:r>
    </w:p>
    <w:p w14:paraId="4C03A96C" w14:textId="2706EAAB" w:rsidR="004218F7" w:rsidRPr="003B23CC" w:rsidRDefault="005006CF" w:rsidP="003B23CC">
      <w:pPr>
        <w:spacing w:after="0" w:line="480" w:lineRule="auto"/>
        <w:ind w:firstLine="568"/>
        <w:rPr>
          <w:rFonts w:ascii="Times New Roman" w:eastAsia="Times New Roman" w:hAnsi="Times New Roman" w:cs="Times New Roman"/>
          <w:sz w:val="24"/>
          <w:lang w:eastAsia="en-US"/>
        </w:rPr>
      </w:pPr>
      <w:r w:rsidRPr="00AE6756">
        <w:rPr>
          <w:rFonts w:ascii="Times New Roman" w:eastAsia="Times New Roman" w:hAnsi="Times New Roman" w:cs="Times New Roman"/>
          <w:sz w:val="24"/>
          <w:lang w:eastAsia="en-US"/>
        </w:rPr>
        <w:t xml:space="preserve">These measures have been supported and funded by Northern Territory and Australian Government to improve </w:t>
      </w:r>
      <w:r w:rsidR="00734877" w:rsidRPr="00AE6756">
        <w:rPr>
          <w:rFonts w:ascii="Times New Roman" w:eastAsia="Times New Roman" w:hAnsi="Times New Roman" w:cs="Times New Roman"/>
          <w:sz w:val="24"/>
          <w:lang w:eastAsia="en-US"/>
        </w:rPr>
        <w:t xml:space="preserve">attendance, whilst it is supported by </w:t>
      </w:r>
      <w:r w:rsidR="009E6F6A" w:rsidRPr="00AE6756">
        <w:rPr>
          <w:rFonts w:ascii="Times New Roman" w:eastAsia="Times New Roman" w:hAnsi="Times New Roman" w:cs="Times New Roman"/>
          <w:sz w:val="24"/>
          <w:lang w:eastAsia="en-US"/>
        </w:rPr>
        <w:t>the Youth Just</w:t>
      </w:r>
      <w:r w:rsidR="0070178E" w:rsidRPr="00AE6756">
        <w:rPr>
          <w:rFonts w:ascii="Times New Roman" w:eastAsia="Times New Roman" w:hAnsi="Times New Roman" w:cs="Times New Roman"/>
          <w:sz w:val="24"/>
          <w:lang w:eastAsia="en-US"/>
        </w:rPr>
        <w:t>ice Act 2005</w:t>
      </w:r>
      <w:r w:rsidR="0052430C" w:rsidRPr="00AE6756">
        <w:rPr>
          <w:rFonts w:ascii="Times New Roman" w:eastAsia="Times New Roman" w:hAnsi="Times New Roman" w:cs="Times New Roman"/>
          <w:sz w:val="24"/>
          <w:lang w:eastAsia="en-US"/>
        </w:rPr>
        <w:t xml:space="preserve"> (NT)</w:t>
      </w:r>
      <w:r w:rsidR="004A6155" w:rsidRPr="00AE6756">
        <w:rPr>
          <w:rFonts w:ascii="Times New Roman" w:eastAsia="Times New Roman" w:hAnsi="Times New Roman" w:cs="Times New Roman"/>
          <w:sz w:val="24"/>
          <w:lang w:eastAsia="en-US"/>
        </w:rPr>
        <w:t xml:space="preserve"> and the Education Act</w:t>
      </w:r>
      <w:r w:rsidR="00775AAA" w:rsidRPr="00AE6756">
        <w:rPr>
          <w:rFonts w:ascii="Times New Roman" w:eastAsia="Times New Roman" w:hAnsi="Times New Roman" w:cs="Times New Roman"/>
          <w:sz w:val="24"/>
          <w:lang w:eastAsia="en-US"/>
        </w:rPr>
        <w:t xml:space="preserve"> 2015 (NT), approximately 75% of issued fines </w:t>
      </w:r>
      <w:r w:rsidR="001B16E0" w:rsidRPr="00AE6756">
        <w:rPr>
          <w:rFonts w:ascii="Times New Roman" w:eastAsia="Times New Roman" w:hAnsi="Times New Roman" w:cs="Times New Roman"/>
          <w:sz w:val="24"/>
          <w:lang w:eastAsia="en-US"/>
        </w:rPr>
        <w:t>had not been paid</w:t>
      </w:r>
      <w:r w:rsidR="00842E7F" w:rsidRPr="00AE6756">
        <w:rPr>
          <w:rFonts w:ascii="Times New Roman" w:eastAsia="Times New Roman" w:hAnsi="Times New Roman" w:cs="Times New Roman"/>
          <w:sz w:val="24"/>
          <w:lang w:eastAsia="en-US"/>
        </w:rPr>
        <w:t>.</w:t>
      </w:r>
      <w:r w:rsidR="000C0C32" w:rsidRPr="00AE6756">
        <w:rPr>
          <w:rFonts w:ascii="Times New Roman" w:eastAsia="Times New Roman" w:hAnsi="Times New Roman" w:cs="Times New Roman"/>
          <w:sz w:val="24"/>
          <w:lang w:eastAsia="en-US"/>
        </w:rPr>
        <w:t xml:space="preserve"> The use of fines is not considered to be the </w:t>
      </w:r>
      <w:r w:rsidR="00170C46" w:rsidRPr="00AE6756">
        <w:rPr>
          <w:rFonts w:ascii="Times New Roman" w:eastAsia="Times New Roman" w:hAnsi="Times New Roman" w:cs="Times New Roman"/>
          <w:sz w:val="24"/>
          <w:lang w:eastAsia="en-US"/>
        </w:rPr>
        <w:t xml:space="preserve">primary solution to improve student attendance, rather options, such as </w:t>
      </w:r>
      <w:r w:rsidR="005F50AA" w:rsidRPr="00AE6756">
        <w:rPr>
          <w:rFonts w:ascii="Times New Roman" w:eastAsia="Times New Roman" w:hAnsi="Times New Roman" w:cs="Times New Roman"/>
          <w:sz w:val="24"/>
          <w:lang w:eastAsia="en-US"/>
        </w:rPr>
        <w:t>alternative education or curriculum</w:t>
      </w:r>
      <w:r w:rsidR="00E8717F" w:rsidRPr="00AE6756">
        <w:rPr>
          <w:rFonts w:ascii="Times New Roman" w:eastAsia="Times New Roman" w:hAnsi="Times New Roman" w:cs="Times New Roman"/>
          <w:sz w:val="24"/>
          <w:lang w:eastAsia="en-US"/>
        </w:rPr>
        <w:t xml:space="preserve">. However, the primary reason identified </w:t>
      </w:r>
      <w:r w:rsidR="006E2FF0" w:rsidRPr="00AE6756">
        <w:rPr>
          <w:rFonts w:ascii="Times New Roman" w:eastAsia="Times New Roman" w:hAnsi="Times New Roman" w:cs="Times New Roman"/>
          <w:sz w:val="24"/>
          <w:lang w:eastAsia="en-US"/>
        </w:rPr>
        <w:t>by education social workers</w:t>
      </w:r>
      <w:r w:rsidR="00F41C75" w:rsidRPr="00AE6756">
        <w:rPr>
          <w:rFonts w:ascii="Times New Roman" w:eastAsia="Times New Roman" w:hAnsi="Times New Roman" w:cs="Times New Roman"/>
          <w:sz w:val="24"/>
          <w:lang w:eastAsia="en-US"/>
        </w:rPr>
        <w:t xml:space="preserve"> for student absence was </w:t>
      </w:r>
      <w:r w:rsidR="00EA4622" w:rsidRPr="00AE6756">
        <w:rPr>
          <w:rFonts w:ascii="Times New Roman" w:eastAsia="Times New Roman" w:hAnsi="Times New Roman" w:cs="Times New Roman"/>
          <w:sz w:val="24"/>
          <w:lang w:eastAsia="en-US"/>
        </w:rPr>
        <w:t xml:space="preserve">parents </w:t>
      </w:r>
      <w:r w:rsidR="00EA4622" w:rsidRPr="00AE6756">
        <w:rPr>
          <w:rFonts w:ascii="Times New Roman" w:eastAsia="Times New Roman" w:hAnsi="Times New Roman" w:cs="Times New Roman"/>
          <w:sz w:val="24"/>
          <w:lang w:eastAsia="en-US"/>
        </w:rPr>
        <w:lastRenderedPageBreak/>
        <w:t xml:space="preserve">condoning their children’s absence from school </w:t>
      </w:r>
      <w:r w:rsidR="004234BD" w:rsidRPr="00AE6756">
        <w:rPr>
          <w:rFonts w:ascii="Times New Roman" w:eastAsia="Times New Roman" w:hAnsi="Times New Roman" w:cs="Times New Roman"/>
          <w:sz w:val="24"/>
          <w:lang w:eastAsia="en-US"/>
        </w:rPr>
        <w:t>(Reid, 2006).</w:t>
      </w:r>
      <w:r w:rsidR="0086473B" w:rsidRPr="00AE6756">
        <w:rPr>
          <w:rFonts w:ascii="Times New Roman" w:eastAsia="Times New Roman" w:hAnsi="Times New Roman" w:cs="Times New Roman"/>
          <w:sz w:val="24"/>
          <w:lang w:eastAsia="en-US"/>
        </w:rPr>
        <w:t xml:space="preserve"> This perception is further supported by the lack in attendance change</w:t>
      </w:r>
      <w:r w:rsidR="0053471F" w:rsidRPr="00AE6756">
        <w:rPr>
          <w:rFonts w:ascii="Times New Roman" w:eastAsia="Times New Roman" w:hAnsi="Times New Roman" w:cs="Times New Roman"/>
          <w:sz w:val="24"/>
          <w:lang w:eastAsia="en-US"/>
        </w:rPr>
        <w:t xml:space="preserve"> by the Australian Bureau of Statistics (2003) and Dunn, B. (2009), which </w:t>
      </w:r>
      <w:r w:rsidR="00165B2E" w:rsidRPr="00AE6756">
        <w:rPr>
          <w:rFonts w:ascii="Times New Roman" w:eastAsia="Times New Roman" w:hAnsi="Times New Roman" w:cs="Times New Roman"/>
          <w:sz w:val="24"/>
          <w:lang w:eastAsia="en-US"/>
        </w:rPr>
        <w:t xml:space="preserve">reports on attendance and enrolment rates from </w:t>
      </w:r>
      <w:r w:rsidR="003D1791" w:rsidRPr="00AE6756">
        <w:rPr>
          <w:rFonts w:ascii="Times New Roman" w:eastAsia="Times New Roman" w:hAnsi="Times New Roman" w:cs="Times New Roman"/>
          <w:sz w:val="24"/>
          <w:lang w:eastAsia="en-US"/>
        </w:rPr>
        <w:t>1996 – 2001 and 2005 – 2007.</w:t>
      </w:r>
      <w:r w:rsidR="004218F7" w:rsidRPr="00AE6756">
        <w:rPr>
          <w:rFonts w:ascii="Times New Roman" w:eastAsia="Times New Roman" w:hAnsi="Times New Roman" w:cs="Times New Roman"/>
          <w:sz w:val="24"/>
          <w:lang w:eastAsia="en-US"/>
        </w:rPr>
        <w:t xml:space="preserve"> Guenther &amp; Bat (2013) suggest that </w:t>
      </w:r>
      <w:r w:rsidR="00ED3BD7" w:rsidRPr="00AE6756">
        <w:rPr>
          <w:rFonts w:ascii="Times New Roman" w:eastAsia="Times New Roman" w:hAnsi="Times New Roman" w:cs="Times New Roman"/>
          <w:sz w:val="24"/>
          <w:lang w:eastAsia="en-US"/>
        </w:rPr>
        <w:t>the effort must be made to reorient the perception of schooling by families to improve attendance and retention</w:t>
      </w:r>
      <w:r w:rsidR="000B0361" w:rsidRPr="00AE6756">
        <w:rPr>
          <w:rFonts w:ascii="Times New Roman" w:eastAsia="Times New Roman" w:hAnsi="Times New Roman" w:cs="Times New Roman"/>
          <w:sz w:val="24"/>
          <w:lang w:eastAsia="en-US"/>
        </w:rPr>
        <w:t>, particularly in remote and very remote schools.</w:t>
      </w:r>
    </w:p>
    <w:p w14:paraId="5F3BE517" w14:textId="42B06642" w:rsidR="008B4159" w:rsidRPr="00AE6756" w:rsidRDefault="000E3CC3" w:rsidP="00A427D2">
      <w:pPr>
        <w:spacing w:after="0" w:line="480" w:lineRule="auto"/>
        <w:rPr>
          <w:rFonts w:ascii="Times New Roman" w:hAnsi="Times New Roman" w:cs="Times New Roman"/>
          <w:b/>
          <w:bCs/>
          <w:color w:val="222222"/>
          <w:sz w:val="24"/>
          <w:szCs w:val="24"/>
          <w:shd w:val="clear" w:color="auto" w:fill="FFFFFF"/>
        </w:rPr>
      </w:pPr>
      <w:r w:rsidRPr="00AE6756">
        <w:rPr>
          <w:rFonts w:ascii="Times New Roman" w:hAnsi="Times New Roman" w:cs="Times New Roman"/>
          <w:b/>
          <w:bCs/>
          <w:color w:val="222222"/>
          <w:sz w:val="24"/>
          <w:szCs w:val="24"/>
          <w:shd w:val="clear" w:color="auto" w:fill="FFFFFF"/>
        </w:rPr>
        <w:t>Community Engagement</w:t>
      </w:r>
    </w:p>
    <w:p w14:paraId="044FD855" w14:textId="6653CD77" w:rsidR="000E3CC3" w:rsidRPr="005124CE" w:rsidRDefault="000E3CC3" w:rsidP="005124CE">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Community engagement is </w:t>
      </w:r>
      <w:r w:rsidR="00E23A82" w:rsidRPr="005124CE">
        <w:rPr>
          <w:rFonts w:ascii="Times New Roman" w:eastAsia="Times New Roman" w:hAnsi="Times New Roman" w:cs="Times New Roman"/>
          <w:sz w:val="24"/>
          <w:lang w:eastAsia="en-US"/>
        </w:rPr>
        <w:t xml:space="preserve">well-known to be critical to the success of </w:t>
      </w:r>
      <w:r w:rsidR="00210DEE" w:rsidRPr="005124CE">
        <w:rPr>
          <w:rFonts w:ascii="Times New Roman" w:eastAsia="Times New Roman" w:hAnsi="Times New Roman" w:cs="Times New Roman"/>
          <w:sz w:val="24"/>
          <w:lang w:eastAsia="en-US"/>
        </w:rPr>
        <w:t xml:space="preserve">the education of Indigenous students within the Northern Territory and </w:t>
      </w:r>
      <w:r w:rsidR="00331108" w:rsidRPr="005124CE">
        <w:rPr>
          <w:rFonts w:ascii="Times New Roman" w:eastAsia="Times New Roman" w:hAnsi="Times New Roman" w:cs="Times New Roman"/>
          <w:sz w:val="24"/>
          <w:lang w:eastAsia="en-US"/>
        </w:rPr>
        <w:t>particularly within remote communities.</w:t>
      </w:r>
      <w:r w:rsidR="005E095D" w:rsidRPr="005124CE">
        <w:rPr>
          <w:rFonts w:ascii="Times New Roman" w:eastAsia="Times New Roman" w:hAnsi="Times New Roman" w:cs="Times New Roman"/>
          <w:sz w:val="24"/>
          <w:lang w:eastAsia="en-US"/>
        </w:rPr>
        <w:t xml:space="preserve"> </w:t>
      </w:r>
      <w:r w:rsidR="0041786F" w:rsidRPr="005124CE">
        <w:rPr>
          <w:rFonts w:ascii="Times New Roman" w:eastAsia="Times New Roman" w:hAnsi="Times New Roman" w:cs="Times New Roman"/>
          <w:sz w:val="24"/>
          <w:lang w:eastAsia="en-US"/>
        </w:rPr>
        <w:t>Some b</w:t>
      </w:r>
      <w:r w:rsidR="005E095D" w:rsidRPr="005124CE">
        <w:rPr>
          <w:rFonts w:ascii="Times New Roman" w:eastAsia="Times New Roman" w:hAnsi="Times New Roman" w:cs="Times New Roman"/>
          <w:sz w:val="24"/>
          <w:lang w:eastAsia="en-US"/>
        </w:rPr>
        <w:t>arriers that typically hinder the success of community engagement programs are</w:t>
      </w:r>
      <w:r w:rsidR="0041786F" w:rsidRPr="005124CE">
        <w:rPr>
          <w:rFonts w:ascii="Times New Roman" w:eastAsia="Times New Roman" w:hAnsi="Times New Roman" w:cs="Times New Roman"/>
          <w:sz w:val="24"/>
          <w:lang w:eastAsia="en-US"/>
        </w:rPr>
        <w:t>:</w:t>
      </w:r>
    </w:p>
    <w:p w14:paraId="37FE3BA0" w14:textId="15F00781" w:rsidR="0041786F" w:rsidRPr="005124CE" w:rsidRDefault="0041786F" w:rsidP="005124CE">
      <w:pPr>
        <w:pStyle w:val="ListParagraph"/>
        <w:numPr>
          <w:ilvl w:val="0"/>
          <w:numId w:val="5"/>
        </w:numPr>
        <w:spacing w:after="0" w:line="480" w:lineRule="auto"/>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Lack of direction by Department to </w:t>
      </w:r>
      <w:r w:rsidR="00D00C43" w:rsidRPr="005124CE">
        <w:rPr>
          <w:rFonts w:ascii="Times New Roman" w:eastAsia="Times New Roman" w:hAnsi="Times New Roman" w:cs="Times New Roman"/>
          <w:sz w:val="24"/>
          <w:lang w:eastAsia="en-US"/>
        </w:rPr>
        <w:t>school leadership about expectations,</w:t>
      </w:r>
    </w:p>
    <w:p w14:paraId="345C9E94" w14:textId="19BDB995" w:rsidR="00E339CC" w:rsidRPr="005124CE" w:rsidRDefault="00837C04" w:rsidP="005124CE">
      <w:pPr>
        <w:pStyle w:val="ListParagraph"/>
        <w:numPr>
          <w:ilvl w:val="0"/>
          <w:numId w:val="5"/>
        </w:numPr>
        <w:spacing w:after="0" w:line="480" w:lineRule="auto"/>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Lack of training and engagement by school councils and engagement committees,</w:t>
      </w:r>
    </w:p>
    <w:p w14:paraId="020DEB9C" w14:textId="46D235C0" w:rsidR="00BE3CA4" w:rsidRPr="005124CE" w:rsidRDefault="00D00C43" w:rsidP="005124CE">
      <w:pPr>
        <w:pStyle w:val="ListParagraph"/>
        <w:numPr>
          <w:ilvl w:val="0"/>
          <w:numId w:val="5"/>
        </w:numPr>
        <w:spacing w:after="0" w:line="480" w:lineRule="auto"/>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Lack of confidence in </w:t>
      </w:r>
      <w:r w:rsidR="00BE3CA4" w:rsidRPr="005124CE">
        <w:rPr>
          <w:rFonts w:ascii="Times New Roman" w:eastAsia="Times New Roman" w:hAnsi="Times New Roman" w:cs="Times New Roman"/>
          <w:sz w:val="24"/>
          <w:lang w:eastAsia="en-US"/>
        </w:rPr>
        <w:t>community engagement programs by staff and communities,</w:t>
      </w:r>
      <w:r w:rsidR="004F2FA2" w:rsidRPr="005124CE">
        <w:rPr>
          <w:rFonts w:ascii="Times New Roman" w:eastAsia="Times New Roman" w:hAnsi="Times New Roman" w:cs="Times New Roman"/>
          <w:sz w:val="24"/>
          <w:lang w:eastAsia="en-US"/>
        </w:rPr>
        <w:t xml:space="preserve"> and</w:t>
      </w:r>
    </w:p>
    <w:p w14:paraId="36A6530F" w14:textId="0B0D7E27" w:rsidR="004F2FA2" w:rsidRPr="005124CE" w:rsidRDefault="004F5D51" w:rsidP="005124CE">
      <w:pPr>
        <w:pStyle w:val="ListParagraph"/>
        <w:numPr>
          <w:ilvl w:val="0"/>
          <w:numId w:val="5"/>
        </w:numPr>
        <w:spacing w:after="0" w:line="480" w:lineRule="auto"/>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Poor training</w:t>
      </w:r>
      <w:r w:rsidR="004F2FA2" w:rsidRPr="005124CE">
        <w:rPr>
          <w:rFonts w:ascii="Times New Roman" w:eastAsia="Times New Roman" w:hAnsi="Times New Roman" w:cs="Times New Roman"/>
          <w:sz w:val="24"/>
          <w:lang w:eastAsia="en-US"/>
        </w:rPr>
        <w:t xml:space="preserve"> and ongoing support</w:t>
      </w:r>
      <w:r w:rsidRPr="005124CE">
        <w:rPr>
          <w:rFonts w:ascii="Times New Roman" w:eastAsia="Times New Roman" w:hAnsi="Times New Roman" w:cs="Times New Roman"/>
          <w:sz w:val="24"/>
          <w:lang w:eastAsia="en-US"/>
        </w:rPr>
        <w:t xml:space="preserve"> of staff in the execution of </w:t>
      </w:r>
      <w:r w:rsidR="004F2FA2" w:rsidRPr="005124CE">
        <w:rPr>
          <w:rFonts w:ascii="Times New Roman" w:eastAsia="Times New Roman" w:hAnsi="Times New Roman" w:cs="Times New Roman"/>
          <w:sz w:val="24"/>
          <w:lang w:eastAsia="en-US"/>
        </w:rPr>
        <w:t>community engagement programs,</w:t>
      </w:r>
    </w:p>
    <w:p w14:paraId="32739410" w14:textId="446A7798" w:rsidR="008B4159" w:rsidRPr="003B23CC" w:rsidRDefault="00337763" w:rsidP="003B23CC">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Greater training and education for </w:t>
      </w:r>
      <w:r w:rsidR="008C7220" w:rsidRPr="005124CE">
        <w:rPr>
          <w:rFonts w:ascii="Times New Roman" w:eastAsia="Times New Roman" w:hAnsi="Times New Roman" w:cs="Times New Roman"/>
          <w:sz w:val="24"/>
          <w:lang w:eastAsia="en-US"/>
        </w:rPr>
        <w:t>school leadership and staff on local cultural practices</w:t>
      </w:r>
      <w:r w:rsidR="00325739" w:rsidRPr="005124CE">
        <w:rPr>
          <w:rFonts w:ascii="Times New Roman" w:eastAsia="Times New Roman" w:hAnsi="Times New Roman" w:cs="Times New Roman"/>
          <w:sz w:val="24"/>
          <w:lang w:eastAsia="en-US"/>
        </w:rPr>
        <w:t xml:space="preserve"> and building capabilities around </w:t>
      </w:r>
      <w:r w:rsidR="00C81386" w:rsidRPr="005124CE">
        <w:rPr>
          <w:rFonts w:ascii="Times New Roman" w:eastAsia="Times New Roman" w:hAnsi="Times New Roman" w:cs="Times New Roman"/>
          <w:sz w:val="24"/>
          <w:lang w:eastAsia="en-US"/>
        </w:rPr>
        <w:t>community</w:t>
      </w:r>
      <w:r w:rsidR="00325739" w:rsidRPr="005124CE">
        <w:rPr>
          <w:rFonts w:ascii="Times New Roman" w:eastAsia="Times New Roman" w:hAnsi="Times New Roman" w:cs="Times New Roman"/>
          <w:sz w:val="24"/>
          <w:lang w:eastAsia="en-US"/>
        </w:rPr>
        <w:t xml:space="preserve"> engagement is recommended to improve the </w:t>
      </w:r>
      <w:r w:rsidR="00C81386" w:rsidRPr="005124CE">
        <w:rPr>
          <w:rFonts w:ascii="Times New Roman" w:eastAsia="Times New Roman" w:hAnsi="Times New Roman" w:cs="Times New Roman"/>
          <w:sz w:val="24"/>
          <w:lang w:eastAsia="en-US"/>
        </w:rPr>
        <w:t xml:space="preserve">school’s relationship with their communities. Further, </w:t>
      </w:r>
      <w:r w:rsidR="001D2EA2" w:rsidRPr="005124CE">
        <w:rPr>
          <w:rFonts w:ascii="Times New Roman" w:eastAsia="Times New Roman" w:hAnsi="Times New Roman" w:cs="Times New Roman"/>
          <w:sz w:val="24"/>
          <w:lang w:eastAsia="en-US"/>
        </w:rPr>
        <w:t xml:space="preserve">delivering specific training for school councils is recommended to </w:t>
      </w:r>
      <w:r w:rsidR="00EA2FC7" w:rsidRPr="005124CE">
        <w:rPr>
          <w:rFonts w:ascii="Times New Roman" w:eastAsia="Times New Roman" w:hAnsi="Times New Roman" w:cs="Times New Roman"/>
          <w:sz w:val="24"/>
          <w:lang w:eastAsia="en-US"/>
        </w:rPr>
        <w:t xml:space="preserve">build the awareness around their responsibilities to the school and community. These </w:t>
      </w:r>
      <w:r w:rsidR="005932A4" w:rsidRPr="005124CE">
        <w:rPr>
          <w:rFonts w:ascii="Times New Roman" w:eastAsia="Times New Roman" w:hAnsi="Times New Roman" w:cs="Times New Roman"/>
          <w:sz w:val="24"/>
          <w:lang w:eastAsia="en-US"/>
        </w:rPr>
        <w:t xml:space="preserve">deliverables are recommended to be provided by the </w:t>
      </w:r>
      <w:r w:rsidR="006805A8" w:rsidRPr="005124CE">
        <w:rPr>
          <w:rFonts w:ascii="Times New Roman" w:eastAsia="Times New Roman" w:hAnsi="Times New Roman" w:cs="Times New Roman"/>
          <w:sz w:val="24"/>
          <w:lang w:eastAsia="en-US"/>
        </w:rPr>
        <w:t xml:space="preserve">Northern Territory </w:t>
      </w:r>
      <w:r w:rsidR="005932A4" w:rsidRPr="005124CE">
        <w:rPr>
          <w:rFonts w:ascii="Times New Roman" w:eastAsia="Times New Roman" w:hAnsi="Times New Roman" w:cs="Times New Roman"/>
          <w:sz w:val="24"/>
          <w:lang w:eastAsia="en-US"/>
        </w:rPr>
        <w:t>Department of Education, Employment and Training</w:t>
      </w:r>
      <w:r w:rsidR="006805A8" w:rsidRPr="005124CE">
        <w:rPr>
          <w:rFonts w:ascii="Times New Roman" w:eastAsia="Times New Roman" w:hAnsi="Times New Roman" w:cs="Times New Roman"/>
          <w:sz w:val="24"/>
          <w:lang w:eastAsia="en-US"/>
        </w:rPr>
        <w:t xml:space="preserve"> </w:t>
      </w:r>
      <w:r w:rsidR="005B0DBC" w:rsidRPr="005124CE">
        <w:rPr>
          <w:rFonts w:ascii="Times New Roman" w:eastAsia="Times New Roman" w:hAnsi="Times New Roman" w:cs="Times New Roman"/>
          <w:sz w:val="24"/>
          <w:lang w:eastAsia="en-US"/>
        </w:rPr>
        <w:t xml:space="preserve">(DEET) </w:t>
      </w:r>
      <w:r w:rsidR="006805A8" w:rsidRPr="005124CE">
        <w:rPr>
          <w:rFonts w:ascii="Times New Roman" w:eastAsia="Times New Roman" w:hAnsi="Times New Roman" w:cs="Times New Roman"/>
          <w:sz w:val="24"/>
          <w:lang w:eastAsia="en-US"/>
        </w:rPr>
        <w:t xml:space="preserve">and through their funding. </w:t>
      </w:r>
    </w:p>
    <w:p w14:paraId="3636E68E" w14:textId="10426C28" w:rsidR="00500A5B" w:rsidRPr="00880BEE" w:rsidRDefault="00543BC1" w:rsidP="00880BEE">
      <w:pPr>
        <w:spacing w:after="0" w:line="480" w:lineRule="auto"/>
        <w:jc w:val="center"/>
        <w:rPr>
          <w:rFonts w:ascii="Times New Roman" w:hAnsi="Times New Roman" w:cs="Times New Roman"/>
          <w:b/>
          <w:bCs/>
          <w:color w:val="222222"/>
          <w:sz w:val="28"/>
          <w:szCs w:val="28"/>
          <w:shd w:val="clear" w:color="auto" w:fill="FFFFFF"/>
        </w:rPr>
      </w:pPr>
      <w:r w:rsidRPr="00880BEE">
        <w:rPr>
          <w:rFonts w:ascii="Times New Roman" w:hAnsi="Times New Roman" w:cs="Times New Roman"/>
          <w:b/>
          <w:bCs/>
          <w:color w:val="222222"/>
          <w:sz w:val="28"/>
          <w:szCs w:val="28"/>
          <w:shd w:val="clear" w:color="auto" w:fill="FFFFFF"/>
        </w:rPr>
        <w:t>Commonalities</w:t>
      </w:r>
      <w:r w:rsidR="00E925DF" w:rsidRPr="00880BEE">
        <w:rPr>
          <w:rFonts w:ascii="Times New Roman" w:hAnsi="Times New Roman" w:cs="Times New Roman"/>
          <w:b/>
          <w:bCs/>
          <w:color w:val="222222"/>
          <w:sz w:val="28"/>
          <w:szCs w:val="28"/>
          <w:shd w:val="clear" w:color="auto" w:fill="FFFFFF"/>
        </w:rPr>
        <w:t xml:space="preserve"> and Differences</w:t>
      </w:r>
      <w:r w:rsidRPr="00880BEE">
        <w:rPr>
          <w:rFonts w:ascii="Times New Roman" w:hAnsi="Times New Roman" w:cs="Times New Roman"/>
          <w:b/>
          <w:bCs/>
          <w:color w:val="222222"/>
          <w:sz w:val="28"/>
          <w:szCs w:val="28"/>
          <w:shd w:val="clear" w:color="auto" w:fill="FFFFFF"/>
        </w:rPr>
        <w:t xml:space="preserve"> in </w:t>
      </w:r>
      <w:r w:rsidR="00E925DF" w:rsidRPr="00880BEE">
        <w:rPr>
          <w:rFonts w:ascii="Times New Roman" w:hAnsi="Times New Roman" w:cs="Times New Roman"/>
          <w:b/>
          <w:bCs/>
          <w:color w:val="222222"/>
          <w:sz w:val="28"/>
          <w:szCs w:val="28"/>
          <w:shd w:val="clear" w:color="auto" w:fill="FFFFFF"/>
        </w:rPr>
        <w:t xml:space="preserve">Report </w:t>
      </w:r>
      <w:r w:rsidRPr="00880BEE">
        <w:rPr>
          <w:rFonts w:ascii="Times New Roman" w:hAnsi="Times New Roman" w:cs="Times New Roman"/>
          <w:b/>
          <w:bCs/>
          <w:color w:val="222222"/>
          <w:sz w:val="28"/>
          <w:szCs w:val="28"/>
          <w:shd w:val="clear" w:color="auto" w:fill="FFFFFF"/>
        </w:rPr>
        <w:t>Recommendations</w:t>
      </w:r>
    </w:p>
    <w:p w14:paraId="58A028CF" w14:textId="4DA58417" w:rsidR="00F80E34" w:rsidRPr="005124CE" w:rsidRDefault="00F80E34" w:rsidP="00012783">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Leadership training and development is a common recommendation from all three reports.</w:t>
      </w:r>
      <w:r w:rsidR="00BB2366" w:rsidRPr="005124CE">
        <w:rPr>
          <w:rFonts w:ascii="Times New Roman" w:eastAsia="Times New Roman" w:hAnsi="Times New Roman" w:cs="Times New Roman"/>
          <w:sz w:val="24"/>
          <w:lang w:eastAsia="en-US"/>
        </w:rPr>
        <w:t xml:space="preserve"> This training is specifically aimed </w:t>
      </w:r>
      <w:r w:rsidR="00F5747F" w:rsidRPr="005124CE">
        <w:rPr>
          <w:rFonts w:ascii="Times New Roman" w:eastAsia="Times New Roman" w:hAnsi="Times New Roman" w:cs="Times New Roman"/>
          <w:sz w:val="24"/>
          <w:lang w:eastAsia="en-US"/>
        </w:rPr>
        <w:t xml:space="preserve">at Middle School principals and assistant principals by </w:t>
      </w:r>
      <w:r w:rsidR="00C8092D" w:rsidRPr="005124CE">
        <w:rPr>
          <w:rFonts w:ascii="Times New Roman" w:eastAsia="Times New Roman" w:hAnsi="Times New Roman" w:cs="Times New Roman"/>
          <w:sz w:val="24"/>
          <w:lang w:eastAsia="en-US"/>
        </w:rPr>
        <w:t xml:space="preserve">Zbar (2014), most likely due to the unique nature of </w:t>
      </w:r>
      <w:r w:rsidR="00632482" w:rsidRPr="005124CE">
        <w:rPr>
          <w:rFonts w:ascii="Times New Roman" w:eastAsia="Times New Roman" w:hAnsi="Times New Roman" w:cs="Times New Roman"/>
          <w:sz w:val="24"/>
          <w:lang w:eastAsia="en-US"/>
        </w:rPr>
        <w:t>the middle and senior school structure and their predicaments in the Northern Terr</w:t>
      </w:r>
      <w:r w:rsidR="00713551" w:rsidRPr="005124CE">
        <w:rPr>
          <w:rFonts w:ascii="Times New Roman" w:eastAsia="Times New Roman" w:hAnsi="Times New Roman" w:cs="Times New Roman"/>
          <w:sz w:val="24"/>
          <w:lang w:eastAsia="en-US"/>
        </w:rPr>
        <w:t xml:space="preserve">itory. However, </w:t>
      </w:r>
      <w:r w:rsidR="003501DF" w:rsidRPr="005124CE">
        <w:rPr>
          <w:rFonts w:ascii="Times New Roman" w:eastAsia="Times New Roman" w:hAnsi="Times New Roman" w:cs="Times New Roman"/>
          <w:sz w:val="24"/>
          <w:lang w:eastAsia="en-US"/>
        </w:rPr>
        <w:t xml:space="preserve">Wilson (2014) and </w:t>
      </w:r>
      <w:r w:rsidR="0093305D" w:rsidRPr="005124CE">
        <w:rPr>
          <w:rFonts w:ascii="Times New Roman" w:eastAsia="Times New Roman" w:hAnsi="Times New Roman" w:cs="Times New Roman"/>
          <w:sz w:val="24"/>
          <w:lang w:eastAsia="en-US"/>
        </w:rPr>
        <w:t xml:space="preserve">Ramsey (2003) build further to recommend training and education for </w:t>
      </w:r>
      <w:r w:rsidR="00345F58" w:rsidRPr="005124CE">
        <w:rPr>
          <w:rFonts w:ascii="Times New Roman" w:eastAsia="Times New Roman" w:hAnsi="Times New Roman" w:cs="Times New Roman"/>
          <w:sz w:val="24"/>
          <w:lang w:eastAsia="en-US"/>
        </w:rPr>
        <w:t>broader leadership positions and, in some cases, informal leaders.</w:t>
      </w:r>
    </w:p>
    <w:p w14:paraId="299CB5BB" w14:textId="1D65AE48" w:rsidR="000F234B" w:rsidRPr="005124CE" w:rsidRDefault="006E5D51" w:rsidP="00012783">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Each report has identified that retention, enrolment and attendance </w:t>
      </w:r>
      <w:r w:rsidR="00170476" w:rsidRPr="005124CE">
        <w:rPr>
          <w:rFonts w:ascii="Times New Roman" w:eastAsia="Times New Roman" w:hAnsi="Times New Roman" w:cs="Times New Roman"/>
          <w:sz w:val="24"/>
          <w:lang w:eastAsia="en-US"/>
        </w:rPr>
        <w:t>within the Northern Territory are lower than national averages,</w:t>
      </w:r>
      <w:r w:rsidR="00224FBE" w:rsidRPr="005124CE">
        <w:rPr>
          <w:rFonts w:ascii="Times New Roman" w:eastAsia="Times New Roman" w:hAnsi="Times New Roman" w:cs="Times New Roman"/>
          <w:sz w:val="24"/>
          <w:lang w:eastAsia="en-US"/>
        </w:rPr>
        <w:t xml:space="preserve"> which are </w:t>
      </w:r>
      <w:r w:rsidR="00672F72" w:rsidRPr="005124CE">
        <w:rPr>
          <w:rFonts w:ascii="Times New Roman" w:eastAsia="Times New Roman" w:hAnsi="Times New Roman" w:cs="Times New Roman"/>
          <w:sz w:val="24"/>
          <w:lang w:eastAsia="en-US"/>
        </w:rPr>
        <w:t xml:space="preserve">exacerbated in </w:t>
      </w:r>
      <w:r w:rsidR="000F234B" w:rsidRPr="005124CE">
        <w:rPr>
          <w:rFonts w:ascii="Times New Roman" w:eastAsia="Times New Roman" w:hAnsi="Times New Roman" w:cs="Times New Roman"/>
          <w:sz w:val="24"/>
          <w:lang w:eastAsia="en-US"/>
        </w:rPr>
        <w:t>remote communities and school contexts.</w:t>
      </w:r>
    </w:p>
    <w:p w14:paraId="60DBC2C4" w14:textId="77777777" w:rsidR="004A4F8C" w:rsidRPr="005124CE" w:rsidRDefault="004A4F8C" w:rsidP="00A427D2">
      <w:pPr>
        <w:spacing w:after="0" w:line="480" w:lineRule="auto"/>
        <w:rPr>
          <w:rFonts w:ascii="Times New Roman" w:hAnsi="Times New Roman" w:cs="Times New Roman"/>
          <w:color w:val="222222"/>
          <w:sz w:val="20"/>
          <w:szCs w:val="20"/>
          <w:shd w:val="clear" w:color="auto" w:fill="FFFFFF"/>
        </w:rPr>
      </w:pPr>
    </w:p>
    <w:p w14:paraId="72431041" w14:textId="265AF218" w:rsidR="000C7CB8" w:rsidRPr="003B23CC" w:rsidRDefault="0004202A" w:rsidP="00A427D2">
      <w:pPr>
        <w:spacing w:after="0"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 xml:space="preserve">Table </w:t>
      </w:r>
      <w:r w:rsidR="004924F0" w:rsidRPr="003B23CC">
        <w:rPr>
          <w:rFonts w:ascii="Times New Roman" w:hAnsi="Times New Roman" w:cs="Times New Roman"/>
          <w:color w:val="222222"/>
          <w:sz w:val="24"/>
          <w:szCs w:val="24"/>
          <w:shd w:val="clear" w:color="auto" w:fill="FFFFFF"/>
        </w:rPr>
        <w:t>2</w:t>
      </w:r>
      <w:r w:rsidRPr="003B23CC">
        <w:rPr>
          <w:rFonts w:ascii="Times New Roman" w:hAnsi="Times New Roman" w:cs="Times New Roman"/>
          <w:color w:val="222222"/>
          <w:sz w:val="24"/>
          <w:szCs w:val="24"/>
          <w:shd w:val="clear" w:color="auto" w:fill="FFFFFF"/>
        </w:rPr>
        <w:t>. Secondary Students, Apparent retention rates from Year 10 to Year 12</w:t>
      </w:r>
      <w:r w:rsidR="008E4E7F" w:rsidRPr="003B23CC">
        <w:rPr>
          <w:rFonts w:ascii="Times New Roman" w:hAnsi="Times New Roman" w:cs="Times New Roman"/>
          <w:color w:val="222222"/>
          <w:sz w:val="24"/>
          <w:szCs w:val="24"/>
          <w:shd w:val="clear" w:color="auto" w:fill="FFFFFF"/>
        </w:rPr>
        <w:t>, National</w:t>
      </w:r>
    </w:p>
    <w:tbl>
      <w:tblPr>
        <w:tblStyle w:val="TableGrid"/>
        <w:tblW w:w="0" w:type="auto"/>
        <w:tblLook w:val="04A0" w:firstRow="1" w:lastRow="0" w:firstColumn="1" w:lastColumn="0" w:noHBand="0" w:noVBand="1"/>
      </w:tblPr>
      <w:tblGrid>
        <w:gridCol w:w="1980"/>
        <w:gridCol w:w="1370"/>
        <w:gridCol w:w="1370"/>
        <w:gridCol w:w="1370"/>
        <w:gridCol w:w="1370"/>
        <w:gridCol w:w="1370"/>
      </w:tblGrid>
      <w:tr w:rsidR="005168FF" w:rsidRPr="003B23CC" w14:paraId="3FA341AA" w14:textId="77777777" w:rsidTr="0004202A">
        <w:tc>
          <w:tcPr>
            <w:tcW w:w="1980" w:type="dxa"/>
          </w:tcPr>
          <w:p w14:paraId="1CCC5992" w14:textId="3039AAA2"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Year</w:t>
            </w:r>
          </w:p>
        </w:tc>
        <w:tc>
          <w:tcPr>
            <w:tcW w:w="1370" w:type="dxa"/>
          </w:tcPr>
          <w:p w14:paraId="6694FEB8" w14:textId="2EFC0F25"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2002</w:t>
            </w:r>
          </w:p>
        </w:tc>
        <w:tc>
          <w:tcPr>
            <w:tcW w:w="1370" w:type="dxa"/>
          </w:tcPr>
          <w:p w14:paraId="7CFCBA06" w14:textId="223BE5D8"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2003</w:t>
            </w:r>
          </w:p>
        </w:tc>
        <w:tc>
          <w:tcPr>
            <w:tcW w:w="1370" w:type="dxa"/>
          </w:tcPr>
          <w:p w14:paraId="06796893" w14:textId="702D6A63"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2004</w:t>
            </w:r>
          </w:p>
        </w:tc>
        <w:tc>
          <w:tcPr>
            <w:tcW w:w="1370" w:type="dxa"/>
          </w:tcPr>
          <w:p w14:paraId="7AAD948F" w14:textId="39D02635"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2005</w:t>
            </w:r>
          </w:p>
        </w:tc>
        <w:tc>
          <w:tcPr>
            <w:tcW w:w="1370" w:type="dxa"/>
          </w:tcPr>
          <w:p w14:paraId="702924E3" w14:textId="2F81049D"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2006</w:t>
            </w:r>
          </w:p>
        </w:tc>
      </w:tr>
      <w:tr w:rsidR="005168FF" w:rsidRPr="003B23CC" w14:paraId="41BC094E" w14:textId="77777777" w:rsidTr="0004202A">
        <w:trPr>
          <w:trHeight w:val="628"/>
        </w:trPr>
        <w:tc>
          <w:tcPr>
            <w:tcW w:w="1980" w:type="dxa"/>
          </w:tcPr>
          <w:p w14:paraId="751AEE32" w14:textId="082E1EEB" w:rsidR="005168FF" w:rsidRPr="003B23CC" w:rsidRDefault="005168FF" w:rsidP="0004202A">
            <w:pP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Retention Rate (%)</w:t>
            </w:r>
          </w:p>
        </w:tc>
        <w:tc>
          <w:tcPr>
            <w:tcW w:w="1370" w:type="dxa"/>
          </w:tcPr>
          <w:p w14:paraId="2530F365" w14:textId="60977B06"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77.0</w:t>
            </w:r>
          </w:p>
        </w:tc>
        <w:tc>
          <w:tcPr>
            <w:tcW w:w="1370" w:type="dxa"/>
          </w:tcPr>
          <w:p w14:paraId="61F62DA6" w14:textId="7CBE6A14"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76.9</w:t>
            </w:r>
          </w:p>
        </w:tc>
        <w:tc>
          <w:tcPr>
            <w:tcW w:w="1370" w:type="dxa"/>
          </w:tcPr>
          <w:p w14:paraId="3C422FD7" w14:textId="7BA04879"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77.2</w:t>
            </w:r>
          </w:p>
        </w:tc>
        <w:tc>
          <w:tcPr>
            <w:tcW w:w="1370" w:type="dxa"/>
          </w:tcPr>
          <w:p w14:paraId="52323295" w14:textId="1ACA8C65"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76.5</w:t>
            </w:r>
          </w:p>
        </w:tc>
        <w:tc>
          <w:tcPr>
            <w:tcW w:w="1370" w:type="dxa"/>
          </w:tcPr>
          <w:p w14:paraId="6ACB520C" w14:textId="52D58278" w:rsidR="005168FF" w:rsidRPr="003B23CC" w:rsidRDefault="005168FF" w:rsidP="0004202A">
            <w:pPr>
              <w:spacing w:line="480" w:lineRule="auto"/>
              <w:jc w:val="center"/>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76.1</w:t>
            </w:r>
          </w:p>
        </w:tc>
      </w:tr>
    </w:tbl>
    <w:p w14:paraId="02B45BBE" w14:textId="0DD5475E" w:rsidR="00767CC3" w:rsidRPr="003B23CC" w:rsidRDefault="00767CC3" w:rsidP="00A427D2">
      <w:pPr>
        <w:spacing w:after="0" w:line="480" w:lineRule="auto"/>
        <w:rPr>
          <w:rFonts w:ascii="Times New Roman" w:hAnsi="Times New Roman" w:cs="Times New Roman"/>
          <w:color w:val="222222"/>
          <w:sz w:val="24"/>
          <w:szCs w:val="24"/>
          <w:shd w:val="clear" w:color="auto" w:fill="FFFFFF"/>
        </w:rPr>
      </w:pPr>
    </w:p>
    <w:p w14:paraId="4A1FAB41" w14:textId="2C6B018D" w:rsidR="00655397" w:rsidRPr="003B23CC" w:rsidRDefault="00655397" w:rsidP="00A427D2">
      <w:pPr>
        <w:spacing w:after="0"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 xml:space="preserve">Table </w:t>
      </w:r>
      <w:r w:rsidR="004924F0" w:rsidRPr="003B23CC">
        <w:rPr>
          <w:rFonts w:ascii="Times New Roman" w:hAnsi="Times New Roman" w:cs="Times New Roman"/>
          <w:color w:val="222222"/>
          <w:sz w:val="24"/>
          <w:szCs w:val="24"/>
          <w:shd w:val="clear" w:color="auto" w:fill="FFFFFF"/>
        </w:rPr>
        <w:t>3</w:t>
      </w:r>
      <w:r w:rsidRPr="003B23CC">
        <w:rPr>
          <w:rFonts w:ascii="Times New Roman" w:hAnsi="Times New Roman" w:cs="Times New Roman"/>
          <w:color w:val="222222"/>
          <w:sz w:val="24"/>
          <w:szCs w:val="24"/>
          <w:shd w:val="clear" w:color="auto" w:fill="FFFFFF"/>
        </w:rPr>
        <w:t>. Northern Territory Government Schools, Attendance Rate 2005-2007</w:t>
      </w:r>
    </w:p>
    <w:tbl>
      <w:tblPr>
        <w:tblStyle w:val="TableGrid"/>
        <w:tblW w:w="0" w:type="auto"/>
        <w:tblLook w:val="04A0" w:firstRow="1" w:lastRow="0" w:firstColumn="1" w:lastColumn="0" w:noHBand="0" w:noVBand="1"/>
      </w:tblPr>
      <w:tblGrid>
        <w:gridCol w:w="2091"/>
        <w:gridCol w:w="2091"/>
        <w:gridCol w:w="2091"/>
        <w:gridCol w:w="2091"/>
      </w:tblGrid>
      <w:tr w:rsidR="005168FF" w:rsidRPr="003B23CC" w14:paraId="21425AB7" w14:textId="77777777" w:rsidTr="00AE2EE4">
        <w:tc>
          <w:tcPr>
            <w:tcW w:w="2091" w:type="dxa"/>
          </w:tcPr>
          <w:p w14:paraId="5FE8F7F0" w14:textId="77777777" w:rsidR="005168FF" w:rsidRPr="003B23CC" w:rsidRDefault="005168FF" w:rsidP="00A427D2">
            <w:pPr>
              <w:spacing w:line="480" w:lineRule="auto"/>
              <w:rPr>
                <w:rFonts w:ascii="Times New Roman" w:hAnsi="Times New Roman" w:cs="Times New Roman"/>
                <w:color w:val="222222"/>
                <w:sz w:val="24"/>
                <w:szCs w:val="24"/>
                <w:shd w:val="clear" w:color="auto" w:fill="FFFFFF"/>
              </w:rPr>
            </w:pPr>
          </w:p>
        </w:tc>
        <w:tc>
          <w:tcPr>
            <w:tcW w:w="2091" w:type="dxa"/>
          </w:tcPr>
          <w:p w14:paraId="077CAC2D" w14:textId="7CB0D4B8"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2005</w:t>
            </w:r>
          </w:p>
        </w:tc>
        <w:tc>
          <w:tcPr>
            <w:tcW w:w="2091" w:type="dxa"/>
          </w:tcPr>
          <w:p w14:paraId="54E5E2BC" w14:textId="4C9F6726"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2006</w:t>
            </w:r>
          </w:p>
        </w:tc>
        <w:tc>
          <w:tcPr>
            <w:tcW w:w="2091" w:type="dxa"/>
          </w:tcPr>
          <w:p w14:paraId="12381C78" w14:textId="633CF73C"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2007</w:t>
            </w:r>
          </w:p>
        </w:tc>
      </w:tr>
      <w:tr w:rsidR="005168FF" w:rsidRPr="003B23CC" w14:paraId="7DD78657" w14:textId="77777777" w:rsidTr="00AE2EE4">
        <w:tc>
          <w:tcPr>
            <w:tcW w:w="2091" w:type="dxa"/>
          </w:tcPr>
          <w:p w14:paraId="099EDA5A" w14:textId="2E3FE403"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All</w:t>
            </w:r>
          </w:p>
        </w:tc>
        <w:tc>
          <w:tcPr>
            <w:tcW w:w="2091" w:type="dxa"/>
          </w:tcPr>
          <w:p w14:paraId="2E2B6731" w14:textId="3B92C82D"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83.4</w:t>
            </w:r>
          </w:p>
        </w:tc>
        <w:tc>
          <w:tcPr>
            <w:tcW w:w="2091" w:type="dxa"/>
          </w:tcPr>
          <w:p w14:paraId="52229AFE" w14:textId="7CD46B85"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82.9</w:t>
            </w:r>
          </w:p>
        </w:tc>
        <w:tc>
          <w:tcPr>
            <w:tcW w:w="2091" w:type="dxa"/>
          </w:tcPr>
          <w:p w14:paraId="14A0D419" w14:textId="23D39462"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82.4</w:t>
            </w:r>
          </w:p>
        </w:tc>
      </w:tr>
      <w:tr w:rsidR="005168FF" w:rsidRPr="003B23CC" w14:paraId="31EFD513" w14:textId="77777777" w:rsidTr="00AE2EE4">
        <w:tc>
          <w:tcPr>
            <w:tcW w:w="2091" w:type="dxa"/>
          </w:tcPr>
          <w:p w14:paraId="29236939" w14:textId="0DC13EA9"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Indigenous</w:t>
            </w:r>
          </w:p>
        </w:tc>
        <w:tc>
          <w:tcPr>
            <w:tcW w:w="2091" w:type="dxa"/>
          </w:tcPr>
          <w:p w14:paraId="4E887F35" w14:textId="286A476C"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72.0</w:t>
            </w:r>
          </w:p>
        </w:tc>
        <w:tc>
          <w:tcPr>
            <w:tcW w:w="2091" w:type="dxa"/>
          </w:tcPr>
          <w:p w14:paraId="6584E360" w14:textId="5D666564"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71.3</w:t>
            </w:r>
          </w:p>
        </w:tc>
        <w:tc>
          <w:tcPr>
            <w:tcW w:w="2091" w:type="dxa"/>
          </w:tcPr>
          <w:p w14:paraId="3613D2E3" w14:textId="705C2268"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71.0</w:t>
            </w:r>
          </w:p>
        </w:tc>
      </w:tr>
      <w:tr w:rsidR="005168FF" w:rsidRPr="003B23CC" w14:paraId="1F84BC89" w14:textId="77777777" w:rsidTr="00AE2EE4">
        <w:tc>
          <w:tcPr>
            <w:tcW w:w="2091" w:type="dxa"/>
          </w:tcPr>
          <w:p w14:paraId="730817E6" w14:textId="4F9C6D66"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Non-Indigenous</w:t>
            </w:r>
          </w:p>
        </w:tc>
        <w:tc>
          <w:tcPr>
            <w:tcW w:w="2091" w:type="dxa"/>
          </w:tcPr>
          <w:p w14:paraId="1889CA4B" w14:textId="01C387ED"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89.1</w:t>
            </w:r>
          </w:p>
        </w:tc>
        <w:tc>
          <w:tcPr>
            <w:tcW w:w="2091" w:type="dxa"/>
          </w:tcPr>
          <w:p w14:paraId="79225CE9" w14:textId="7714B453"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89.0</w:t>
            </w:r>
          </w:p>
        </w:tc>
        <w:tc>
          <w:tcPr>
            <w:tcW w:w="2091" w:type="dxa"/>
          </w:tcPr>
          <w:p w14:paraId="3653434B" w14:textId="46D4071F"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89.1</w:t>
            </w:r>
          </w:p>
        </w:tc>
      </w:tr>
      <w:tr w:rsidR="005168FF" w:rsidRPr="003B23CC" w14:paraId="3E89F694" w14:textId="77777777" w:rsidTr="00AE2EE4">
        <w:tc>
          <w:tcPr>
            <w:tcW w:w="2091" w:type="dxa"/>
          </w:tcPr>
          <w:p w14:paraId="2B0B331C" w14:textId="1E465FDE"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Provincial</w:t>
            </w:r>
          </w:p>
        </w:tc>
        <w:tc>
          <w:tcPr>
            <w:tcW w:w="2091" w:type="dxa"/>
          </w:tcPr>
          <w:p w14:paraId="67B48D9D" w14:textId="50ED1A55"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87.2</w:t>
            </w:r>
          </w:p>
        </w:tc>
        <w:tc>
          <w:tcPr>
            <w:tcW w:w="2091" w:type="dxa"/>
          </w:tcPr>
          <w:p w14:paraId="14A9B513" w14:textId="46DF0BBB"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87.2</w:t>
            </w:r>
          </w:p>
        </w:tc>
        <w:tc>
          <w:tcPr>
            <w:tcW w:w="2091" w:type="dxa"/>
          </w:tcPr>
          <w:p w14:paraId="4D94691A" w14:textId="644BFC82"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87.5</w:t>
            </w:r>
          </w:p>
        </w:tc>
      </w:tr>
      <w:tr w:rsidR="005168FF" w:rsidRPr="003B23CC" w14:paraId="39BCE83C" w14:textId="77777777" w:rsidTr="00AE2EE4">
        <w:tc>
          <w:tcPr>
            <w:tcW w:w="2091" w:type="dxa"/>
          </w:tcPr>
          <w:p w14:paraId="43705353" w14:textId="7A0050AF"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Remote</w:t>
            </w:r>
          </w:p>
        </w:tc>
        <w:tc>
          <w:tcPr>
            <w:tcW w:w="2091" w:type="dxa"/>
          </w:tcPr>
          <w:p w14:paraId="473960CF" w14:textId="0A76AF1C"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84.2</w:t>
            </w:r>
          </w:p>
        </w:tc>
        <w:tc>
          <w:tcPr>
            <w:tcW w:w="2091" w:type="dxa"/>
          </w:tcPr>
          <w:p w14:paraId="7F43ADE0" w14:textId="2DBC3D1C"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84.1</w:t>
            </w:r>
          </w:p>
        </w:tc>
        <w:tc>
          <w:tcPr>
            <w:tcW w:w="2091" w:type="dxa"/>
          </w:tcPr>
          <w:p w14:paraId="627271EB" w14:textId="2E8CE0B7"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84.0</w:t>
            </w:r>
          </w:p>
        </w:tc>
      </w:tr>
      <w:tr w:rsidR="005168FF" w:rsidRPr="003B23CC" w14:paraId="46D83E68" w14:textId="77777777" w:rsidTr="00AE2EE4">
        <w:tc>
          <w:tcPr>
            <w:tcW w:w="2091" w:type="dxa"/>
          </w:tcPr>
          <w:p w14:paraId="31D49921" w14:textId="62BACC9B"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Very Remote</w:t>
            </w:r>
          </w:p>
        </w:tc>
        <w:tc>
          <w:tcPr>
            <w:tcW w:w="2091" w:type="dxa"/>
          </w:tcPr>
          <w:p w14:paraId="440364CC" w14:textId="794DA941"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71.8</w:t>
            </w:r>
          </w:p>
        </w:tc>
        <w:tc>
          <w:tcPr>
            <w:tcW w:w="2091" w:type="dxa"/>
          </w:tcPr>
          <w:p w14:paraId="513ECFD5" w14:textId="3AC623D6"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70.1</w:t>
            </w:r>
          </w:p>
        </w:tc>
        <w:tc>
          <w:tcPr>
            <w:tcW w:w="2091" w:type="dxa"/>
          </w:tcPr>
          <w:p w14:paraId="71B80388" w14:textId="4D19FB5E" w:rsidR="005168FF" w:rsidRPr="003B23CC" w:rsidRDefault="005168FF" w:rsidP="00A427D2">
            <w:pPr>
              <w:spacing w:line="480" w:lineRule="auto"/>
              <w:rPr>
                <w:rFonts w:ascii="Times New Roman" w:hAnsi="Times New Roman" w:cs="Times New Roman"/>
                <w:color w:val="222222"/>
                <w:sz w:val="24"/>
                <w:szCs w:val="24"/>
                <w:shd w:val="clear" w:color="auto" w:fill="FFFFFF"/>
              </w:rPr>
            </w:pPr>
            <w:r w:rsidRPr="003B23CC">
              <w:rPr>
                <w:rFonts w:ascii="Times New Roman" w:hAnsi="Times New Roman" w:cs="Times New Roman"/>
                <w:color w:val="222222"/>
                <w:sz w:val="24"/>
                <w:szCs w:val="24"/>
                <w:shd w:val="clear" w:color="auto" w:fill="FFFFFF"/>
              </w:rPr>
              <w:t>68.9</w:t>
            </w:r>
          </w:p>
        </w:tc>
      </w:tr>
    </w:tbl>
    <w:p w14:paraId="137A1201" w14:textId="3E4F2038" w:rsidR="00655397" w:rsidRPr="005124CE" w:rsidRDefault="00655397" w:rsidP="00A427D2">
      <w:pPr>
        <w:spacing w:after="0" w:line="480" w:lineRule="auto"/>
        <w:rPr>
          <w:rFonts w:ascii="Times New Roman" w:hAnsi="Times New Roman" w:cs="Times New Roman"/>
          <w:color w:val="222222"/>
          <w:sz w:val="20"/>
          <w:szCs w:val="20"/>
          <w:shd w:val="clear" w:color="auto" w:fill="FFFFFF"/>
        </w:rPr>
      </w:pPr>
    </w:p>
    <w:p w14:paraId="52CDDAC9" w14:textId="6096A2CC" w:rsidR="004A59BA" w:rsidRPr="005124CE" w:rsidRDefault="004A59BA" w:rsidP="00880BEE">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Whilst </w:t>
      </w:r>
      <w:r w:rsidR="00FF3553" w:rsidRPr="005124CE">
        <w:rPr>
          <w:rFonts w:ascii="Times New Roman" w:eastAsia="Times New Roman" w:hAnsi="Times New Roman" w:cs="Times New Roman"/>
          <w:sz w:val="24"/>
          <w:lang w:eastAsia="en-US"/>
        </w:rPr>
        <w:t xml:space="preserve">outreach programs that </w:t>
      </w:r>
      <w:r w:rsidR="00E208A6" w:rsidRPr="005124CE">
        <w:rPr>
          <w:rFonts w:ascii="Times New Roman" w:eastAsia="Times New Roman" w:hAnsi="Times New Roman" w:cs="Times New Roman"/>
          <w:sz w:val="24"/>
          <w:lang w:eastAsia="en-US"/>
        </w:rPr>
        <w:t>have been enacted to reduce truancy and improve retention</w:t>
      </w:r>
      <w:r w:rsidR="00424E13" w:rsidRPr="005124CE">
        <w:rPr>
          <w:rFonts w:ascii="Times New Roman" w:eastAsia="Times New Roman" w:hAnsi="Times New Roman" w:cs="Times New Roman"/>
          <w:sz w:val="24"/>
          <w:lang w:eastAsia="en-US"/>
        </w:rPr>
        <w:t xml:space="preserve"> are numerous and receive significant funding, </w:t>
      </w:r>
      <w:r w:rsidR="00A95657" w:rsidRPr="005124CE">
        <w:rPr>
          <w:rFonts w:ascii="Times New Roman" w:eastAsia="Times New Roman" w:hAnsi="Times New Roman" w:cs="Times New Roman"/>
          <w:sz w:val="24"/>
          <w:lang w:eastAsia="en-US"/>
        </w:rPr>
        <w:t>attendance and retention rates across all demographics remains largely unchanged</w:t>
      </w:r>
      <w:r w:rsidR="001F5772" w:rsidRPr="005124CE">
        <w:rPr>
          <w:rFonts w:ascii="Times New Roman" w:eastAsia="Times New Roman" w:hAnsi="Times New Roman" w:cs="Times New Roman"/>
          <w:sz w:val="24"/>
          <w:lang w:eastAsia="en-US"/>
        </w:rPr>
        <w:t>, as shown in Table</w:t>
      </w:r>
      <w:r w:rsidR="004A4F8C" w:rsidRPr="005124CE">
        <w:rPr>
          <w:rFonts w:ascii="Times New Roman" w:eastAsia="Times New Roman" w:hAnsi="Times New Roman" w:cs="Times New Roman"/>
          <w:sz w:val="24"/>
          <w:lang w:eastAsia="en-US"/>
        </w:rPr>
        <w:t xml:space="preserve"> 2 and Table 3</w:t>
      </w:r>
      <w:r w:rsidR="00A95657" w:rsidRPr="005124CE">
        <w:rPr>
          <w:rFonts w:ascii="Times New Roman" w:eastAsia="Times New Roman" w:hAnsi="Times New Roman" w:cs="Times New Roman"/>
          <w:sz w:val="24"/>
          <w:lang w:eastAsia="en-US"/>
        </w:rPr>
        <w:t>. (Department of Education, Skills and Employment</w:t>
      </w:r>
      <w:r w:rsidR="004A4F8C" w:rsidRPr="005124CE">
        <w:rPr>
          <w:rFonts w:ascii="Times New Roman" w:eastAsia="Times New Roman" w:hAnsi="Times New Roman" w:cs="Times New Roman"/>
          <w:sz w:val="24"/>
          <w:lang w:eastAsia="en-US"/>
        </w:rPr>
        <w:t>,</w:t>
      </w:r>
      <w:r w:rsidR="00A95657" w:rsidRPr="005124CE">
        <w:rPr>
          <w:rFonts w:ascii="Times New Roman" w:eastAsia="Times New Roman" w:hAnsi="Times New Roman" w:cs="Times New Roman"/>
          <w:sz w:val="24"/>
          <w:lang w:eastAsia="en-US"/>
        </w:rPr>
        <w:t xml:space="preserve"> 2020).</w:t>
      </w:r>
    </w:p>
    <w:p w14:paraId="6F2CBC98" w14:textId="4CA38EAD" w:rsidR="000E5409" w:rsidRPr="005124CE" w:rsidRDefault="000E5409" w:rsidP="002B4DA4">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t xml:space="preserve">Teaching and Learning </w:t>
      </w:r>
      <w:r w:rsidR="00093BB2" w:rsidRPr="005124CE">
        <w:rPr>
          <w:rFonts w:ascii="Times New Roman" w:eastAsia="Times New Roman" w:hAnsi="Times New Roman" w:cs="Times New Roman"/>
          <w:sz w:val="24"/>
          <w:lang w:eastAsia="en-US"/>
        </w:rPr>
        <w:t xml:space="preserve">is a key recommendation from each of the </w:t>
      </w:r>
      <w:r w:rsidR="00BA6CB2" w:rsidRPr="005124CE">
        <w:rPr>
          <w:rFonts w:ascii="Times New Roman" w:eastAsia="Times New Roman" w:hAnsi="Times New Roman" w:cs="Times New Roman"/>
          <w:sz w:val="24"/>
          <w:lang w:eastAsia="en-US"/>
        </w:rPr>
        <w:t xml:space="preserve">reports. All identify that basic numeracy and literacy skills are critical to student performance and development. </w:t>
      </w:r>
      <w:r w:rsidR="00DA3BDA" w:rsidRPr="005124CE">
        <w:rPr>
          <w:rFonts w:ascii="Times New Roman" w:eastAsia="Times New Roman" w:hAnsi="Times New Roman" w:cs="Times New Roman"/>
          <w:sz w:val="24"/>
          <w:lang w:eastAsia="en-US"/>
        </w:rPr>
        <w:t xml:space="preserve">Critically, students with numeracy and literacy </w:t>
      </w:r>
      <w:r w:rsidR="00CD521D" w:rsidRPr="005124CE">
        <w:rPr>
          <w:rFonts w:ascii="Times New Roman" w:eastAsia="Times New Roman" w:hAnsi="Times New Roman" w:cs="Times New Roman"/>
          <w:sz w:val="24"/>
          <w:lang w:eastAsia="en-US"/>
        </w:rPr>
        <w:t xml:space="preserve">skills below their age or year level are more likely to be truant and </w:t>
      </w:r>
      <w:r w:rsidR="00480506" w:rsidRPr="005124CE">
        <w:rPr>
          <w:rFonts w:ascii="Times New Roman" w:eastAsia="Times New Roman" w:hAnsi="Times New Roman" w:cs="Times New Roman"/>
          <w:sz w:val="24"/>
          <w:lang w:eastAsia="en-US"/>
        </w:rPr>
        <w:t>not continue formal schooling beyond the legal requirement, in some cases they may not even meet those</w:t>
      </w:r>
      <w:r w:rsidR="00C96151" w:rsidRPr="005124CE">
        <w:rPr>
          <w:rFonts w:ascii="Times New Roman" w:eastAsia="Times New Roman" w:hAnsi="Times New Roman" w:cs="Times New Roman"/>
          <w:sz w:val="24"/>
          <w:lang w:eastAsia="en-US"/>
        </w:rPr>
        <w:t xml:space="preserve">. Literacy and numeracy skills must be developed by classroom </w:t>
      </w:r>
      <w:r w:rsidR="000E49E1" w:rsidRPr="005124CE">
        <w:rPr>
          <w:rFonts w:ascii="Times New Roman" w:eastAsia="Times New Roman" w:hAnsi="Times New Roman" w:cs="Times New Roman"/>
          <w:sz w:val="24"/>
          <w:lang w:eastAsia="en-US"/>
        </w:rPr>
        <w:t>teachers but</w:t>
      </w:r>
      <w:r w:rsidR="001F19E2" w:rsidRPr="005124CE">
        <w:rPr>
          <w:rFonts w:ascii="Times New Roman" w:eastAsia="Times New Roman" w:hAnsi="Times New Roman" w:cs="Times New Roman"/>
          <w:sz w:val="24"/>
          <w:lang w:eastAsia="en-US"/>
        </w:rPr>
        <w:t xml:space="preserve"> must also be contextualised to the students and their situation </w:t>
      </w:r>
      <w:r w:rsidR="00977777" w:rsidRPr="005124CE">
        <w:rPr>
          <w:rFonts w:ascii="Times New Roman" w:eastAsia="Times New Roman" w:hAnsi="Times New Roman" w:cs="Times New Roman"/>
          <w:sz w:val="24"/>
          <w:lang w:eastAsia="en-US"/>
        </w:rPr>
        <w:t>(</w:t>
      </w:r>
      <w:r w:rsidR="000E49E1" w:rsidRPr="005124CE">
        <w:rPr>
          <w:rFonts w:ascii="Times New Roman" w:eastAsia="Times New Roman" w:hAnsi="Times New Roman" w:cs="Times New Roman"/>
          <w:sz w:val="24"/>
          <w:lang w:eastAsia="en-US"/>
        </w:rPr>
        <w:t>Foreman &amp; Arthur-Kelly</w:t>
      </w:r>
      <w:r w:rsidR="00977777" w:rsidRPr="005124CE">
        <w:rPr>
          <w:rFonts w:ascii="Times New Roman" w:eastAsia="Times New Roman" w:hAnsi="Times New Roman" w:cs="Times New Roman"/>
          <w:sz w:val="24"/>
          <w:lang w:eastAsia="en-US"/>
        </w:rPr>
        <w:t xml:space="preserve">, </w:t>
      </w:r>
      <w:r w:rsidR="000E49E1" w:rsidRPr="005124CE">
        <w:rPr>
          <w:rFonts w:ascii="Times New Roman" w:eastAsia="Times New Roman" w:hAnsi="Times New Roman" w:cs="Times New Roman"/>
          <w:sz w:val="24"/>
          <w:lang w:eastAsia="en-US"/>
        </w:rPr>
        <w:t>2017). </w:t>
      </w:r>
      <w:r w:rsidR="00540AB6" w:rsidRPr="005124CE">
        <w:rPr>
          <w:rFonts w:ascii="Times New Roman" w:eastAsia="Times New Roman" w:hAnsi="Times New Roman" w:cs="Times New Roman"/>
          <w:sz w:val="24"/>
          <w:lang w:eastAsia="en-US"/>
        </w:rPr>
        <w:t xml:space="preserve">There are also many recommendations to provide teachers with </w:t>
      </w:r>
      <w:r w:rsidR="004D1006" w:rsidRPr="005124CE">
        <w:rPr>
          <w:rFonts w:ascii="Times New Roman" w:eastAsia="Times New Roman" w:hAnsi="Times New Roman" w:cs="Times New Roman"/>
          <w:sz w:val="24"/>
          <w:lang w:eastAsia="en-US"/>
        </w:rPr>
        <w:t>advice and training from an expert panel</w:t>
      </w:r>
      <w:r w:rsidR="005A28D0" w:rsidRPr="005124CE">
        <w:rPr>
          <w:rFonts w:ascii="Times New Roman" w:eastAsia="Times New Roman" w:hAnsi="Times New Roman" w:cs="Times New Roman"/>
          <w:sz w:val="24"/>
          <w:lang w:eastAsia="en-US"/>
        </w:rPr>
        <w:t xml:space="preserve">, which adds to the </w:t>
      </w:r>
      <w:r w:rsidR="004C3D06" w:rsidRPr="005124CE">
        <w:rPr>
          <w:rFonts w:ascii="Times New Roman" w:eastAsia="Times New Roman" w:hAnsi="Times New Roman" w:cs="Times New Roman"/>
          <w:sz w:val="24"/>
          <w:lang w:eastAsia="en-US"/>
        </w:rPr>
        <w:t xml:space="preserve">professional </w:t>
      </w:r>
      <w:r w:rsidR="005A28D0" w:rsidRPr="005124CE">
        <w:rPr>
          <w:rFonts w:ascii="Times New Roman" w:eastAsia="Times New Roman" w:hAnsi="Times New Roman" w:cs="Times New Roman"/>
          <w:sz w:val="24"/>
          <w:lang w:eastAsia="en-US"/>
        </w:rPr>
        <w:t>development of practice by classroom teachers</w:t>
      </w:r>
      <w:r w:rsidR="001D7191" w:rsidRPr="005124CE">
        <w:rPr>
          <w:rFonts w:ascii="Times New Roman" w:eastAsia="Times New Roman" w:hAnsi="Times New Roman" w:cs="Times New Roman"/>
          <w:sz w:val="24"/>
          <w:lang w:eastAsia="en-US"/>
        </w:rPr>
        <w:t>.</w:t>
      </w:r>
      <w:r w:rsidR="00D574C2" w:rsidRPr="005124CE">
        <w:rPr>
          <w:rFonts w:ascii="Times New Roman" w:eastAsia="Times New Roman" w:hAnsi="Times New Roman" w:cs="Times New Roman"/>
          <w:sz w:val="24"/>
          <w:lang w:eastAsia="en-US"/>
        </w:rPr>
        <w:t xml:space="preserve"> As teachers are the largest variable of student outcomes, that </w:t>
      </w:r>
      <w:r w:rsidR="00DC178C" w:rsidRPr="005124CE">
        <w:rPr>
          <w:rFonts w:ascii="Times New Roman" w:eastAsia="Times New Roman" w:hAnsi="Times New Roman" w:cs="Times New Roman"/>
          <w:sz w:val="24"/>
          <w:lang w:eastAsia="en-US"/>
        </w:rPr>
        <w:t xml:space="preserve">can be </w:t>
      </w:r>
      <w:r w:rsidR="007146BB" w:rsidRPr="005124CE">
        <w:rPr>
          <w:rFonts w:ascii="Times New Roman" w:eastAsia="Times New Roman" w:hAnsi="Times New Roman" w:cs="Times New Roman"/>
          <w:sz w:val="24"/>
          <w:lang w:eastAsia="en-US"/>
        </w:rPr>
        <w:t xml:space="preserve">improved, </w:t>
      </w:r>
      <w:r w:rsidR="00B83247" w:rsidRPr="005124CE">
        <w:rPr>
          <w:rFonts w:ascii="Times New Roman" w:eastAsia="Times New Roman" w:hAnsi="Times New Roman" w:cs="Times New Roman"/>
          <w:sz w:val="24"/>
          <w:lang w:eastAsia="en-US"/>
        </w:rPr>
        <w:t xml:space="preserve">(Hattie, 2003) </w:t>
      </w:r>
      <w:r w:rsidR="007146BB" w:rsidRPr="005124CE">
        <w:rPr>
          <w:rFonts w:ascii="Times New Roman" w:eastAsia="Times New Roman" w:hAnsi="Times New Roman" w:cs="Times New Roman"/>
          <w:sz w:val="24"/>
          <w:lang w:eastAsia="en-US"/>
        </w:rPr>
        <w:t xml:space="preserve">their training and professional development is </w:t>
      </w:r>
      <w:r w:rsidR="00D21B99" w:rsidRPr="005124CE">
        <w:rPr>
          <w:rFonts w:ascii="Times New Roman" w:eastAsia="Times New Roman" w:hAnsi="Times New Roman" w:cs="Times New Roman"/>
          <w:sz w:val="24"/>
          <w:lang w:eastAsia="en-US"/>
        </w:rPr>
        <w:t xml:space="preserve">key to the </w:t>
      </w:r>
      <w:r w:rsidR="005B0DBC" w:rsidRPr="005124CE">
        <w:rPr>
          <w:rFonts w:ascii="Times New Roman" w:eastAsia="Times New Roman" w:hAnsi="Times New Roman" w:cs="Times New Roman"/>
          <w:sz w:val="24"/>
          <w:lang w:eastAsia="en-US"/>
        </w:rPr>
        <w:t>improvement of student outcome, by DEET.</w:t>
      </w:r>
    </w:p>
    <w:p w14:paraId="1D5FD310" w14:textId="26CCE66D" w:rsidR="00D50113" w:rsidRPr="005124CE" w:rsidRDefault="007901FC" w:rsidP="002B4DA4">
      <w:pPr>
        <w:spacing w:after="0" w:line="480" w:lineRule="auto"/>
        <w:ind w:firstLine="568"/>
        <w:rPr>
          <w:rFonts w:ascii="Times New Roman" w:eastAsia="Times New Roman" w:hAnsi="Times New Roman" w:cs="Times New Roman"/>
          <w:sz w:val="24"/>
          <w:lang w:eastAsia="en-US"/>
        </w:rPr>
      </w:pPr>
      <w:r w:rsidRPr="005124CE">
        <w:rPr>
          <w:rFonts w:ascii="Times New Roman" w:eastAsia="Times New Roman" w:hAnsi="Times New Roman" w:cs="Times New Roman"/>
          <w:sz w:val="24"/>
          <w:lang w:eastAsia="en-US"/>
        </w:rPr>
        <w:lastRenderedPageBreak/>
        <w:t xml:space="preserve">Whilst the recommendations by Yecke (2006) and </w:t>
      </w:r>
      <w:r w:rsidR="00BA15BB" w:rsidRPr="005124CE">
        <w:rPr>
          <w:rFonts w:ascii="Times New Roman" w:eastAsia="Times New Roman" w:hAnsi="Times New Roman" w:cs="Times New Roman"/>
          <w:sz w:val="24"/>
          <w:lang w:eastAsia="en-US"/>
        </w:rPr>
        <w:t>Palmer (2006)</w:t>
      </w:r>
      <w:r w:rsidR="00526BE4" w:rsidRPr="005124CE">
        <w:rPr>
          <w:rFonts w:ascii="Times New Roman" w:eastAsia="Times New Roman" w:hAnsi="Times New Roman" w:cs="Times New Roman"/>
          <w:sz w:val="24"/>
          <w:lang w:eastAsia="en-US"/>
        </w:rPr>
        <w:t xml:space="preserve"> clearly criticise the transition to separate middle and secondary school establishments, the </w:t>
      </w:r>
      <w:r w:rsidR="0029566F" w:rsidRPr="005124CE">
        <w:rPr>
          <w:rFonts w:ascii="Times New Roman" w:eastAsia="Times New Roman" w:hAnsi="Times New Roman" w:cs="Times New Roman"/>
          <w:sz w:val="24"/>
          <w:lang w:eastAsia="en-US"/>
        </w:rPr>
        <w:t xml:space="preserve">context in each situation is unique and therefore, should be treated as such. </w:t>
      </w:r>
      <w:r w:rsidR="00993BA1" w:rsidRPr="005124CE">
        <w:rPr>
          <w:rFonts w:ascii="Times New Roman" w:eastAsia="Times New Roman" w:hAnsi="Times New Roman" w:cs="Times New Roman"/>
          <w:sz w:val="24"/>
          <w:lang w:eastAsia="en-US"/>
        </w:rPr>
        <w:t xml:space="preserve">This could be through </w:t>
      </w:r>
      <w:r w:rsidR="00897619" w:rsidRPr="005124CE">
        <w:rPr>
          <w:rFonts w:ascii="Times New Roman" w:eastAsia="Times New Roman" w:hAnsi="Times New Roman" w:cs="Times New Roman"/>
          <w:sz w:val="24"/>
          <w:lang w:eastAsia="en-US"/>
        </w:rPr>
        <w:t>partnerships of opportunity</w:t>
      </w:r>
      <w:r w:rsidR="00A77ADE" w:rsidRPr="005124CE">
        <w:rPr>
          <w:rFonts w:ascii="Times New Roman" w:eastAsia="Times New Roman" w:hAnsi="Times New Roman" w:cs="Times New Roman"/>
          <w:sz w:val="24"/>
          <w:lang w:eastAsia="en-US"/>
        </w:rPr>
        <w:t xml:space="preserve"> with local industry</w:t>
      </w:r>
      <w:r w:rsidR="00897619" w:rsidRPr="005124CE">
        <w:rPr>
          <w:rFonts w:ascii="Times New Roman" w:eastAsia="Times New Roman" w:hAnsi="Times New Roman" w:cs="Times New Roman"/>
          <w:sz w:val="24"/>
          <w:lang w:eastAsia="en-US"/>
        </w:rPr>
        <w:t>, that may only be available within a specific local context</w:t>
      </w:r>
      <w:r w:rsidR="00A77ADE" w:rsidRPr="005124CE">
        <w:rPr>
          <w:rFonts w:ascii="Times New Roman" w:eastAsia="Times New Roman" w:hAnsi="Times New Roman" w:cs="Times New Roman"/>
          <w:sz w:val="24"/>
          <w:lang w:eastAsia="en-US"/>
        </w:rPr>
        <w:t xml:space="preserve">. This </w:t>
      </w:r>
      <w:r w:rsidR="00A17BCF" w:rsidRPr="005124CE">
        <w:rPr>
          <w:rFonts w:ascii="Times New Roman" w:eastAsia="Times New Roman" w:hAnsi="Times New Roman" w:cs="Times New Roman"/>
          <w:sz w:val="24"/>
          <w:lang w:eastAsia="en-US"/>
        </w:rPr>
        <w:t>opportunity further assists with reinforcing the community</w:t>
      </w:r>
      <w:r w:rsidR="00061C03" w:rsidRPr="005124CE">
        <w:rPr>
          <w:rFonts w:ascii="Times New Roman" w:eastAsia="Times New Roman" w:hAnsi="Times New Roman" w:cs="Times New Roman"/>
          <w:sz w:val="24"/>
          <w:lang w:eastAsia="en-US"/>
        </w:rPr>
        <w:t xml:space="preserve"> support and relevance of </w:t>
      </w:r>
      <w:r w:rsidR="005D610A" w:rsidRPr="005124CE">
        <w:rPr>
          <w:rFonts w:ascii="Times New Roman" w:eastAsia="Times New Roman" w:hAnsi="Times New Roman" w:cs="Times New Roman"/>
          <w:sz w:val="24"/>
          <w:lang w:eastAsia="en-US"/>
        </w:rPr>
        <w:t>education.</w:t>
      </w:r>
      <w:r w:rsidR="00223052" w:rsidRPr="005124CE">
        <w:rPr>
          <w:rFonts w:ascii="Times New Roman" w:eastAsia="Times New Roman" w:hAnsi="Times New Roman" w:cs="Times New Roman"/>
          <w:sz w:val="24"/>
          <w:lang w:eastAsia="en-US"/>
        </w:rPr>
        <w:t xml:space="preserve"> Case-by-case the</w:t>
      </w:r>
      <w:r w:rsidR="00912525" w:rsidRPr="005124CE">
        <w:rPr>
          <w:rFonts w:ascii="Times New Roman" w:eastAsia="Times New Roman" w:hAnsi="Times New Roman" w:cs="Times New Roman"/>
          <w:sz w:val="24"/>
          <w:lang w:eastAsia="en-US"/>
        </w:rPr>
        <w:t xml:space="preserve"> current</w:t>
      </w:r>
      <w:r w:rsidR="00223052" w:rsidRPr="005124CE">
        <w:rPr>
          <w:rFonts w:ascii="Times New Roman" w:eastAsia="Times New Roman" w:hAnsi="Times New Roman" w:cs="Times New Roman"/>
          <w:sz w:val="24"/>
          <w:lang w:eastAsia="en-US"/>
        </w:rPr>
        <w:t xml:space="preserve"> middle and secondary school </w:t>
      </w:r>
      <w:r w:rsidR="00912525" w:rsidRPr="005124CE">
        <w:rPr>
          <w:rFonts w:ascii="Times New Roman" w:eastAsia="Times New Roman" w:hAnsi="Times New Roman" w:cs="Times New Roman"/>
          <w:sz w:val="24"/>
          <w:lang w:eastAsia="en-US"/>
        </w:rPr>
        <w:t xml:space="preserve">structure will be effective in certain circumstances and ineffective in others, this should be identified through </w:t>
      </w:r>
      <w:r w:rsidR="00552906" w:rsidRPr="005124CE">
        <w:rPr>
          <w:rFonts w:ascii="Times New Roman" w:eastAsia="Times New Roman" w:hAnsi="Times New Roman" w:cs="Times New Roman"/>
          <w:sz w:val="24"/>
          <w:lang w:eastAsia="en-US"/>
        </w:rPr>
        <w:t>longitudinal collection of evidence and data that supports change</w:t>
      </w:r>
      <w:r w:rsidR="00B64009" w:rsidRPr="005124CE">
        <w:rPr>
          <w:rFonts w:ascii="Times New Roman" w:eastAsia="Times New Roman" w:hAnsi="Times New Roman" w:cs="Times New Roman"/>
          <w:sz w:val="24"/>
          <w:lang w:eastAsia="en-US"/>
        </w:rPr>
        <w:t xml:space="preserve"> for more effective educational delivery.</w:t>
      </w:r>
    </w:p>
    <w:p w14:paraId="2038B4A6" w14:textId="28FB7F3F" w:rsidR="00880BEE" w:rsidRDefault="00880BEE" w:rsidP="00A427D2">
      <w:pPr>
        <w:spacing w:after="0" w:line="480" w:lineRule="auto"/>
        <w:rPr>
          <w:rFonts w:ascii="Times New Roman" w:hAnsi="Times New Roman" w:cs="Times New Roman"/>
          <w:color w:val="222222"/>
          <w:sz w:val="20"/>
          <w:szCs w:val="20"/>
          <w:shd w:val="clear" w:color="auto" w:fill="FFFFFF"/>
        </w:rPr>
      </w:pPr>
    </w:p>
    <w:p w14:paraId="534D5B84" w14:textId="59BCC9AB" w:rsidR="00871DE4" w:rsidRDefault="00871DE4" w:rsidP="00A427D2">
      <w:pPr>
        <w:spacing w:after="0" w:line="480" w:lineRule="auto"/>
        <w:rPr>
          <w:rFonts w:ascii="Times New Roman" w:hAnsi="Times New Roman" w:cs="Times New Roman"/>
          <w:color w:val="222222"/>
          <w:sz w:val="20"/>
          <w:szCs w:val="20"/>
          <w:shd w:val="clear" w:color="auto" w:fill="FFFFFF"/>
        </w:rPr>
      </w:pPr>
    </w:p>
    <w:p w14:paraId="3A91827B" w14:textId="77777777" w:rsidR="00871DE4" w:rsidRPr="005124CE" w:rsidRDefault="00871DE4" w:rsidP="00A427D2">
      <w:pPr>
        <w:spacing w:after="0" w:line="480" w:lineRule="auto"/>
        <w:rPr>
          <w:rFonts w:ascii="Times New Roman" w:hAnsi="Times New Roman" w:cs="Times New Roman"/>
          <w:color w:val="222222"/>
          <w:sz w:val="20"/>
          <w:szCs w:val="20"/>
          <w:shd w:val="clear" w:color="auto" w:fill="FFFFFF"/>
        </w:rPr>
      </w:pPr>
    </w:p>
    <w:p w14:paraId="37C28F74" w14:textId="2B686ECA" w:rsidR="00D50113" w:rsidRPr="0079786F" w:rsidRDefault="00D50113" w:rsidP="00A427D2">
      <w:pPr>
        <w:spacing w:after="0" w:line="480" w:lineRule="auto"/>
        <w:rPr>
          <w:rFonts w:ascii="Times New Roman" w:hAnsi="Times New Roman" w:cs="Times New Roman"/>
          <w:b/>
          <w:bCs/>
          <w:color w:val="222222"/>
          <w:sz w:val="24"/>
          <w:szCs w:val="24"/>
          <w:shd w:val="clear" w:color="auto" w:fill="FFFFFF"/>
        </w:rPr>
      </w:pPr>
      <w:r w:rsidRPr="0079786F">
        <w:rPr>
          <w:rFonts w:ascii="Times New Roman" w:hAnsi="Times New Roman" w:cs="Times New Roman"/>
          <w:b/>
          <w:bCs/>
          <w:color w:val="222222"/>
          <w:sz w:val="24"/>
          <w:szCs w:val="24"/>
          <w:shd w:val="clear" w:color="auto" w:fill="FFFFFF"/>
        </w:rPr>
        <w:t>References</w:t>
      </w:r>
    </w:p>
    <w:p w14:paraId="10FF34F2" w14:textId="0AA2F772" w:rsidR="004A4F8C" w:rsidRPr="00C37A8B" w:rsidRDefault="004A4F8C" w:rsidP="002467D9">
      <w:pPr>
        <w:spacing w:after="0" w:line="480" w:lineRule="auto"/>
        <w:ind w:left="567" w:hanging="567"/>
        <w:rPr>
          <w:rFonts w:ascii="Times New Roman" w:hAnsi="Times New Roman" w:cs="Times New Roman"/>
          <w:color w:val="0563C1" w:themeColor="hyperlink"/>
          <w:sz w:val="24"/>
          <w:szCs w:val="24"/>
          <w:u w:val="single"/>
        </w:rPr>
      </w:pPr>
      <w:r w:rsidRPr="00C37A8B">
        <w:rPr>
          <w:rFonts w:ascii="Times New Roman" w:eastAsia="Times New Roman" w:hAnsi="Times New Roman" w:cs="Times New Roman"/>
          <w:sz w:val="24"/>
          <w:szCs w:val="24"/>
          <w:lang w:eastAsia="en-US"/>
        </w:rPr>
        <w:t xml:space="preserve">Australian Bureau of Statistics. (2003) </w:t>
      </w:r>
      <w:r w:rsidRPr="00C37A8B">
        <w:rPr>
          <w:rFonts w:ascii="Times New Roman" w:eastAsia="Times New Roman" w:hAnsi="Times New Roman" w:cs="Times New Roman"/>
          <w:i/>
          <w:iCs/>
          <w:sz w:val="24"/>
          <w:szCs w:val="24"/>
          <w:lang w:eastAsia="en-US"/>
        </w:rPr>
        <w:t>1301.0 - Year Book Australia, 2003</w:t>
      </w:r>
      <w:r w:rsidRPr="00C37A8B">
        <w:rPr>
          <w:rFonts w:ascii="Times New Roman" w:eastAsia="Times New Roman" w:hAnsi="Times New Roman" w:cs="Times New Roman"/>
          <w:sz w:val="24"/>
          <w:szCs w:val="24"/>
          <w:lang w:eastAsia="en-US"/>
        </w:rPr>
        <w:t>. Retrieved from:</w:t>
      </w:r>
      <w:r w:rsidRPr="00C37A8B">
        <w:rPr>
          <w:rFonts w:ascii="Times New Roman" w:hAnsi="Times New Roman" w:cs="Times New Roman"/>
          <w:sz w:val="24"/>
          <w:szCs w:val="24"/>
        </w:rPr>
        <w:t xml:space="preserve"> </w:t>
      </w:r>
      <w:hyperlink r:id="rId8" w:history="1">
        <w:r w:rsidR="00871DE4">
          <w:rPr>
            <w:rStyle w:val="Hyperlink"/>
            <w:rFonts w:ascii="Times New Roman" w:hAnsi="Times New Roman" w:cs="Times New Roman"/>
            <w:sz w:val="24"/>
            <w:szCs w:val="24"/>
          </w:rPr>
          <w:t>https://www.abs.gov.au/Ausstats</w:t>
        </w:r>
      </w:hyperlink>
      <w:r w:rsidRPr="00C37A8B">
        <w:rPr>
          <w:rFonts w:ascii="Times New Roman" w:hAnsi="Times New Roman" w:cs="Times New Roman"/>
          <w:color w:val="0563C1" w:themeColor="hyperlink"/>
          <w:sz w:val="24"/>
          <w:szCs w:val="24"/>
          <w:u w:val="single"/>
        </w:rPr>
        <w:t xml:space="preserve"> </w:t>
      </w:r>
    </w:p>
    <w:p w14:paraId="2F843BE7" w14:textId="7686FE74" w:rsidR="004A4F8C" w:rsidRPr="00C37A8B" w:rsidRDefault="004A4F8C" w:rsidP="002467D9">
      <w:pPr>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Department of Education, Skills and Employment. (2012). National Partnership on Youth</w:t>
      </w:r>
      <w:r w:rsidR="0079786F" w:rsidRPr="00C37A8B">
        <w:rPr>
          <w:rFonts w:ascii="Times New Roman" w:eastAsia="Times New Roman" w:hAnsi="Times New Roman" w:cs="Times New Roman"/>
          <w:sz w:val="24"/>
          <w:szCs w:val="24"/>
          <w:lang w:eastAsia="en-US"/>
        </w:rPr>
        <w:t xml:space="preserve"> </w:t>
      </w:r>
      <w:r w:rsidRPr="00C37A8B">
        <w:rPr>
          <w:rFonts w:ascii="Times New Roman" w:eastAsia="Times New Roman" w:hAnsi="Times New Roman" w:cs="Times New Roman"/>
          <w:sz w:val="24"/>
          <w:szCs w:val="24"/>
          <w:lang w:eastAsia="en-US"/>
        </w:rPr>
        <w:t>Attainment and Transitions, Northern Territory, Annual report May 2013. Australian</w:t>
      </w:r>
      <w:r w:rsidR="0079786F" w:rsidRPr="00C37A8B">
        <w:rPr>
          <w:rFonts w:ascii="Times New Roman" w:eastAsia="Times New Roman" w:hAnsi="Times New Roman" w:cs="Times New Roman"/>
          <w:sz w:val="24"/>
          <w:szCs w:val="24"/>
          <w:lang w:eastAsia="en-US"/>
        </w:rPr>
        <w:t xml:space="preserve"> </w:t>
      </w:r>
      <w:r w:rsidRPr="00C37A8B">
        <w:rPr>
          <w:rFonts w:ascii="Times New Roman" w:eastAsia="Times New Roman" w:hAnsi="Times New Roman" w:cs="Times New Roman"/>
          <w:sz w:val="24"/>
          <w:szCs w:val="24"/>
          <w:lang w:eastAsia="en-US"/>
        </w:rPr>
        <w:t xml:space="preserve">Government. </w:t>
      </w:r>
      <w:r w:rsidR="008364FF" w:rsidRPr="00C37A8B">
        <w:rPr>
          <w:rFonts w:ascii="Times New Roman" w:eastAsia="Times New Roman" w:hAnsi="Times New Roman" w:cs="Times New Roman"/>
          <w:sz w:val="24"/>
          <w:szCs w:val="24"/>
          <w:lang w:eastAsia="en-US"/>
        </w:rPr>
        <w:t>Retrieved from:</w:t>
      </w:r>
      <w:r w:rsidR="008364FF" w:rsidRPr="00C37A8B">
        <w:rPr>
          <w:rFonts w:ascii="Times New Roman" w:hAnsi="Times New Roman" w:cs="Times New Roman"/>
          <w:sz w:val="24"/>
          <w:szCs w:val="24"/>
        </w:rPr>
        <w:t xml:space="preserve"> </w:t>
      </w:r>
      <w:hyperlink r:id="rId9" w:history="1">
        <w:r w:rsidRPr="00C37A8B">
          <w:rPr>
            <w:rStyle w:val="Hyperlink"/>
            <w:rFonts w:ascii="Times New Roman" w:hAnsi="Times New Roman" w:cs="Times New Roman"/>
            <w:sz w:val="24"/>
            <w:szCs w:val="24"/>
          </w:rPr>
          <w:t>https://www.dese.gov.au/download/2181/nt-np-yat-annual-report-2012/2945/document/pdf</w:t>
        </w:r>
      </w:hyperlink>
      <w:r w:rsidRPr="00C37A8B">
        <w:rPr>
          <w:rStyle w:val="Hyperlink"/>
          <w:rFonts w:ascii="Times New Roman" w:hAnsi="Times New Roman" w:cs="Times New Roman"/>
          <w:sz w:val="24"/>
          <w:szCs w:val="24"/>
        </w:rPr>
        <w:t xml:space="preserve"> </w:t>
      </w:r>
    </w:p>
    <w:p w14:paraId="171D13EA" w14:textId="141CEB2D" w:rsidR="004A4F8C" w:rsidRPr="00C37A8B" w:rsidRDefault="004A4F8C" w:rsidP="002467D9">
      <w:pPr>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Department of Education, Skills and Employment. (2020). 15 going on 25 Insights from the</w:t>
      </w:r>
      <w:r w:rsidR="0079786F" w:rsidRPr="00C37A8B">
        <w:rPr>
          <w:rFonts w:ascii="Times New Roman" w:eastAsia="Times New Roman" w:hAnsi="Times New Roman" w:cs="Times New Roman"/>
          <w:sz w:val="24"/>
          <w:szCs w:val="24"/>
          <w:lang w:eastAsia="en-US"/>
        </w:rPr>
        <w:t xml:space="preserve"> </w:t>
      </w:r>
      <w:r w:rsidRPr="00C37A8B">
        <w:rPr>
          <w:rFonts w:ascii="Times New Roman" w:eastAsia="Times New Roman" w:hAnsi="Times New Roman" w:cs="Times New Roman"/>
          <w:sz w:val="24"/>
          <w:szCs w:val="24"/>
          <w:lang w:eastAsia="en-US"/>
        </w:rPr>
        <w:t xml:space="preserve">Longitudinal Surveys of Australian Youth (LSAY). Australian Government. </w:t>
      </w:r>
      <w:r w:rsidR="008364FF" w:rsidRPr="00C37A8B">
        <w:rPr>
          <w:rFonts w:ascii="Times New Roman" w:eastAsia="Times New Roman" w:hAnsi="Times New Roman" w:cs="Times New Roman"/>
          <w:sz w:val="24"/>
          <w:szCs w:val="24"/>
          <w:lang w:eastAsia="en-US"/>
        </w:rPr>
        <w:t>Retrieved from:</w:t>
      </w:r>
      <w:r w:rsidR="008364FF" w:rsidRPr="00C37A8B">
        <w:rPr>
          <w:rFonts w:ascii="Times New Roman" w:hAnsi="Times New Roman" w:cs="Times New Roman"/>
          <w:sz w:val="24"/>
          <w:szCs w:val="24"/>
        </w:rPr>
        <w:t xml:space="preserve"> </w:t>
      </w:r>
      <w:hyperlink r:id="rId10" w:history="1">
        <w:r w:rsidR="005647DD">
          <w:rPr>
            <w:rStyle w:val="Hyperlink"/>
            <w:rFonts w:ascii="Times New Roman" w:hAnsi="Times New Roman" w:cs="Times New Roman"/>
            <w:sz w:val="24"/>
            <w:szCs w:val="24"/>
          </w:rPr>
          <w:t>https://www.dese.gov.au/15-going-25-insights-longitudinal-surveys-australian-youth</w:t>
        </w:r>
      </w:hyperlink>
    </w:p>
    <w:p w14:paraId="7BEA882E" w14:textId="77777777" w:rsidR="004A4F8C" w:rsidRPr="00C37A8B" w:rsidRDefault="004A4F8C" w:rsidP="002467D9">
      <w:pPr>
        <w:spacing w:after="0" w:line="480" w:lineRule="auto"/>
        <w:ind w:left="567" w:hanging="567"/>
        <w:rPr>
          <w:rFonts w:ascii="Times New Roman" w:hAnsi="Times New Roman" w:cs="Times New Roman"/>
          <w:b/>
          <w:bCs/>
          <w:sz w:val="24"/>
          <w:szCs w:val="24"/>
        </w:rPr>
      </w:pPr>
      <w:r w:rsidRPr="00C37A8B">
        <w:rPr>
          <w:rFonts w:ascii="Times New Roman" w:eastAsia="Times New Roman" w:hAnsi="Times New Roman" w:cs="Times New Roman"/>
          <w:sz w:val="24"/>
          <w:szCs w:val="24"/>
          <w:lang w:eastAsia="en-US"/>
        </w:rPr>
        <w:t>Dunn, D. (2009, 17 August). Northern Territory student attendance 2005 to 2007. Retrieved from:</w:t>
      </w:r>
      <w:r w:rsidRPr="00C37A8B">
        <w:rPr>
          <w:rFonts w:ascii="Times New Roman" w:hAnsi="Times New Roman" w:cs="Times New Roman"/>
          <w:sz w:val="24"/>
          <w:szCs w:val="24"/>
        </w:rPr>
        <w:t xml:space="preserve"> </w:t>
      </w:r>
      <w:hyperlink r:id="rId11" w:history="1">
        <w:r w:rsidRPr="00C37A8B">
          <w:rPr>
            <w:rStyle w:val="Hyperlink"/>
            <w:rFonts w:ascii="Times New Roman" w:hAnsi="Times New Roman" w:cs="Times New Roman"/>
            <w:sz w:val="24"/>
            <w:szCs w:val="24"/>
          </w:rPr>
          <w:t>https://web.archive.org/DET_Student_Attendance_2005_to_2007.pdf</w:t>
        </w:r>
      </w:hyperlink>
      <w:r w:rsidRPr="00C37A8B">
        <w:rPr>
          <w:rFonts w:ascii="Times New Roman" w:hAnsi="Times New Roman" w:cs="Times New Roman"/>
          <w:b/>
          <w:bCs/>
          <w:sz w:val="24"/>
          <w:szCs w:val="24"/>
        </w:rPr>
        <w:t xml:space="preserve"> </w:t>
      </w:r>
    </w:p>
    <w:p w14:paraId="1133D3DA" w14:textId="77777777" w:rsidR="004A4F8C" w:rsidRPr="00C37A8B" w:rsidRDefault="004A4F8C" w:rsidP="002467D9">
      <w:pPr>
        <w:tabs>
          <w:tab w:val="left" w:pos="568"/>
        </w:tabs>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Education Act 2015 (NT). Retrieved from:</w:t>
      </w:r>
      <w:r w:rsidRPr="00C37A8B">
        <w:rPr>
          <w:rFonts w:ascii="Times New Roman" w:hAnsi="Times New Roman" w:cs="Times New Roman"/>
          <w:sz w:val="24"/>
          <w:szCs w:val="24"/>
        </w:rPr>
        <w:t xml:space="preserve"> </w:t>
      </w:r>
      <w:hyperlink r:id="rId12" w:history="1">
        <w:r w:rsidRPr="00C37A8B">
          <w:rPr>
            <w:rStyle w:val="Hyperlink"/>
            <w:rFonts w:ascii="Times New Roman" w:hAnsi="Times New Roman" w:cs="Times New Roman"/>
            <w:sz w:val="24"/>
            <w:szCs w:val="24"/>
          </w:rPr>
          <w:t>https://legislation.nt.gov.au/EDUCATION-ACT-2015</w:t>
        </w:r>
      </w:hyperlink>
    </w:p>
    <w:p w14:paraId="10CFF6ED" w14:textId="77777777" w:rsidR="004A4F8C" w:rsidRPr="00C37A8B" w:rsidRDefault="004A4F8C" w:rsidP="002467D9">
      <w:pPr>
        <w:spacing w:after="0" w:line="480" w:lineRule="auto"/>
        <w:ind w:left="567" w:hanging="567"/>
        <w:rPr>
          <w:rFonts w:ascii="Times New Roman" w:eastAsia="Times New Roman" w:hAnsi="Times New Roman" w:cs="Times New Roman"/>
          <w:sz w:val="24"/>
          <w:szCs w:val="24"/>
          <w:lang w:eastAsia="en-US"/>
        </w:rPr>
      </w:pPr>
      <w:r w:rsidRPr="00C37A8B">
        <w:rPr>
          <w:rFonts w:ascii="Times New Roman" w:eastAsia="Times New Roman" w:hAnsi="Times New Roman" w:cs="Times New Roman"/>
          <w:sz w:val="24"/>
          <w:szCs w:val="24"/>
          <w:lang w:eastAsia="en-US"/>
        </w:rPr>
        <w:t>Ferguson, H. (2018). Families as first teachers in the Northern territory: Helping families and young children to prepare for success at school. Australian Educational Leader, 40(3), 62-65.</w:t>
      </w:r>
    </w:p>
    <w:p w14:paraId="2E854D92" w14:textId="77777777" w:rsidR="004A4F8C" w:rsidRPr="00C37A8B" w:rsidRDefault="004A4F8C" w:rsidP="002467D9">
      <w:pPr>
        <w:spacing w:line="360" w:lineRule="auto"/>
        <w:ind w:left="567" w:hanging="567"/>
        <w:rPr>
          <w:rFonts w:ascii="Times New Roman" w:eastAsiaTheme="minorHAnsi" w:hAnsi="Times New Roman" w:cs="Times New Roman"/>
          <w:sz w:val="24"/>
          <w:szCs w:val="24"/>
          <w:lang w:eastAsia="en-US"/>
        </w:rPr>
      </w:pPr>
      <w:r w:rsidRPr="00C37A8B">
        <w:rPr>
          <w:rFonts w:ascii="Times New Roman" w:eastAsiaTheme="minorHAnsi" w:hAnsi="Times New Roman" w:cs="Times New Roman"/>
          <w:sz w:val="24"/>
          <w:szCs w:val="24"/>
          <w:lang w:eastAsia="en-US"/>
        </w:rPr>
        <w:t>Foreman, P., &amp; Arthur-Kelly, M. (2017). Inclusion in action. Cengage AU.</w:t>
      </w:r>
    </w:p>
    <w:p w14:paraId="2F288809" w14:textId="77777777" w:rsidR="004A4F8C" w:rsidRPr="00C37A8B" w:rsidRDefault="004A4F8C" w:rsidP="002467D9">
      <w:pPr>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Gu, Q., Sammons, P., &amp; Chen, J. (2018). How principals of successful schools enact education policy: Perceptions and accounts from senior and middle leaders. Leadership and Policy in Schools, 17(3), 373-390.</w:t>
      </w:r>
      <w:r w:rsidRPr="00C37A8B">
        <w:rPr>
          <w:rFonts w:ascii="Times New Roman" w:hAnsi="Times New Roman" w:cs="Times New Roman"/>
          <w:color w:val="222222"/>
          <w:sz w:val="24"/>
          <w:szCs w:val="24"/>
          <w:shd w:val="clear" w:color="auto" w:fill="FFFFFF"/>
        </w:rPr>
        <w:t xml:space="preserve"> </w:t>
      </w:r>
      <w:hyperlink r:id="rId13" w:history="1">
        <w:r w:rsidRPr="00C37A8B">
          <w:rPr>
            <w:rStyle w:val="Hyperlink"/>
            <w:rFonts w:ascii="Times New Roman" w:hAnsi="Times New Roman" w:cs="Times New Roman"/>
            <w:sz w:val="24"/>
            <w:szCs w:val="24"/>
          </w:rPr>
          <w:t>doi:10.1080/15700763.2018.149634</w:t>
        </w:r>
      </w:hyperlink>
    </w:p>
    <w:p w14:paraId="26659DA0" w14:textId="5191ABEF" w:rsidR="004A4F8C" w:rsidRPr="00C37A8B" w:rsidRDefault="004A4F8C" w:rsidP="002467D9">
      <w:pPr>
        <w:spacing w:after="0" w:line="480" w:lineRule="auto"/>
        <w:ind w:left="567" w:hanging="567"/>
        <w:rPr>
          <w:rFonts w:ascii="Times New Roman" w:eastAsia="Times New Roman" w:hAnsi="Times New Roman" w:cs="Times New Roman"/>
          <w:sz w:val="24"/>
          <w:szCs w:val="24"/>
          <w:lang w:eastAsia="en-US"/>
        </w:rPr>
      </w:pPr>
      <w:r w:rsidRPr="00C37A8B">
        <w:rPr>
          <w:rFonts w:ascii="Times New Roman" w:eastAsia="Times New Roman" w:hAnsi="Times New Roman" w:cs="Times New Roman"/>
          <w:sz w:val="24"/>
          <w:szCs w:val="24"/>
          <w:lang w:eastAsia="en-US"/>
        </w:rPr>
        <w:lastRenderedPageBreak/>
        <w:t>Guenther, J., &amp; Bat, M. (2013). Towards a good education in very remote Australia: Is it just a case of moving the desks around?. The Australian Journal of Indigenous Education, 42(2), 145-156.</w:t>
      </w:r>
    </w:p>
    <w:p w14:paraId="7F5D0997" w14:textId="3B095C0E" w:rsidR="00672F0F" w:rsidRPr="00C37A8B" w:rsidRDefault="00B83247" w:rsidP="002467D9">
      <w:pPr>
        <w:spacing w:after="0" w:line="480" w:lineRule="auto"/>
        <w:ind w:left="567" w:hanging="567"/>
        <w:rPr>
          <w:rFonts w:ascii="Times New Roman" w:eastAsia="Times New Roman" w:hAnsi="Times New Roman" w:cs="Times New Roman"/>
          <w:sz w:val="24"/>
          <w:szCs w:val="24"/>
          <w:lang w:eastAsia="en-US"/>
        </w:rPr>
      </w:pPr>
      <w:r w:rsidRPr="00C37A8B">
        <w:rPr>
          <w:rFonts w:ascii="Times New Roman" w:eastAsia="Times New Roman" w:hAnsi="Times New Roman" w:cs="Times New Roman"/>
          <w:sz w:val="24"/>
          <w:szCs w:val="24"/>
          <w:lang w:eastAsia="en-US"/>
        </w:rPr>
        <w:t>Hattie, J. (2003). Teachers Make a Difference, What is the research evidence?.</w:t>
      </w:r>
    </w:p>
    <w:p w14:paraId="508EFC29" w14:textId="77777777" w:rsidR="0079786F" w:rsidRPr="00C37A8B" w:rsidRDefault="0079786F" w:rsidP="002467D9">
      <w:pPr>
        <w:spacing w:after="0" w:line="480" w:lineRule="auto"/>
        <w:ind w:left="567" w:hanging="567"/>
        <w:rPr>
          <w:rFonts w:ascii="Times New Roman" w:eastAsia="Times New Roman" w:hAnsi="Times New Roman" w:cs="Times New Roman"/>
          <w:sz w:val="24"/>
          <w:szCs w:val="24"/>
          <w:lang w:eastAsia="en-US"/>
        </w:rPr>
      </w:pPr>
      <w:r w:rsidRPr="00C37A8B">
        <w:rPr>
          <w:rFonts w:ascii="Times New Roman" w:eastAsia="Times New Roman" w:hAnsi="Times New Roman" w:cs="Times New Roman"/>
          <w:sz w:val="24"/>
          <w:szCs w:val="24"/>
          <w:lang w:eastAsia="en-US"/>
        </w:rPr>
        <w:t>Mac Iver, M. A., Epstein, J. L., Sheldon, S. B., &amp; Fonseca, E. (2015). Engaging families to support students' transition to high school: Evidence from the field. The High School Journal, 99(1), 27-45.</w:t>
      </w:r>
    </w:p>
    <w:p w14:paraId="5BFCC633" w14:textId="4FC4EB98" w:rsidR="004A4F8C" w:rsidRPr="00C37A8B" w:rsidRDefault="004A4F8C" w:rsidP="002467D9">
      <w:pPr>
        <w:spacing w:after="0" w:line="480" w:lineRule="auto"/>
        <w:ind w:left="567" w:hanging="567"/>
        <w:rPr>
          <w:rFonts w:ascii="Times New Roman" w:eastAsia="Times New Roman" w:hAnsi="Times New Roman" w:cs="Times New Roman"/>
          <w:sz w:val="24"/>
          <w:szCs w:val="24"/>
          <w:lang w:eastAsia="en-US"/>
        </w:rPr>
      </w:pPr>
      <w:r w:rsidRPr="00C37A8B">
        <w:rPr>
          <w:rFonts w:ascii="Times New Roman" w:eastAsia="Times New Roman" w:hAnsi="Times New Roman" w:cs="Times New Roman"/>
          <w:sz w:val="24"/>
          <w:szCs w:val="24"/>
          <w:lang w:eastAsia="en-US"/>
        </w:rPr>
        <w:t>Palmer, B. (2006). The Introduction of Middle Schools in the Northern Territory: Processes and Reality. Online Submission.</w:t>
      </w:r>
    </w:p>
    <w:p w14:paraId="797F87F3" w14:textId="77777777" w:rsidR="004A4F8C" w:rsidRPr="00C37A8B" w:rsidRDefault="004A4F8C" w:rsidP="002467D9">
      <w:pPr>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Ramsey, G. (2003). Report on future directions for secondary education in the Northern Territory. Darwin, Charles Darwin University and Northern Territory Government. Retrieved from:</w:t>
      </w:r>
      <w:r w:rsidRPr="00C37A8B">
        <w:rPr>
          <w:rFonts w:ascii="Times New Roman" w:hAnsi="Times New Roman" w:cs="Times New Roman"/>
          <w:sz w:val="24"/>
          <w:szCs w:val="24"/>
        </w:rPr>
        <w:t xml:space="preserve"> </w:t>
      </w:r>
      <w:hyperlink r:id="rId14" w:history="1">
        <w:r w:rsidRPr="00C37A8B">
          <w:rPr>
            <w:rStyle w:val="Hyperlink"/>
            <w:rFonts w:ascii="Times New Roman" w:hAnsi="Times New Roman" w:cs="Times New Roman"/>
            <w:sz w:val="24"/>
            <w:szCs w:val="24"/>
          </w:rPr>
          <w:t>http://hdl.voced.edu.au/10707/141240</w:t>
        </w:r>
      </w:hyperlink>
      <w:r w:rsidRPr="00C37A8B">
        <w:rPr>
          <w:rStyle w:val="Hyperlink"/>
          <w:rFonts w:ascii="Times New Roman" w:hAnsi="Times New Roman" w:cs="Times New Roman"/>
          <w:sz w:val="24"/>
          <w:szCs w:val="24"/>
        </w:rPr>
        <w:t xml:space="preserve"> </w:t>
      </w:r>
    </w:p>
    <w:p w14:paraId="36634827" w14:textId="47197758" w:rsidR="004A4F8C" w:rsidRPr="00C37A8B" w:rsidRDefault="004A4F8C" w:rsidP="002467D9">
      <w:pPr>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Reid, K. (2006). The views of education social workers on the management of truancy and other forms of non-attendance. Research in Education, 75(1), 40-57.</w:t>
      </w:r>
      <w:r w:rsidR="00F2567D" w:rsidRPr="00C37A8B">
        <w:rPr>
          <w:rFonts w:ascii="Times New Roman" w:hAnsi="Times New Roman" w:cs="Times New Roman"/>
          <w:color w:val="222222"/>
          <w:sz w:val="24"/>
          <w:szCs w:val="24"/>
          <w:shd w:val="clear" w:color="auto" w:fill="FFFFFF"/>
        </w:rPr>
        <w:t xml:space="preserve"> </w:t>
      </w:r>
      <w:hyperlink r:id="rId15" w:history="1">
        <w:r w:rsidR="00F2567D" w:rsidRPr="00C37A8B">
          <w:rPr>
            <w:rStyle w:val="Hyperlink"/>
            <w:rFonts w:ascii="Times New Roman" w:hAnsi="Times New Roman" w:cs="Times New Roman"/>
            <w:sz w:val="24"/>
            <w:szCs w:val="24"/>
          </w:rPr>
          <w:t>https://doi.org/10.7227%2FRIE.75.4</w:t>
        </w:r>
      </w:hyperlink>
      <w:r w:rsidR="00F2567D" w:rsidRPr="00C37A8B">
        <w:rPr>
          <w:rStyle w:val="Hyperlink"/>
          <w:rFonts w:ascii="Times New Roman" w:hAnsi="Times New Roman" w:cs="Times New Roman"/>
          <w:sz w:val="24"/>
          <w:szCs w:val="24"/>
        </w:rPr>
        <w:t xml:space="preserve"> </w:t>
      </w:r>
    </w:p>
    <w:p w14:paraId="2ACBB02A" w14:textId="7F15B8BC" w:rsidR="00E75B41" w:rsidRPr="00C37A8B" w:rsidRDefault="00E75B41" w:rsidP="002467D9">
      <w:pPr>
        <w:spacing w:after="0" w:line="480" w:lineRule="auto"/>
        <w:ind w:left="567" w:hanging="567"/>
        <w:rPr>
          <w:rStyle w:val="Hyperlink"/>
          <w:rFonts w:ascii="Times New Roman" w:hAnsi="Times New Roman" w:cs="Times New Roman"/>
          <w:sz w:val="24"/>
          <w:szCs w:val="24"/>
        </w:rPr>
      </w:pPr>
      <w:r w:rsidRPr="00C37A8B">
        <w:rPr>
          <w:rFonts w:ascii="Times New Roman" w:eastAsia="Times New Roman" w:hAnsi="Times New Roman" w:cs="Times New Roman"/>
          <w:sz w:val="24"/>
          <w:szCs w:val="24"/>
          <w:lang w:eastAsia="en-US"/>
        </w:rPr>
        <w:t>Reid, K. (2008). The causes of non‐attendance: An empirical study. Educational Review, 60(4), 345-357.</w:t>
      </w:r>
      <w:r w:rsidR="00E41916" w:rsidRPr="00C37A8B">
        <w:rPr>
          <w:rFonts w:ascii="Times New Roman" w:hAnsi="Times New Roman" w:cs="Times New Roman"/>
          <w:color w:val="222222"/>
          <w:sz w:val="24"/>
          <w:szCs w:val="24"/>
          <w:shd w:val="clear" w:color="auto" w:fill="FFFFFF"/>
        </w:rPr>
        <w:t xml:space="preserve"> </w:t>
      </w:r>
      <w:hyperlink r:id="rId16" w:history="1">
        <w:r w:rsidR="00E41916" w:rsidRPr="00C37A8B">
          <w:rPr>
            <w:rStyle w:val="Hyperlink"/>
            <w:rFonts w:ascii="Times New Roman" w:hAnsi="Times New Roman" w:cs="Times New Roman"/>
            <w:sz w:val="24"/>
            <w:szCs w:val="24"/>
          </w:rPr>
          <w:t>https://doi.org/10.1080/00131910802393381</w:t>
        </w:r>
      </w:hyperlink>
      <w:r w:rsidR="00E41916" w:rsidRPr="00C37A8B">
        <w:rPr>
          <w:rStyle w:val="Hyperlink"/>
          <w:rFonts w:ascii="Times New Roman" w:hAnsi="Times New Roman" w:cs="Times New Roman"/>
          <w:sz w:val="24"/>
          <w:szCs w:val="24"/>
        </w:rPr>
        <w:t xml:space="preserve"> </w:t>
      </w:r>
    </w:p>
    <w:p w14:paraId="37248376" w14:textId="49043198" w:rsidR="004A4F8C" w:rsidRPr="00C37A8B" w:rsidRDefault="004A4F8C" w:rsidP="002467D9">
      <w:pPr>
        <w:spacing w:after="0" w:line="480" w:lineRule="auto"/>
        <w:ind w:left="567" w:hanging="567"/>
        <w:rPr>
          <w:rFonts w:ascii="Times New Roman" w:hAnsi="Times New Roman" w:cs="Times New Roman"/>
          <w:color w:val="222222"/>
          <w:sz w:val="24"/>
          <w:szCs w:val="24"/>
          <w:shd w:val="clear" w:color="auto" w:fill="FFFFFF"/>
        </w:rPr>
      </w:pPr>
      <w:r w:rsidRPr="00C37A8B">
        <w:rPr>
          <w:rFonts w:ascii="Times New Roman" w:eastAsia="Times New Roman" w:hAnsi="Times New Roman" w:cs="Times New Roman"/>
          <w:sz w:val="24"/>
          <w:szCs w:val="24"/>
          <w:lang w:eastAsia="en-US"/>
        </w:rPr>
        <w:t>Wilson, B. (2014). Review of Indigenous education in the Northern Territory: draft report. Northern Territory Department of Education. Retrieved from:</w:t>
      </w:r>
      <w:r w:rsidR="0079786F" w:rsidRPr="00C37A8B">
        <w:rPr>
          <w:rFonts w:ascii="Times New Roman" w:hAnsi="Times New Roman" w:cs="Times New Roman"/>
          <w:sz w:val="24"/>
          <w:szCs w:val="24"/>
        </w:rPr>
        <w:t xml:space="preserve"> </w:t>
      </w:r>
      <w:hyperlink r:id="rId17" w:history="1">
        <w:r w:rsidR="0079786F" w:rsidRPr="00C37A8B">
          <w:rPr>
            <w:rStyle w:val="Hyperlink"/>
            <w:rFonts w:ascii="Times New Roman" w:hAnsi="Times New Roman" w:cs="Times New Roman"/>
            <w:sz w:val="24"/>
            <w:szCs w:val="24"/>
          </w:rPr>
          <w:t>https://www.nt.gov.au/A-Share-in-the-Future-The-Review-of-Indigenous-Education</w:t>
        </w:r>
      </w:hyperlink>
      <w:r w:rsidRPr="00C37A8B">
        <w:rPr>
          <w:rFonts w:ascii="Times New Roman" w:hAnsi="Times New Roman" w:cs="Times New Roman"/>
          <w:color w:val="222222"/>
          <w:sz w:val="24"/>
          <w:szCs w:val="24"/>
          <w:shd w:val="clear" w:color="auto" w:fill="FFFFFF"/>
        </w:rPr>
        <w:t xml:space="preserve"> </w:t>
      </w:r>
    </w:p>
    <w:p w14:paraId="1DE6DA5A" w14:textId="02D6109A" w:rsidR="004A4F8C" w:rsidRPr="00C37A8B" w:rsidRDefault="004A4F8C" w:rsidP="002467D9">
      <w:pPr>
        <w:spacing w:after="0" w:line="480" w:lineRule="auto"/>
        <w:ind w:left="567" w:hanging="567"/>
        <w:rPr>
          <w:rFonts w:ascii="Times New Roman" w:eastAsia="Times New Roman" w:hAnsi="Times New Roman" w:cs="Times New Roman"/>
          <w:sz w:val="24"/>
          <w:szCs w:val="24"/>
          <w:lang w:eastAsia="en-US"/>
        </w:rPr>
      </w:pPr>
      <w:r w:rsidRPr="00C37A8B">
        <w:rPr>
          <w:rFonts w:ascii="Times New Roman" w:eastAsia="Times New Roman" w:hAnsi="Times New Roman" w:cs="Times New Roman"/>
          <w:sz w:val="24"/>
          <w:szCs w:val="24"/>
          <w:lang w:eastAsia="en-US"/>
        </w:rPr>
        <w:t>Yecke, C. (2006). Mayhem in the Middle: Why We Should Shift Middle to K-8. Educational Leadership, 63(7), 20-25.</w:t>
      </w:r>
    </w:p>
    <w:p w14:paraId="46741594" w14:textId="4F532F07" w:rsidR="004A4F8C" w:rsidRPr="00C37A8B" w:rsidRDefault="004A4F8C" w:rsidP="002467D9">
      <w:pPr>
        <w:spacing w:after="0" w:line="480" w:lineRule="auto"/>
        <w:ind w:left="567" w:hanging="567"/>
        <w:rPr>
          <w:rStyle w:val="Hyperlink"/>
          <w:rFonts w:ascii="Times New Roman" w:hAnsi="Times New Roman" w:cs="Times New Roman"/>
          <w:sz w:val="24"/>
          <w:szCs w:val="24"/>
          <w:shd w:val="clear" w:color="auto" w:fill="FFFFFF"/>
        </w:rPr>
      </w:pPr>
      <w:r w:rsidRPr="00C37A8B">
        <w:rPr>
          <w:rFonts w:ascii="Times New Roman" w:eastAsia="Times New Roman" w:hAnsi="Times New Roman" w:cs="Times New Roman"/>
          <w:sz w:val="24"/>
          <w:szCs w:val="24"/>
          <w:lang w:eastAsia="en-US"/>
        </w:rPr>
        <w:t>Youth Justice Act 2005 (NT). Retrieved from:</w:t>
      </w:r>
      <w:r w:rsidRPr="00C37A8B">
        <w:rPr>
          <w:rFonts w:ascii="Times New Roman" w:hAnsi="Times New Roman" w:cs="Times New Roman"/>
          <w:color w:val="222222"/>
          <w:sz w:val="24"/>
          <w:szCs w:val="24"/>
          <w:shd w:val="clear" w:color="auto" w:fill="FFFFFF"/>
        </w:rPr>
        <w:t xml:space="preserve"> </w:t>
      </w:r>
      <w:hyperlink r:id="rId18" w:history="1">
        <w:r w:rsidR="0079786F" w:rsidRPr="00C37A8B">
          <w:rPr>
            <w:rStyle w:val="Hyperlink"/>
            <w:rFonts w:ascii="Times New Roman" w:hAnsi="Times New Roman" w:cs="Times New Roman"/>
            <w:sz w:val="24"/>
            <w:szCs w:val="24"/>
          </w:rPr>
          <w:t>https://legislation.nt.gov.au/YOUTH-JUSTICE-ACT-2005</w:t>
        </w:r>
      </w:hyperlink>
    </w:p>
    <w:p w14:paraId="3CB2AC09" w14:textId="37CE25E2" w:rsidR="00502BED" w:rsidRPr="00C37A8B" w:rsidRDefault="00A427D2" w:rsidP="002467D9">
      <w:pPr>
        <w:spacing w:after="0" w:line="480" w:lineRule="auto"/>
        <w:ind w:left="567" w:hanging="567"/>
        <w:rPr>
          <w:rFonts w:ascii="Times New Roman" w:hAnsi="Times New Roman" w:cs="Times New Roman"/>
          <w:color w:val="222222"/>
          <w:sz w:val="24"/>
          <w:szCs w:val="24"/>
          <w:shd w:val="clear" w:color="auto" w:fill="FFFFFF"/>
        </w:rPr>
      </w:pPr>
      <w:r w:rsidRPr="00C37A8B">
        <w:rPr>
          <w:rFonts w:ascii="Times New Roman" w:eastAsia="Times New Roman" w:hAnsi="Times New Roman" w:cs="Times New Roman"/>
          <w:sz w:val="24"/>
          <w:szCs w:val="24"/>
          <w:lang w:eastAsia="en-US"/>
        </w:rPr>
        <w:t>Zbar, V. (2014). WORK LIKE THE BEST Review of middle schooling in the Northern Territory. Melbourne, VIC: Zbar Consulting.</w:t>
      </w:r>
      <w:r w:rsidR="00502BED" w:rsidRPr="00C37A8B">
        <w:rPr>
          <w:rFonts w:ascii="Times New Roman" w:eastAsia="Times New Roman" w:hAnsi="Times New Roman" w:cs="Times New Roman"/>
          <w:sz w:val="24"/>
          <w:szCs w:val="24"/>
          <w:lang w:eastAsia="en-US"/>
        </w:rPr>
        <w:t xml:space="preserve"> </w:t>
      </w:r>
      <w:r w:rsidR="0046204F" w:rsidRPr="00C37A8B">
        <w:rPr>
          <w:rFonts w:ascii="Times New Roman" w:eastAsia="Times New Roman" w:hAnsi="Times New Roman" w:cs="Times New Roman"/>
          <w:sz w:val="24"/>
          <w:szCs w:val="24"/>
          <w:lang w:eastAsia="en-US"/>
        </w:rPr>
        <w:t>Retrieved from:</w:t>
      </w:r>
      <w:r w:rsidR="0046204F" w:rsidRPr="00C37A8B">
        <w:rPr>
          <w:rFonts w:ascii="Times New Roman" w:hAnsi="Times New Roman" w:cs="Times New Roman"/>
          <w:color w:val="222222"/>
          <w:sz w:val="24"/>
          <w:szCs w:val="24"/>
          <w:shd w:val="clear" w:color="auto" w:fill="FFFFFF"/>
        </w:rPr>
        <w:t xml:space="preserve"> </w:t>
      </w:r>
      <w:hyperlink r:id="rId19" w:history="1">
        <w:r w:rsidR="0079786F" w:rsidRPr="00C37A8B">
          <w:rPr>
            <w:rStyle w:val="Hyperlink"/>
            <w:rFonts w:ascii="Times New Roman" w:hAnsi="Times New Roman" w:cs="Times New Roman"/>
            <w:sz w:val="24"/>
            <w:szCs w:val="24"/>
          </w:rPr>
          <w:t>https://www.nt.gov.au/Review-of-Middle-Years-Schooling-in-the-Northern-Territory</w:t>
        </w:r>
      </w:hyperlink>
      <w:r w:rsidR="0046204F" w:rsidRPr="00C37A8B">
        <w:rPr>
          <w:rStyle w:val="Hyperlink"/>
          <w:rFonts w:ascii="Times New Roman" w:hAnsi="Times New Roman" w:cs="Times New Roman"/>
          <w:sz w:val="24"/>
          <w:szCs w:val="24"/>
        </w:rPr>
        <w:t xml:space="preserve"> </w:t>
      </w:r>
    </w:p>
    <w:p w14:paraId="2259E30C" w14:textId="6EB4F17E" w:rsidR="00C45D93" w:rsidRPr="005124CE" w:rsidRDefault="00C45D93" w:rsidP="00A427D2">
      <w:pPr>
        <w:spacing w:after="0" w:line="480" w:lineRule="auto"/>
        <w:rPr>
          <w:rFonts w:ascii="Times New Roman" w:hAnsi="Times New Roman" w:cs="Times New Roman"/>
          <w:color w:val="222222"/>
          <w:sz w:val="20"/>
          <w:szCs w:val="20"/>
          <w:shd w:val="clear" w:color="auto" w:fill="FFFFFF"/>
        </w:rPr>
      </w:pPr>
    </w:p>
    <w:p w14:paraId="51CEF9D5" w14:textId="0C533BCB" w:rsidR="00D17FDF" w:rsidRPr="005124CE" w:rsidRDefault="00D17FDF" w:rsidP="00A427D2">
      <w:pPr>
        <w:spacing w:after="0" w:line="480" w:lineRule="auto"/>
        <w:rPr>
          <w:rFonts w:ascii="Times New Roman" w:hAnsi="Times New Roman" w:cs="Times New Roman"/>
          <w:color w:val="222222"/>
          <w:sz w:val="20"/>
          <w:szCs w:val="20"/>
          <w:shd w:val="clear" w:color="auto" w:fill="FFFFFF"/>
        </w:rPr>
      </w:pPr>
    </w:p>
    <w:sectPr w:rsidR="00D17FDF" w:rsidRPr="005124CE" w:rsidSect="0091316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DB41" w14:textId="77777777" w:rsidR="006A1B08" w:rsidRDefault="006A1B08" w:rsidP="00D51290">
      <w:pPr>
        <w:spacing w:after="0" w:line="240" w:lineRule="auto"/>
      </w:pPr>
      <w:r>
        <w:separator/>
      </w:r>
    </w:p>
  </w:endnote>
  <w:endnote w:type="continuationSeparator" w:id="0">
    <w:p w14:paraId="65E8B208" w14:textId="77777777" w:rsidR="006A1B08" w:rsidRDefault="006A1B08" w:rsidP="00D5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525D" w14:textId="77777777" w:rsidR="006A1B08" w:rsidRDefault="006A1B08" w:rsidP="00D51290">
      <w:pPr>
        <w:spacing w:after="0" w:line="240" w:lineRule="auto"/>
      </w:pPr>
      <w:r>
        <w:separator/>
      </w:r>
    </w:p>
  </w:footnote>
  <w:footnote w:type="continuationSeparator" w:id="0">
    <w:p w14:paraId="3F9688C8" w14:textId="77777777" w:rsidR="006A1B08" w:rsidRDefault="006A1B08" w:rsidP="00D51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C3A8C"/>
    <w:multiLevelType w:val="hybridMultilevel"/>
    <w:tmpl w:val="AAB0D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6D1893"/>
    <w:multiLevelType w:val="hybridMultilevel"/>
    <w:tmpl w:val="CEA2B0E0"/>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2" w15:restartNumberingAfterBreak="0">
    <w:nsid w:val="4100549F"/>
    <w:multiLevelType w:val="hybridMultilevel"/>
    <w:tmpl w:val="4B30CEB0"/>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3" w15:restartNumberingAfterBreak="0">
    <w:nsid w:val="46921761"/>
    <w:multiLevelType w:val="hybridMultilevel"/>
    <w:tmpl w:val="0D2ED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9862E5"/>
    <w:multiLevelType w:val="hybridMultilevel"/>
    <w:tmpl w:val="FE082AAA"/>
    <w:lvl w:ilvl="0" w:tplc="EF38D90A">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5" w15:restartNumberingAfterBreak="0">
    <w:nsid w:val="72866130"/>
    <w:multiLevelType w:val="hybridMultilevel"/>
    <w:tmpl w:val="71B49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36351183">
    <w:abstractNumId w:val="4"/>
  </w:num>
  <w:num w:numId="2" w16cid:durableId="1174421454">
    <w:abstractNumId w:val="5"/>
  </w:num>
  <w:num w:numId="3" w16cid:durableId="272904163">
    <w:abstractNumId w:val="3"/>
  </w:num>
  <w:num w:numId="4" w16cid:durableId="1377896879">
    <w:abstractNumId w:val="0"/>
  </w:num>
  <w:num w:numId="5" w16cid:durableId="772551203">
    <w:abstractNumId w:val="1"/>
  </w:num>
  <w:num w:numId="6" w16cid:durableId="1846238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40"/>
    <w:rsid w:val="00000D20"/>
    <w:rsid w:val="00006F62"/>
    <w:rsid w:val="00011427"/>
    <w:rsid w:val="00012783"/>
    <w:rsid w:val="00013C4F"/>
    <w:rsid w:val="0001678C"/>
    <w:rsid w:val="00020501"/>
    <w:rsid w:val="00020D14"/>
    <w:rsid w:val="00021E79"/>
    <w:rsid w:val="000229A8"/>
    <w:rsid w:val="00022D21"/>
    <w:rsid w:val="000301FB"/>
    <w:rsid w:val="000361E3"/>
    <w:rsid w:val="00036E64"/>
    <w:rsid w:val="0004122C"/>
    <w:rsid w:val="0004202A"/>
    <w:rsid w:val="000429C6"/>
    <w:rsid w:val="000525A8"/>
    <w:rsid w:val="0005774E"/>
    <w:rsid w:val="000619CD"/>
    <w:rsid w:val="00061C03"/>
    <w:rsid w:val="00065556"/>
    <w:rsid w:val="00066347"/>
    <w:rsid w:val="00071C6F"/>
    <w:rsid w:val="00073995"/>
    <w:rsid w:val="0008004F"/>
    <w:rsid w:val="000801DE"/>
    <w:rsid w:val="00083AF0"/>
    <w:rsid w:val="00083AF6"/>
    <w:rsid w:val="00083E69"/>
    <w:rsid w:val="00085AF7"/>
    <w:rsid w:val="00086FB4"/>
    <w:rsid w:val="0008740B"/>
    <w:rsid w:val="00087F3D"/>
    <w:rsid w:val="000906C1"/>
    <w:rsid w:val="00093BB2"/>
    <w:rsid w:val="000949B4"/>
    <w:rsid w:val="00096E52"/>
    <w:rsid w:val="000A0435"/>
    <w:rsid w:val="000A1962"/>
    <w:rsid w:val="000A1B8F"/>
    <w:rsid w:val="000A2CD0"/>
    <w:rsid w:val="000A4A6C"/>
    <w:rsid w:val="000A7AB7"/>
    <w:rsid w:val="000B0361"/>
    <w:rsid w:val="000B0A94"/>
    <w:rsid w:val="000B3A22"/>
    <w:rsid w:val="000B48BE"/>
    <w:rsid w:val="000B6DDA"/>
    <w:rsid w:val="000C0C32"/>
    <w:rsid w:val="000C0FF1"/>
    <w:rsid w:val="000C75EB"/>
    <w:rsid w:val="000C7CB8"/>
    <w:rsid w:val="000D0F57"/>
    <w:rsid w:val="000D3143"/>
    <w:rsid w:val="000E15BF"/>
    <w:rsid w:val="000E3CC3"/>
    <w:rsid w:val="000E49E1"/>
    <w:rsid w:val="000E5409"/>
    <w:rsid w:val="000F234B"/>
    <w:rsid w:val="000F4D29"/>
    <w:rsid w:val="000F5F78"/>
    <w:rsid w:val="000F77D3"/>
    <w:rsid w:val="001057E8"/>
    <w:rsid w:val="0011181C"/>
    <w:rsid w:val="0011198F"/>
    <w:rsid w:val="001119F5"/>
    <w:rsid w:val="00115098"/>
    <w:rsid w:val="00126FCF"/>
    <w:rsid w:val="00127055"/>
    <w:rsid w:val="00130C6D"/>
    <w:rsid w:val="001318D9"/>
    <w:rsid w:val="00136692"/>
    <w:rsid w:val="001371C5"/>
    <w:rsid w:val="00137F30"/>
    <w:rsid w:val="001446AF"/>
    <w:rsid w:val="00150813"/>
    <w:rsid w:val="0015148B"/>
    <w:rsid w:val="00154862"/>
    <w:rsid w:val="00155E5C"/>
    <w:rsid w:val="001612C6"/>
    <w:rsid w:val="0016144A"/>
    <w:rsid w:val="0016355E"/>
    <w:rsid w:val="0016471E"/>
    <w:rsid w:val="00165B2E"/>
    <w:rsid w:val="00170476"/>
    <w:rsid w:val="00170C46"/>
    <w:rsid w:val="001745A5"/>
    <w:rsid w:val="001772A1"/>
    <w:rsid w:val="0018411B"/>
    <w:rsid w:val="001849CC"/>
    <w:rsid w:val="00191003"/>
    <w:rsid w:val="00194C42"/>
    <w:rsid w:val="0019520C"/>
    <w:rsid w:val="00195877"/>
    <w:rsid w:val="001A0406"/>
    <w:rsid w:val="001A2C3F"/>
    <w:rsid w:val="001A6C5D"/>
    <w:rsid w:val="001A7906"/>
    <w:rsid w:val="001B1422"/>
    <w:rsid w:val="001B16E0"/>
    <w:rsid w:val="001B1776"/>
    <w:rsid w:val="001B1D95"/>
    <w:rsid w:val="001B541B"/>
    <w:rsid w:val="001B5579"/>
    <w:rsid w:val="001C067E"/>
    <w:rsid w:val="001C18F2"/>
    <w:rsid w:val="001D2EA2"/>
    <w:rsid w:val="001D2F81"/>
    <w:rsid w:val="001D7191"/>
    <w:rsid w:val="001E1891"/>
    <w:rsid w:val="001E375E"/>
    <w:rsid w:val="001E5BD5"/>
    <w:rsid w:val="001F19E2"/>
    <w:rsid w:val="001F2CA2"/>
    <w:rsid w:val="001F312C"/>
    <w:rsid w:val="001F4B49"/>
    <w:rsid w:val="001F5772"/>
    <w:rsid w:val="0020102B"/>
    <w:rsid w:val="00204C80"/>
    <w:rsid w:val="0020610B"/>
    <w:rsid w:val="002100B9"/>
    <w:rsid w:val="002101C6"/>
    <w:rsid w:val="00210DEE"/>
    <w:rsid w:val="002125C4"/>
    <w:rsid w:val="002127F4"/>
    <w:rsid w:val="002143D5"/>
    <w:rsid w:val="00214FA1"/>
    <w:rsid w:val="002201A8"/>
    <w:rsid w:val="002216B5"/>
    <w:rsid w:val="00223052"/>
    <w:rsid w:val="0022461C"/>
    <w:rsid w:val="00224FBE"/>
    <w:rsid w:val="00227518"/>
    <w:rsid w:val="002324B6"/>
    <w:rsid w:val="002362CD"/>
    <w:rsid w:val="00236DF4"/>
    <w:rsid w:val="00240DB5"/>
    <w:rsid w:val="00244F57"/>
    <w:rsid w:val="002467D9"/>
    <w:rsid w:val="00251E10"/>
    <w:rsid w:val="00252AE7"/>
    <w:rsid w:val="00255391"/>
    <w:rsid w:val="00256AD2"/>
    <w:rsid w:val="00260978"/>
    <w:rsid w:val="00263F35"/>
    <w:rsid w:val="00266ECD"/>
    <w:rsid w:val="002672AE"/>
    <w:rsid w:val="00270B85"/>
    <w:rsid w:val="002742C6"/>
    <w:rsid w:val="00274BDC"/>
    <w:rsid w:val="00276274"/>
    <w:rsid w:val="002765FE"/>
    <w:rsid w:val="00280E98"/>
    <w:rsid w:val="0028227E"/>
    <w:rsid w:val="00291B2A"/>
    <w:rsid w:val="00293C2D"/>
    <w:rsid w:val="00293E5D"/>
    <w:rsid w:val="00294745"/>
    <w:rsid w:val="0029566F"/>
    <w:rsid w:val="002959C3"/>
    <w:rsid w:val="0029639A"/>
    <w:rsid w:val="002976DD"/>
    <w:rsid w:val="002A116B"/>
    <w:rsid w:val="002A4816"/>
    <w:rsid w:val="002A6858"/>
    <w:rsid w:val="002B4DA4"/>
    <w:rsid w:val="002B53E9"/>
    <w:rsid w:val="002B69A0"/>
    <w:rsid w:val="002B7C5D"/>
    <w:rsid w:val="002C1BD4"/>
    <w:rsid w:val="002C33A9"/>
    <w:rsid w:val="002C4275"/>
    <w:rsid w:val="002D00D3"/>
    <w:rsid w:val="002D397C"/>
    <w:rsid w:val="002D536B"/>
    <w:rsid w:val="002E3B41"/>
    <w:rsid w:val="002E4BA1"/>
    <w:rsid w:val="002E579F"/>
    <w:rsid w:val="002E6031"/>
    <w:rsid w:val="002E6128"/>
    <w:rsid w:val="002F2023"/>
    <w:rsid w:val="002F7569"/>
    <w:rsid w:val="00300410"/>
    <w:rsid w:val="00302617"/>
    <w:rsid w:val="00302C9F"/>
    <w:rsid w:val="003037D0"/>
    <w:rsid w:val="00306074"/>
    <w:rsid w:val="00306C53"/>
    <w:rsid w:val="00307061"/>
    <w:rsid w:val="00307182"/>
    <w:rsid w:val="00312205"/>
    <w:rsid w:val="003153B0"/>
    <w:rsid w:val="00321D97"/>
    <w:rsid w:val="00325739"/>
    <w:rsid w:val="003264E9"/>
    <w:rsid w:val="00331108"/>
    <w:rsid w:val="00334B81"/>
    <w:rsid w:val="00336A1A"/>
    <w:rsid w:val="00337763"/>
    <w:rsid w:val="00345CFC"/>
    <w:rsid w:val="00345F58"/>
    <w:rsid w:val="003478E8"/>
    <w:rsid w:val="003501DF"/>
    <w:rsid w:val="003520C7"/>
    <w:rsid w:val="00352C55"/>
    <w:rsid w:val="003539F6"/>
    <w:rsid w:val="00356DAC"/>
    <w:rsid w:val="003573E2"/>
    <w:rsid w:val="00357C81"/>
    <w:rsid w:val="00362AEC"/>
    <w:rsid w:val="0036348F"/>
    <w:rsid w:val="0036372E"/>
    <w:rsid w:val="00376CF1"/>
    <w:rsid w:val="003807A2"/>
    <w:rsid w:val="00381EFD"/>
    <w:rsid w:val="00382645"/>
    <w:rsid w:val="00390957"/>
    <w:rsid w:val="00391B89"/>
    <w:rsid w:val="00392454"/>
    <w:rsid w:val="0039410E"/>
    <w:rsid w:val="0039484E"/>
    <w:rsid w:val="003A1177"/>
    <w:rsid w:val="003A2B2C"/>
    <w:rsid w:val="003A3948"/>
    <w:rsid w:val="003A521A"/>
    <w:rsid w:val="003A7A63"/>
    <w:rsid w:val="003B23CC"/>
    <w:rsid w:val="003B40FD"/>
    <w:rsid w:val="003B6948"/>
    <w:rsid w:val="003C345E"/>
    <w:rsid w:val="003C73A4"/>
    <w:rsid w:val="003D1791"/>
    <w:rsid w:val="003D1931"/>
    <w:rsid w:val="003D362A"/>
    <w:rsid w:val="003D6217"/>
    <w:rsid w:val="003D7068"/>
    <w:rsid w:val="003D7E94"/>
    <w:rsid w:val="003E01E8"/>
    <w:rsid w:val="003E174B"/>
    <w:rsid w:val="003E1E6C"/>
    <w:rsid w:val="003F0CD9"/>
    <w:rsid w:val="003F1EA0"/>
    <w:rsid w:val="003F37D1"/>
    <w:rsid w:val="003F47D9"/>
    <w:rsid w:val="004026E3"/>
    <w:rsid w:val="00402E1F"/>
    <w:rsid w:val="0040408F"/>
    <w:rsid w:val="00414DD2"/>
    <w:rsid w:val="00415839"/>
    <w:rsid w:val="0041786F"/>
    <w:rsid w:val="00420B07"/>
    <w:rsid w:val="004218F7"/>
    <w:rsid w:val="004234BD"/>
    <w:rsid w:val="00424E13"/>
    <w:rsid w:val="00431335"/>
    <w:rsid w:val="00433EE0"/>
    <w:rsid w:val="00436506"/>
    <w:rsid w:val="004404EB"/>
    <w:rsid w:val="0044098C"/>
    <w:rsid w:val="004416DD"/>
    <w:rsid w:val="0045265E"/>
    <w:rsid w:val="00453625"/>
    <w:rsid w:val="00454460"/>
    <w:rsid w:val="00455F4A"/>
    <w:rsid w:val="00455FDD"/>
    <w:rsid w:val="00457043"/>
    <w:rsid w:val="004570EB"/>
    <w:rsid w:val="00460002"/>
    <w:rsid w:val="0046204F"/>
    <w:rsid w:val="004639C1"/>
    <w:rsid w:val="004677BB"/>
    <w:rsid w:val="00471042"/>
    <w:rsid w:val="004712AC"/>
    <w:rsid w:val="0047475C"/>
    <w:rsid w:val="0047483F"/>
    <w:rsid w:val="00477EC6"/>
    <w:rsid w:val="0048008D"/>
    <w:rsid w:val="00480506"/>
    <w:rsid w:val="00490B04"/>
    <w:rsid w:val="00491F91"/>
    <w:rsid w:val="004924F0"/>
    <w:rsid w:val="00492F52"/>
    <w:rsid w:val="00493057"/>
    <w:rsid w:val="00493198"/>
    <w:rsid w:val="00497CB5"/>
    <w:rsid w:val="004A4325"/>
    <w:rsid w:val="004A4F8C"/>
    <w:rsid w:val="004A59BA"/>
    <w:rsid w:val="004A6155"/>
    <w:rsid w:val="004A6560"/>
    <w:rsid w:val="004A79E9"/>
    <w:rsid w:val="004C015C"/>
    <w:rsid w:val="004C303D"/>
    <w:rsid w:val="004C3D06"/>
    <w:rsid w:val="004D1006"/>
    <w:rsid w:val="004E09B2"/>
    <w:rsid w:val="004E0D75"/>
    <w:rsid w:val="004E58DB"/>
    <w:rsid w:val="004E6390"/>
    <w:rsid w:val="004F155A"/>
    <w:rsid w:val="004F15C9"/>
    <w:rsid w:val="004F2C73"/>
    <w:rsid w:val="004F2FA2"/>
    <w:rsid w:val="004F3DC8"/>
    <w:rsid w:val="004F5CE6"/>
    <w:rsid w:val="004F5D51"/>
    <w:rsid w:val="004F6852"/>
    <w:rsid w:val="005006CF"/>
    <w:rsid w:val="00500A5B"/>
    <w:rsid w:val="00502BED"/>
    <w:rsid w:val="005124CE"/>
    <w:rsid w:val="005168FF"/>
    <w:rsid w:val="0051715A"/>
    <w:rsid w:val="00520E94"/>
    <w:rsid w:val="005221AD"/>
    <w:rsid w:val="0052242D"/>
    <w:rsid w:val="0052430C"/>
    <w:rsid w:val="00524738"/>
    <w:rsid w:val="0052514F"/>
    <w:rsid w:val="00526BE4"/>
    <w:rsid w:val="00530B2A"/>
    <w:rsid w:val="0053471F"/>
    <w:rsid w:val="0053640B"/>
    <w:rsid w:val="00536468"/>
    <w:rsid w:val="00540AB6"/>
    <w:rsid w:val="00541D58"/>
    <w:rsid w:val="00542DE8"/>
    <w:rsid w:val="00543069"/>
    <w:rsid w:val="00543BC1"/>
    <w:rsid w:val="005521A0"/>
    <w:rsid w:val="00552906"/>
    <w:rsid w:val="005548B4"/>
    <w:rsid w:val="00555609"/>
    <w:rsid w:val="005644DB"/>
    <w:rsid w:val="005647DD"/>
    <w:rsid w:val="005705B1"/>
    <w:rsid w:val="00575747"/>
    <w:rsid w:val="00583980"/>
    <w:rsid w:val="00584630"/>
    <w:rsid w:val="00584686"/>
    <w:rsid w:val="0058531B"/>
    <w:rsid w:val="00585789"/>
    <w:rsid w:val="005914FD"/>
    <w:rsid w:val="005927F6"/>
    <w:rsid w:val="005930F7"/>
    <w:rsid w:val="005932A4"/>
    <w:rsid w:val="005A28D0"/>
    <w:rsid w:val="005A6EEE"/>
    <w:rsid w:val="005B0DBC"/>
    <w:rsid w:val="005B411F"/>
    <w:rsid w:val="005B59B4"/>
    <w:rsid w:val="005C1EA4"/>
    <w:rsid w:val="005C79C1"/>
    <w:rsid w:val="005D0700"/>
    <w:rsid w:val="005D0834"/>
    <w:rsid w:val="005D610A"/>
    <w:rsid w:val="005E095D"/>
    <w:rsid w:val="005E33B5"/>
    <w:rsid w:val="005E70E7"/>
    <w:rsid w:val="005F1B4E"/>
    <w:rsid w:val="005F4DA2"/>
    <w:rsid w:val="005F50AA"/>
    <w:rsid w:val="006041A7"/>
    <w:rsid w:val="00622A27"/>
    <w:rsid w:val="00622F80"/>
    <w:rsid w:val="00623232"/>
    <w:rsid w:val="0063100B"/>
    <w:rsid w:val="00631D70"/>
    <w:rsid w:val="00632482"/>
    <w:rsid w:val="00633904"/>
    <w:rsid w:val="006368E0"/>
    <w:rsid w:val="00641F7E"/>
    <w:rsid w:val="00643837"/>
    <w:rsid w:val="00647D2C"/>
    <w:rsid w:val="00650107"/>
    <w:rsid w:val="00650174"/>
    <w:rsid w:val="00650647"/>
    <w:rsid w:val="00653359"/>
    <w:rsid w:val="00655397"/>
    <w:rsid w:val="0065797B"/>
    <w:rsid w:val="00657B35"/>
    <w:rsid w:val="00663BAC"/>
    <w:rsid w:val="00667DB5"/>
    <w:rsid w:val="00672F0F"/>
    <w:rsid w:val="00672F72"/>
    <w:rsid w:val="00674054"/>
    <w:rsid w:val="00674897"/>
    <w:rsid w:val="00675D04"/>
    <w:rsid w:val="00676D5F"/>
    <w:rsid w:val="00680594"/>
    <w:rsid w:val="006805A8"/>
    <w:rsid w:val="00683499"/>
    <w:rsid w:val="00692D51"/>
    <w:rsid w:val="00693C27"/>
    <w:rsid w:val="00695A05"/>
    <w:rsid w:val="006A1B08"/>
    <w:rsid w:val="006A1EF0"/>
    <w:rsid w:val="006A2A4D"/>
    <w:rsid w:val="006A5862"/>
    <w:rsid w:val="006B4EEA"/>
    <w:rsid w:val="006B5F27"/>
    <w:rsid w:val="006C1DB5"/>
    <w:rsid w:val="006C3008"/>
    <w:rsid w:val="006C3C36"/>
    <w:rsid w:val="006D0676"/>
    <w:rsid w:val="006D0ADB"/>
    <w:rsid w:val="006D1A9A"/>
    <w:rsid w:val="006D32C5"/>
    <w:rsid w:val="006D4873"/>
    <w:rsid w:val="006D60D7"/>
    <w:rsid w:val="006E1735"/>
    <w:rsid w:val="006E2FF0"/>
    <w:rsid w:val="006E4016"/>
    <w:rsid w:val="006E5D51"/>
    <w:rsid w:val="006E7B9E"/>
    <w:rsid w:val="006F3BB5"/>
    <w:rsid w:val="006F4794"/>
    <w:rsid w:val="00700C73"/>
    <w:rsid w:val="0070178E"/>
    <w:rsid w:val="007071E5"/>
    <w:rsid w:val="007077E4"/>
    <w:rsid w:val="00712982"/>
    <w:rsid w:val="00713551"/>
    <w:rsid w:val="007146BB"/>
    <w:rsid w:val="00715785"/>
    <w:rsid w:val="0071698C"/>
    <w:rsid w:val="0071746F"/>
    <w:rsid w:val="007216D2"/>
    <w:rsid w:val="00726F70"/>
    <w:rsid w:val="00731C88"/>
    <w:rsid w:val="00732CA3"/>
    <w:rsid w:val="00734877"/>
    <w:rsid w:val="00736E19"/>
    <w:rsid w:val="007375CC"/>
    <w:rsid w:val="0074412A"/>
    <w:rsid w:val="00745557"/>
    <w:rsid w:val="00745A3A"/>
    <w:rsid w:val="00745AB1"/>
    <w:rsid w:val="007512A5"/>
    <w:rsid w:val="0075310E"/>
    <w:rsid w:val="00755F79"/>
    <w:rsid w:val="0075686E"/>
    <w:rsid w:val="00757CAD"/>
    <w:rsid w:val="00766566"/>
    <w:rsid w:val="00767CC3"/>
    <w:rsid w:val="00772F89"/>
    <w:rsid w:val="007732BE"/>
    <w:rsid w:val="00775AAA"/>
    <w:rsid w:val="00776F71"/>
    <w:rsid w:val="00777C9F"/>
    <w:rsid w:val="00785C6A"/>
    <w:rsid w:val="007878A5"/>
    <w:rsid w:val="00787AE7"/>
    <w:rsid w:val="007901FC"/>
    <w:rsid w:val="00790605"/>
    <w:rsid w:val="00793D90"/>
    <w:rsid w:val="00794269"/>
    <w:rsid w:val="00797224"/>
    <w:rsid w:val="0079786F"/>
    <w:rsid w:val="007A1454"/>
    <w:rsid w:val="007A2497"/>
    <w:rsid w:val="007A3793"/>
    <w:rsid w:val="007A4641"/>
    <w:rsid w:val="007A56A0"/>
    <w:rsid w:val="007A5908"/>
    <w:rsid w:val="007A67F7"/>
    <w:rsid w:val="007A74EF"/>
    <w:rsid w:val="007B0ADE"/>
    <w:rsid w:val="007B10DF"/>
    <w:rsid w:val="007B2897"/>
    <w:rsid w:val="007C189B"/>
    <w:rsid w:val="007C3848"/>
    <w:rsid w:val="007C3B9E"/>
    <w:rsid w:val="007D013C"/>
    <w:rsid w:val="007D27D5"/>
    <w:rsid w:val="007D43EA"/>
    <w:rsid w:val="007D6C6B"/>
    <w:rsid w:val="007D71EC"/>
    <w:rsid w:val="007E61DE"/>
    <w:rsid w:val="007F4B43"/>
    <w:rsid w:val="007F4C07"/>
    <w:rsid w:val="007F6022"/>
    <w:rsid w:val="008046D6"/>
    <w:rsid w:val="008059B6"/>
    <w:rsid w:val="008104CD"/>
    <w:rsid w:val="00811F5B"/>
    <w:rsid w:val="00812A60"/>
    <w:rsid w:val="00814A40"/>
    <w:rsid w:val="00814DDF"/>
    <w:rsid w:val="008211F6"/>
    <w:rsid w:val="008215D9"/>
    <w:rsid w:val="00822D8E"/>
    <w:rsid w:val="008250E7"/>
    <w:rsid w:val="00831A5C"/>
    <w:rsid w:val="00834BA2"/>
    <w:rsid w:val="008354DA"/>
    <w:rsid w:val="008364FF"/>
    <w:rsid w:val="00837C04"/>
    <w:rsid w:val="008414F4"/>
    <w:rsid w:val="00842C37"/>
    <w:rsid w:val="00842E7F"/>
    <w:rsid w:val="00843994"/>
    <w:rsid w:val="00846697"/>
    <w:rsid w:val="00850E16"/>
    <w:rsid w:val="008556C2"/>
    <w:rsid w:val="008603EE"/>
    <w:rsid w:val="0086171E"/>
    <w:rsid w:val="0086271C"/>
    <w:rsid w:val="00862D4E"/>
    <w:rsid w:val="0086473B"/>
    <w:rsid w:val="008672FB"/>
    <w:rsid w:val="00871DE4"/>
    <w:rsid w:val="00871F7D"/>
    <w:rsid w:val="00873FD6"/>
    <w:rsid w:val="00874A70"/>
    <w:rsid w:val="0087744C"/>
    <w:rsid w:val="00880BEE"/>
    <w:rsid w:val="0088140E"/>
    <w:rsid w:val="008933CA"/>
    <w:rsid w:val="00897619"/>
    <w:rsid w:val="008A1C0E"/>
    <w:rsid w:val="008A1C22"/>
    <w:rsid w:val="008B00C7"/>
    <w:rsid w:val="008B0D94"/>
    <w:rsid w:val="008B2778"/>
    <w:rsid w:val="008B4159"/>
    <w:rsid w:val="008B4219"/>
    <w:rsid w:val="008B4B20"/>
    <w:rsid w:val="008B4E89"/>
    <w:rsid w:val="008B6BDC"/>
    <w:rsid w:val="008C3162"/>
    <w:rsid w:val="008C7220"/>
    <w:rsid w:val="008D6D8A"/>
    <w:rsid w:val="008D778B"/>
    <w:rsid w:val="008E139A"/>
    <w:rsid w:val="008E4E7F"/>
    <w:rsid w:val="008E56C6"/>
    <w:rsid w:val="008F2A04"/>
    <w:rsid w:val="0090636E"/>
    <w:rsid w:val="00912525"/>
    <w:rsid w:val="00913165"/>
    <w:rsid w:val="0091468A"/>
    <w:rsid w:val="009161A1"/>
    <w:rsid w:val="00917B7A"/>
    <w:rsid w:val="00920417"/>
    <w:rsid w:val="009204F8"/>
    <w:rsid w:val="00920EED"/>
    <w:rsid w:val="00923C6B"/>
    <w:rsid w:val="009302E1"/>
    <w:rsid w:val="0093305D"/>
    <w:rsid w:val="0093443D"/>
    <w:rsid w:val="00935269"/>
    <w:rsid w:val="0093615A"/>
    <w:rsid w:val="00936566"/>
    <w:rsid w:val="00940927"/>
    <w:rsid w:val="00945444"/>
    <w:rsid w:val="00945FEE"/>
    <w:rsid w:val="0095752C"/>
    <w:rsid w:val="00957FAD"/>
    <w:rsid w:val="00960F34"/>
    <w:rsid w:val="00966488"/>
    <w:rsid w:val="00967E0A"/>
    <w:rsid w:val="00973BB2"/>
    <w:rsid w:val="009743BD"/>
    <w:rsid w:val="009753AF"/>
    <w:rsid w:val="00977777"/>
    <w:rsid w:val="009815E3"/>
    <w:rsid w:val="0098320C"/>
    <w:rsid w:val="009853AA"/>
    <w:rsid w:val="00990DE8"/>
    <w:rsid w:val="00991464"/>
    <w:rsid w:val="00993BA1"/>
    <w:rsid w:val="00993CFD"/>
    <w:rsid w:val="009958A4"/>
    <w:rsid w:val="009A23A3"/>
    <w:rsid w:val="009B122C"/>
    <w:rsid w:val="009B44A3"/>
    <w:rsid w:val="009C368D"/>
    <w:rsid w:val="009C51B5"/>
    <w:rsid w:val="009D6121"/>
    <w:rsid w:val="009E2287"/>
    <w:rsid w:val="009E3B20"/>
    <w:rsid w:val="009E694B"/>
    <w:rsid w:val="009E6F6A"/>
    <w:rsid w:val="009E7E77"/>
    <w:rsid w:val="009F551E"/>
    <w:rsid w:val="00A00241"/>
    <w:rsid w:val="00A0040C"/>
    <w:rsid w:val="00A00770"/>
    <w:rsid w:val="00A00F82"/>
    <w:rsid w:val="00A0150A"/>
    <w:rsid w:val="00A06632"/>
    <w:rsid w:val="00A1611E"/>
    <w:rsid w:val="00A17BCF"/>
    <w:rsid w:val="00A215D0"/>
    <w:rsid w:val="00A22FD2"/>
    <w:rsid w:val="00A25120"/>
    <w:rsid w:val="00A307C4"/>
    <w:rsid w:val="00A34615"/>
    <w:rsid w:val="00A41E94"/>
    <w:rsid w:val="00A41F58"/>
    <w:rsid w:val="00A427D2"/>
    <w:rsid w:val="00A44BE3"/>
    <w:rsid w:val="00A454B6"/>
    <w:rsid w:val="00A53B58"/>
    <w:rsid w:val="00A60585"/>
    <w:rsid w:val="00A65CA8"/>
    <w:rsid w:val="00A71026"/>
    <w:rsid w:val="00A712EF"/>
    <w:rsid w:val="00A77ADE"/>
    <w:rsid w:val="00A830AD"/>
    <w:rsid w:val="00A85794"/>
    <w:rsid w:val="00A87A8A"/>
    <w:rsid w:val="00A940D2"/>
    <w:rsid w:val="00A9563F"/>
    <w:rsid w:val="00A95657"/>
    <w:rsid w:val="00AA0D8F"/>
    <w:rsid w:val="00AA6137"/>
    <w:rsid w:val="00AA6C7B"/>
    <w:rsid w:val="00AB3228"/>
    <w:rsid w:val="00AB6A5F"/>
    <w:rsid w:val="00AB7E2D"/>
    <w:rsid w:val="00AC13A1"/>
    <w:rsid w:val="00AC6A82"/>
    <w:rsid w:val="00AC726F"/>
    <w:rsid w:val="00AD0508"/>
    <w:rsid w:val="00AD1233"/>
    <w:rsid w:val="00AD1E1D"/>
    <w:rsid w:val="00AD277E"/>
    <w:rsid w:val="00AD2933"/>
    <w:rsid w:val="00AD44F5"/>
    <w:rsid w:val="00AD763B"/>
    <w:rsid w:val="00AE0B1D"/>
    <w:rsid w:val="00AE2AFA"/>
    <w:rsid w:val="00AE2EE4"/>
    <w:rsid w:val="00AE3D84"/>
    <w:rsid w:val="00AE59B4"/>
    <w:rsid w:val="00AE5F09"/>
    <w:rsid w:val="00AE6756"/>
    <w:rsid w:val="00AE6AFD"/>
    <w:rsid w:val="00AE7D30"/>
    <w:rsid w:val="00AF1268"/>
    <w:rsid w:val="00AF240E"/>
    <w:rsid w:val="00AF3764"/>
    <w:rsid w:val="00AF560E"/>
    <w:rsid w:val="00AF6D75"/>
    <w:rsid w:val="00B11B01"/>
    <w:rsid w:val="00B13006"/>
    <w:rsid w:val="00B16F53"/>
    <w:rsid w:val="00B17B4E"/>
    <w:rsid w:val="00B2410C"/>
    <w:rsid w:val="00B25571"/>
    <w:rsid w:val="00B30547"/>
    <w:rsid w:val="00B33233"/>
    <w:rsid w:val="00B3401C"/>
    <w:rsid w:val="00B341A7"/>
    <w:rsid w:val="00B348BA"/>
    <w:rsid w:val="00B440B1"/>
    <w:rsid w:val="00B4537A"/>
    <w:rsid w:val="00B502CF"/>
    <w:rsid w:val="00B5321B"/>
    <w:rsid w:val="00B54D40"/>
    <w:rsid w:val="00B553DA"/>
    <w:rsid w:val="00B64009"/>
    <w:rsid w:val="00B649B3"/>
    <w:rsid w:val="00B74C6D"/>
    <w:rsid w:val="00B76361"/>
    <w:rsid w:val="00B76C4F"/>
    <w:rsid w:val="00B7716A"/>
    <w:rsid w:val="00B809CD"/>
    <w:rsid w:val="00B83247"/>
    <w:rsid w:val="00B846F8"/>
    <w:rsid w:val="00B90DD7"/>
    <w:rsid w:val="00B93787"/>
    <w:rsid w:val="00B9444E"/>
    <w:rsid w:val="00B94945"/>
    <w:rsid w:val="00B9498D"/>
    <w:rsid w:val="00B95EFB"/>
    <w:rsid w:val="00B970BE"/>
    <w:rsid w:val="00BA15BB"/>
    <w:rsid w:val="00BA2501"/>
    <w:rsid w:val="00BA5EA9"/>
    <w:rsid w:val="00BA6CB2"/>
    <w:rsid w:val="00BA7B57"/>
    <w:rsid w:val="00BB193E"/>
    <w:rsid w:val="00BB1F7F"/>
    <w:rsid w:val="00BB2366"/>
    <w:rsid w:val="00BB5160"/>
    <w:rsid w:val="00BB54CA"/>
    <w:rsid w:val="00BB6042"/>
    <w:rsid w:val="00BB786D"/>
    <w:rsid w:val="00BB7BF8"/>
    <w:rsid w:val="00BC3808"/>
    <w:rsid w:val="00BD1B18"/>
    <w:rsid w:val="00BD22A9"/>
    <w:rsid w:val="00BD3864"/>
    <w:rsid w:val="00BD4F17"/>
    <w:rsid w:val="00BD6CF5"/>
    <w:rsid w:val="00BD6FE8"/>
    <w:rsid w:val="00BE179B"/>
    <w:rsid w:val="00BE3CA4"/>
    <w:rsid w:val="00BE7CBE"/>
    <w:rsid w:val="00BF78CD"/>
    <w:rsid w:val="00C015EF"/>
    <w:rsid w:val="00C10B72"/>
    <w:rsid w:val="00C155EE"/>
    <w:rsid w:val="00C1591E"/>
    <w:rsid w:val="00C162B1"/>
    <w:rsid w:val="00C1676E"/>
    <w:rsid w:val="00C20002"/>
    <w:rsid w:val="00C23047"/>
    <w:rsid w:val="00C24C9C"/>
    <w:rsid w:val="00C269F6"/>
    <w:rsid w:val="00C26B0C"/>
    <w:rsid w:val="00C3343F"/>
    <w:rsid w:val="00C36841"/>
    <w:rsid w:val="00C37A8B"/>
    <w:rsid w:val="00C42620"/>
    <w:rsid w:val="00C456DF"/>
    <w:rsid w:val="00C45D93"/>
    <w:rsid w:val="00C4645F"/>
    <w:rsid w:val="00C464F0"/>
    <w:rsid w:val="00C466CE"/>
    <w:rsid w:val="00C47132"/>
    <w:rsid w:val="00C54663"/>
    <w:rsid w:val="00C55ADC"/>
    <w:rsid w:val="00C6065A"/>
    <w:rsid w:val="00C66BC6"/>
    <w:rsid w:val="00C74CC0"/>
    <w:rsid w:val="00C8092D"/>
    <w:rsid w:val="00C81386"/>
    <w:rsid w:val="00C81475"/>
    <w:rsid w:val="00C824CA"/>
    <w:rsid w:val="00C83441"/>
    <w:rsid w:val="00C83D56"/>
    <w:rsid w:val="00C86828"/>
    <w:rsid w:val="00C86ED8"/>
    <w:rsid w:val="00C904C8"/>
    <w:rsid w:val="00C91DD7"/>
    <w:rsid w:val="00C930D6"/>
    <w:rsid w:val="00C96151"/>
    <w:rsid w:val="00CA21B9"/>
    <w:rsid w:val="00CA7634"/>
    <w:rsid w:val="00CB09B5"/>
    <w:rsid w:val="00CB6A9B"/>
    <w:rsid w:val="00CC3834"/>
    <w:rsid w:val="00CC5FF5"/>
    <w:rsid w:val="00CC7B2D"/>
    <w:rsid w:val="00CD19DB"/>
    <w:rsid w:val="00CD2AFC"/>
    <w:rsid w:val="00CD3E8F"/>
    <w:rsid w:val="00CD4CD0"/>
    <w:rsid w:val="00CD521D"/>
    <w:rsid w:val="00CE2ABD"/>
    <w:rsid w:val="00CE3892"/>
    <w:rsid w:val="00CE72A0"/>
    <w:rsid w:val="00CF1A5D"/>
    <w:rsid w:val="00CF34C5"/>
    <w:rsid w:val="00CF616E"/>
    <w:rsid w:val="00D00C43"/>
    <w:rsid w:val="00D03546"/>
    <w:rsid w:val="00D03AA3"/>
    <w:rsid w:val="00D03DF8"/>
    <w:rsid w:val="00D05161"/>
    <w:rsid w:val="00D119D9"/>
    <w:rsid w:val="00D136C5"/>
    <w:rsid w:val="00D160A1"/>
    <w:rsid w:val="00D17347"/>
    <w:rsid w:val="00D17FDF"/>
    <w:rsid w:val="00D21128"/>
    <w:rsid w:val="00D21B99"/>
    <w:rsid w:val="00D22037"/>
    <w:rsid w:val="00D24B72"/>
    <w:rsid w:val="00D27473"/>
    <w:rsid w:val="00D32F8C"/>
    <w:rsid w:val="00D333BF"/>
    <w:rsid w:val="00D37F84"/>
    <w:rsid w:val="00D40001"/>
    <w:rsid w:val="00D50113"/>
    <w:rsid w:val="00D51290"/>
    <w:rsid w:val="00D539B5"/>
    <w:rsid w:val="00D574C2"/>
    <w:rsid w:val="00D60B29"/>
    <w:rsid w:val="00D62C1A"/>
    <w:rsid w:val="00D63C59"/>
    <w:rsid w:val="00D71112"/>
    <w:rsid w:val="00D71A5E"/>
    <w:rsid w:val="00D723B2"/>
    <w:rsid w:val="00D73025"/>
    <w:rsid w:val="00D7371B"/>
    <w:rsid w:val="00D83AD0"/>
    <w:rsid w:val="00D85192"/>
    <w:rsid w:val="00D9045B"/>
    <w:rsid w:val="00D92A91"/>
    <w:rsid w:val="00D938F4"/>
    <w:rsid w:val="00D959BA"/>
    <w:rsid w:val="00DA28F0"/>
    <w:rsid w:val="00DA3BDA"/>
    <w:rsid w:val="00DA5AF5"/>
    <w:rsid w:val="00DB0D8E"/>
    <w:rsid w:val="00DB7AF4"/>
    <w:rsid w:val="00DC178C"/>
    <w:rsid w:val="00DC661D"/>
    <w:rsid w:val="00DC6E35"/>
    <w:rsid w:val="00DD0F5A"/>
    <w:rsid w:val="00DD141A"/>
    <w:rsid w:val="00DD2AE1"/>
    <w:rsid w:val="00DE0294"/>
    <w:rsid w:val="00DE07C1"/>
    <w:rsid w:val="00DE147F"/>
    <w:rsid w:val="00DE72F1"/>
    <w:rsid w:val="00DF229F"/>
    <w:rsid w:val="00DF41C9"/>
    <w:rsid w:val="00DF5D0A"/>
    <w:rsid w:val="00E0126A"/>
    <w:rsid w:val="00E01DF0"/>
    <w:rsid w:val="00E10208"/>
    <w:rsid w:val="00E1069E"/>
    <w:rsid w:val="00E11647"/>
    <w:rsid w:val="00E12861"/>
    <w:rsid w:val="00E14D00"/>
    <w:rsid w:val="00E15FA6"/>
    <w:rsid w:val="00E163C8"/>
    <w:rsid w:val="00E208A6"/>
    <w:rsid w:val="00E20D07"/>
    <w:rsid w:val="00E23982"/>
    <w:rsid w:val="00E23A82"/>
    <w:rsid w:val="00E25D4A"/>
    <w:rsid w:val="00E339CC"/>
    <w:rsid w:val="00E36544"/>
    <w:rsid w:val="00E3669D"/>
    <w:rsid w:val="00E41916"/>
    <w:rsid w:val="00E43262"/>
    <w:rsid w:val="00E45E40"/>
    <w:rsid w:val="00E501F2"/>
    <w:rsid w:val="00E55D66"/>
    <w:rsid w:val="00E56D1F"/>
    <w:rsid w:val="00E57BC7"/>
    <w:rsid w:val="00E606BA"/>
    <w:rsid w:val="00E631E1"/>
    <w:rsid w:val="00E72A3D"/>
    <w:rsid w:val="00E73941"/>
    <w:rsid w:val="00E7417A"/>
    <w:rsid w:val="00E756EF"/>
    <w:rsid w:val="00E75B41"/>
    <w:rsid w:val="00E76702"/>
    <w:rsid w:val="00E77227"/>
    <w:rsid w:val="00E81631"/>
    <w:rsid w:val="00E83B4A"/>
    <w:rsid w:val="00E85E5D"/>
    <w:rsid w:val="00E85EE8"/>
    <w:rsid w:val="00E8717F"/>
    <w:rsid w:val="00E907BA"/>
    <w:rsid w:val="00E925DF"/>
    <w:rsid w:val="00E94F05"/>
    <w:rsid w:val="00E94FC1"/>
    <w:rsid w:val="00E95309"/>
    <w:rsid w:val="00EA01ED"/>
    <w:rsid w:val="00EA2FC7"/>
    <w:rsid w:val="00EA4622"/>
    <w:rsid w:val="00EA4695"/>
    <w:rsid w:val="00EA5744"/>
    <w:rsid w:val="00EA7AB5"/>
    <w:rsid w:val="00EB0064"/>
    <w:rsid w:val="00EB170B"/>
    <w:rsid w:val="00EB508D"/>
    <w:rsid w:val="00EC5CB1"/>
    <w:rsid w:val="00ED3BD7"/>
    <w:rsid w:val="00ED47CC"/>
    <w:rsid w:val="00EE07BE"/>
    <w:rsid w:val="00EE554A"/>
    <w:rsid w:val="00EE618E"/>
    <w:rsid w:val="00EF0EBF"/>
    <w:rsid w:val="00EF3676"/>
    <w:rsid w:val="00EF3FCA"/>
    <w:rsid w:val="00EF40F5"/>
    <w:rsid w:val="00EF4C74"/>
    <w:rsid w:val="00EF562E"/>
    <w:rsid w:val="00EF7222"/>
    <w:rsid w:val="00EF7F63"/>
    <w:rsid w:val="00F012E5"/>
    <w:rsid w:val="00F05545"/>
    <w:rsid w:val="00F06F98"/>
    <w:rsid w:val="00F074BB"/>
    <w:rsid w:val="00F07CAC"/>
    <w:rsid w:val="00F10532"/>
    <w:rsid w:val="00F10591"/>
    <w:rsid w:val="00F11015"/>
    <w:rsid w:val="00F137DD"/>
    <w:rsid w:val="00F149C4"/>
    <w:rsid w:val="00F14FBC"/>
    <w:rsid w:val="00F15C4E"/>
    <w:rsid w:val="00F1720C"/>
    <w:rsid w:val="00F1732F"/>
    <w:rsid w:val="00F2567D"/>
    <w:rsid w:val="00F3241A"/>
    <w:rsid w:val="00F34417"/>
    <w:rsid w:val="00F41A19"/>
    <w:rsid w:val="00F41C75"/>
    <w:rsid w:val="00F5041A"/>
    <w:rsid w:val="00F51BBA"/>
    <w:rsid w:val="00F531C6"/>
    <w:rsid w:val="00F5423F"/>
    <w:rsid w:val="00F55EBD"/>
    <w:rsid w:val="00F5747F"/>
    <w:rsid w:val="00F642B2"/>
    <w:rsid w:val="00F662F2"/>
    <w:rsid w:val="00F6761B"/>
    <w:rsid w:val="00F72F93"/>
    <w:rsid w:val="00F73353"/>
    <w:rsid w:val="00F77F1E"/>
    <w:rsid w:val="00F77FA1"/>
    <w:rsid w:val="00F80E34"/>
    <w:rsid w:val="00F81548"/>
    <w:rsid w:val="00F81754"/>
    <w:rsid w:val="00F818C2"/>
    <w:rsid w:val="00F86106"/>
    <w:rsid w:val="00F8697B"/>
    <w:rsid w:val="00F87E33"/>
    <w:rsid w:val="00F94BB7"/>
    <w:rsid w:val="00F95E4B"/>
    <w:rsid w:val="00FA0186"/>
    <w:rsid w:val="00FA1D6F"/>
    <w:rsid w:val="00FA4AF6"/>
    <w:rsid w:val="00FA5511"/>
    <w:rsid w:val="00FA5ACE"/>
    <w:rsid w:val="00FA6BE0"/>
    <w:rsid w:val="00FA6CBC"/>
    <w:rsid w:val="00FA790F"/>
    <w:rsid w:val="00FB53F7"/>
    <w:rsid w:val="00FC1182"/>
    <w:rsid w:val="00FC3730"/>
    <w:rsid w:val="00FC4C58"/>
    <w:rsid w:val="00FC4CEB"/>
    <w:rsid w:val="00FC74C0"/>
    <w:rsid w:val="00FD053A"/>
    <w:rsid w:val="00FD10E5"/>
    <w:rsid w:val="00FD1E1D"/>
    <w:rsid w:val="00FD275A"/>
    <w:rsid w:val="00FD2D21"/>
    <w:rsid w:val="00FD3E30"/>
    <w:rsid w:val="00FD6E65"/>
    <w:rsid w:val="00FD7DFD"/>
    <w:rsid w:val="00FE055F"/>
    <w:rsid w:val="00FE52D3"/>
    <w:rsid w:val="00FF2E5F"/>
    <w:rsid w:val="00FF3553"/>
    <w:rsid w:val="00FF38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A835"/>
  <w15:chartTrackingRefBased/>
  <w15:docId w15:val="{F217F848-7264-46A7-B3AC-8BDB58FC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290"/>
  </w:style>
  <w:style w:type="paragraph" w:styleId="Footer">
    <w:name w:val="footer"/>
    <w:basedOn w:val="Normal"/>
    <w:link w:val="FooterChar"/>
    <w:uiPriority w:val="99"/>
    <w:unhideWhenUsed/>
    <w:rsid w:val="00D51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290"/>
  </w:style>
  <w:style w:type="table" w:styleId="TableGrid">
    <w:name w:val="Table Grid"/>
    <w:basedOn w:val="TableNormal"/>
    <w:uiPriority w:val="39"/>
    <w:rsid w:val="0039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F53"/>
    <w:rPr>
      <w:color w:val="0563C1" w:themeColor="hyperlink"/>
      <w:u w:val="single"/>
    </w:rPr>
  </w:style>
  <w:style w:type="character" w:styleId="UnresolvedMention">
    <w:name w:val="Unresolved Mention"/>
    <w:basedOn w:val="DefaultParagraphFont"/>
    <w:uiPriority w:val="99"/>
    <w:semiHidden/>
    <w:unhideWhenUsed/>
    <w:rsid w:val="00B16F53"/>
    <w:rPr>
      <w:color w:val="605E5C"/>
      <w:shd w:val="clear" w:color="auto" w:fill="E1DFDD"/>
    </w:rPr>
  </w:style>
  <w:style w:type="character" w:styleId="FollowedHyperlink">
    <w:name w:val="FollowedHyperlink"/>
    <w:basedOn w:val="DefaultParagraphFont"/>
    <w:uiPriority w:val="99"/>
    <w:semiHidden/>
    <w:unhideWhenUsed/>
    <w:rsid w:val="003C73A4"/>
    <w:rPr>
      <w:color w:val="954F72" w:themeColor="followedHyperlink"/>
      <w:u w:val="single"/>
    </w:rPr>
  </w:style>
  <w:style w:type="paragraph" w:customStyle="1" w:styleId="Default">
    <w:name w:val="Default"/>
    <w:rsid w:val="005C79C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3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1448">
      <w:bodyDiv w:val="1"/>
      <w:marLeft w:val="0"/>
      <w:marRight w:val="0"/>
      <w:marTop w:val="0"/>
      <w:marBottom w:val="0"/>
      <w:divBdr>
        <w:top w:val="none" w:sz="0" w:space="0" w:color="auto"/>
        <w:left w:val="none" w:sz="0" w:space="0" w:color="auto"/>
        <w:bottom w:val="none" w:sz="0" w:space="0" w:color="auto"/>
        <w:right w:val="none" w:sz="0" w:space="0" w:color="auto"/>
      </w:divBdr>
    </w:div>
    <w:div w:id="1371759998">
      <w:bodyDiv w:val="1"/>
      <w:marLeft w:val="0"/>
      <w:marRight w:val="0"/>
      <w:marTop w:val="0"/>
      <w:marBottom w:val="0"/>
      <w:divBdr>
        <w:top w:val="none" w:sz="0" w:space="0" w:color="auto"/>
        <w:left w:val="none" w:sz="0" w:space="0" w:color="auto"/>
        <w:bottom w:val="none" w:sz="0" w:space="0" w:color="auto"/>
        <w:right w:val="none" w:sz="0" w:space="0" w:color="auto"/>
      </w:divBdr>
      <w:divsChild>
        <w:div w:id="974068272">
          <w:marLeft w:val="0"/>
          <w:marRight w:val="0"/>
          <w:marTop w:val="0"/>
          <w:marBottom w:val="0"/>
          <w:divBdr>
            <w:top w:val="none" w:sz="0" w:space="0" w:color="auto"/>
            <w:left w:val="none" w:sz="0" w:space="0" w:color="auto"/>
            <w:bottom w:val="none" w:sz="0" w:space="0" w:color="auto"/>
            <w:right w:val="none" w:sz="0" w:space="0" w:color="auto"/>
          </w:divBdr>
          <w:divsChild>
            <w:div w:id="1212155018">
              <w:marLeft w:val="0"/>
              <w:marRight w:val="0"/>
              <w:marTop w:val="0"/>
              <w:marBottom w:val="0"/>
              <w:divBdr>
                <w:top w:val="none" w:sz="0" w:space="0" w:color="auto"/>
                <w:left w:val="none" w:sz="0" w:space="0" w:color="auto"/>
                <w:bottom w:val="none" w:sz="0" w:space="0" w:color="auto"/>
                <w:right w:val="none" w:sz="0" w:space="0" w:color="auto"/>
              </w:divBdr>
            </w:div>
          </w:divsChild>
        </w:div>
        <w:div w:id="1637371360">
          <w:marLeft w:val="0"/>
          <w:marRight w:val="0"/>
          <w:marTop w:val="0"/>
          <w:marBottom w:val="0"/>
          <w:divBdr>
            <w:top w:val="none" w:sz="0" w:space="0" w:color="auto"/>
            <w:left w:val="none" w:sz="0" w:space="0" w:color="auto"/>
            <w:bottom w:val="none" w:sz="0" w:space="0" w:color="auto"/>
            <w:right w:val="none" w:sz="0" w:space="0" w:color="auto"/>
          </w:divBdr>
          <w:divsChild>
            <w:div w:id="1115052468">
              <w:marLeft w:val="0"/>
              <w:marRight w:val="0"/>
              <w:marTop w:val="0"/>
              <w:marBottom w:val="0"/>
              <w:divBdr>
                <w:top w:val="none" w:sz="0" w:space="0" w:color="auto"/>
                <w:left w:val="none" w:sz="0" w:space="0" w:color="auto"/>
                <w:bottom w:val="none" w:sz="0" w:space="0" w:color="auto"/>
                <w:right w:val="none" w:sz="0" w:space="0" w:color="auto"/>
              </w:divBdr>
            </w:div>
          </w:divsChild>
        </w:div>
        <w:div w:id="1908412636">
          <w:marLeft w:val="0"/>
          <w:marRight w:val="0"/>
          <w:marTop w:val="0"/>
          <w:marBottom w:val="0"/>
          <w:divBdr>
            <w:top w:val="none" w:sz="0" w:space="0" w:color="auto"/>
            <w:left w:val="none" w:sz="0" w:space="0" w:color="auto"/>
            <w:bottom w:val="none" w:sz="0" w:space="0" w:color="auto"/>
            <w:right w:val="none" w:sz="0" w:space="0" w:color="auto"/>
          </w:divBdr>
          <w:divsChild>
            <w:div w:id="814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830">
      <w:bodyDiv w:val="1"/>
      <w:marLeft w:val="0"/>
      <w:marRight w:val="0"/>
      <w:marTop w:val="0"/>
      <w:marBottom w:val="0"/>
      <w:divBdr>
        <w:top w:val="none" w:sz="0" w:space="0" w:color="auto"/>
        <w:left w:val="none" w:sz="0" w:space="0" w:color="auto"/>
        <w:bottom w:val="none" w:sz="0" w:space="0" w:color="auto"/>
        <w:right w:val="none" w:sz="0" w:space="0" w:color="auto"/>
      </w:divBdr>
    </w:div>
    <w:div w:id="19510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7d12b0f6763c78caca257061001cc588/03CBF16BAC48235ECA256CAE000FF0DB?opendocument" TargetMode="External"/><Relationship Id="rId13" Type="http://schemas.openxmlformats.org/officeDocument/2006/relationships/hyperlink" Target="https://web.s.ebscohost.com/ehost/pdfviewer/pdfviewer?vid=0&amp;sid=bad087bc-4abd-4c2c-94ee-1901968c03d2%40redis" TargetMode="External"/><Relationship Id="rId18" Type="http://schemas.openxmlformats.org/officeDocument/2006/relationships/hyperlink" Target="https://legislation.nt.gov.au/en/Legislation/YOUTH-JUSTICE-ACT-20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gislation.nt.gov.au/en/Legislation/EDUCATION-ACT-2015" TargetMode="External"/><Relationship Id="rId17" Type="http://schemas.openxmlformats.org/officeDocument/2006/relationships/hyperlink" Target="https://www.nt.gov.au/__data/assets/pdf_file/0020/229016/A-Share-in-the-Future-The-Review-of-Indigenous-Education-in-the-Northern-Territory.pdf" TargetMode="External"/><Relationship Id="rId2" Type="http://schemas.openxmlformats.org/officeDocument/2006/relationships/numbering" Target="numbering.xml"/><Relationship Id="rId16" Type="http://schemas.openxmlformats.org/officeDocument/2006/relationships/hyperlink" Target="https://doi.org/10.1080/001319108023933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91022173206/http:/www.cdu.edu.au/sspr/documents/DET_Student_Attendance_2005_to_2007_000.pdf" TargetMode="External"/><Relationship Id="rId5" Type="http://schemas.openxmlformats.org/officeDocument/2006/relationships/webSettings" Target="webSettings.xml"/><Relationship Id="rId15" Type="http://schemas.openxmlformats.org/officeDocument/2006/relationships/hyperlink" Target="https://doi.org/10.7227%2FRIE.75.4" TargetMode="External"/><Relationship Id="rId10" Type="http://schemas.openxmlformats.org/officeDocument/2006/relationships/hyperlink" Target="https://www.dese.gov.au/download/4980/15-going-25-insights-longitudinal-surveys-australian-youth-lsay/7450/document/pdf" TargetMode="External"/><Relationship Id="rId19" Type="http://schemas.openxmlformats.org/officeDocument/2006/relationships/hyperlink" Target="https://www.nt.gov.au/__data/assets/pdf_file/0016/229021/Review-of-Middle-Years-Schooling-in-the-Northern-Territory-Full-Report.pdf" TargetMode="External"/><Relationship Id="rId4" Type="http://schemas.openxmlformats.org/officeDocument/2006/relationships/settings" Target="settings.xml"/><Relationship Id="rId9" Type="http://schemas.openxmlformats.org/officeDocument/2006/relationships/hyperlink" Target="https://www.dese.gov.au/download/2181/nt-np-yat-annual-report-2012/2945/document/pdf" TargetMode="External"/><Relationship Id="rId14" Type="http://schemas.openxmlformats.org/officeDocument/2006/relationships/hyperlink" Target="http://hdl.voced.edu.au/10707/141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A857E-273C-40BD-9CF7-40658ABF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12985</TotalTime>
  <Pages>10</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Hubbard</cp:lastModifiedBy>
  <cp:revision>922</cp:revision>
  <cp:lastPrinted>2022-04-24T02:10:00Z</cp:lastPrinted>
  <dcterms:created xsi:type="dcterms:W3CDTF">2022-03-29T20:25:00Z</dcterms:created>
  <dcterms:modified xsi:type="dcterms:W3CDTF">2022-06-05T12:00:00Z</dcterms:modified>
</cp:coreProperties>
</file>