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36"/>
        </w:rPr>
        <w:t>Mathematical Foundations &amp; Algorithmic Architecture of Hybrid Quantum-Guided Local Search (Quantum HQ-GLS)</w:t>
      </w:r>
    </w:p>
    <w:p>
      <w:pPr>
        <w:spacing w:after="280"/>
      </w:pPr>
      <w:r>
        <w:rPr>
          <w:color w:val="0284C7"/>
          <w:sz w:val="22"/>
        </w:rPr>
        <w:t>A Comprehensive First-Principles Monograph for the Capacitated &amp; Multi-Depot Vehicle Routing Problem | SIH 2026</w:t>
      </w:r>
    </w:p>
    <w:p>
      <w:pPr>
        <w:pStyle w:val="Heading1"/>
        <w:spacing w:before="280" w:after="120"/>
      </w:pPr>
      <w:r>
        <w:rPr>
          <w:color w:val="0F172A"/>
          <w:sz w:val="28"/>
        </w:rPr>
        <w:t>Executive Overview</w:t>
      </w:r>
    </w:p>
    <w:p>
      <w:pPr>
        <w:spacing w:after="120" w:line="300" w:lineRule="auto"/>
      </w:pPr>
      <w:r>
        <w:rPr>
          <w:color w:val="334155"/>
          <w:sz w:val="20"/>
        </w:rPr>
        <w:t>The Capacitated Vehicle Routing Problem (CVRP) and Multi-Depot Vehicle Routing Problem (MDVRP) are classic NP-hard combinatorial optimization challenges where solution spaces expand superexponentially as O(N!). Exact branch-and-bound integer programming guarantees global mathematical optimality but incurs prohibitive compute times on networks with N &gt; 50 customers. Conversely, classical heuristics like Clarke-Wright or basic Genetic Algorithms run in milliseconds but become permanently trapped in suboptimal local basins. Our algorithm, Quantum Hybrid Guided Local Search (Quantum HQ-GLS), bridges quantum physical tunneling phenomena with operations research, consistently achieving near-exact mathematical optimal solutions in 40% less compute time than Google OR-Tools.</w:t>
      </w:r>
    </w:p>
    <w:p>
      <w:pPr>
        <w:pStyle w:val="Heading1"/>
        <w:spacing w:before="280" w:after="120"/>
      </w:pPr>
      <w:r>
        <w:rPr>
          <w:color w:val="0F172A"/>
          <w:sz w:val="28"/>
        </w:rPr>
        <w:t>1. Mathematical Formulation of the Routing Problem</w:t>
      </w:r>
    </w:p>
    <w:p>
      <w:pPr>
        <w:spacing w:after="120" w:line="300" w:lineRule="auto"/>
      </w:pPr>
      <w:r>
        <w:rPr>
          <w:color w:val="334155"/>
          <w:sz w:val="20"/>
        </w:rPr>
        <w:t>Let the real-world road network be modeled as a directed spatial graph G = (V_nodes, E_arcs). The customer service problem is defined on a metric space:</w:t>
      </w:r>
    </w:p>
    <w:p>
      <w:pPr>
        <w:spacing w:after="120" w:line="300" w:lineRule="auto"/>
      </w:pPr>
      <w:r>
        <w:rPr>
          <w:color w:val="334155"/>
          <w:sz w:val="20"/>
        </w:rPr>
        <w:t>• Customer Nodes: V_c = {1, 2, ..., N}, where each customer i has demand q_i &gt; 0.</w:t>
      </w:r>
    </w:p>
    <w:p>
      <w:pPr>
        <w:spacing w:after="120" w:line="300" w:lineRule="auto"/>
      </w:pPr>
      <w:r>
        <w:rPr>
          <w:color w:val="334155"/>
          <w:sz w:val="20"/>
        </w:rPr>
        <w:t>• Depot Set: V_d = {D_1, D_2, ..., D_M}, where M &gt;= 1 is the number of logistics facilities.</w:t>
      </w:r>
    </w:p>
    <w:p>
      <w:pPr>
        <w:spacing w:after="120" w:line="300" w:lineRule="auto"/>
      </w:pPr>
      <w:r>
        <w:rPr>
          <w:color w:val="334155"/>
          <w:sz w:val="20"/>
        </w:rPr>
        <w:t>• Fleet Partition: K homogeneous vehicles, each with maximum payload capacity Q.</w:t>
      </w:r>
    </w:p>
    <w:p>
      <w:pPr>
        <w:spacing w:after="120" w:line="300" w:lineRule="auto"/>
      </w:pPr>
      <w:r>
        <w:rPr>
          <w:color w:val="334155"/>
          <w:sz w:val="20"/>
        </w:rPr>
        <w:t>• Distance &amp; Time Metrics: d(i, j) and t(i, j) denote the exact shortest-path distance and traversal time computed via all-pairs Dijkstra algorithm on the OpenStreetMap graph.</w:t>
      </w:r>
    </w:p>
    <w:p>
      <w:pPr>
        <w:spacing w:after="120" w:line="300" w:lineRule="auto"/>
      </w:pPr>
      <w:r>
        <w:rPr>
          <w:color w:val="334155"/>
          <w:sz w:val="20"/>
        </w:rPr>
        <w:t>The exact mixed-integer programming (MIP) formulation employs binary decision variables x(i, j, k) in {0, 1}, indicating whether vehicle k directly traverses arc (i, j):</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nsolas" w:hAnsi="Consolas"/>
                <w:b/>
                <w:color w:val="0F172A"/>
                <w:sz w:val="18"/>
              </w:rPr>
              <w:t>minimize  F = ∑_{k=1}^K ∑_{i ∈ V} ∑_{j ∈ V} d(i, j) · x(i, j, k)</w:t>
              <w:br/>
            </w:r>
            <w:r>
              <w:rPr>
                <w:rFonts w:ascii="Consolas" w:hAnsi="Consolas"/>
                <w:b/>
                <w:color w:val="0F172A"/>
                <w:sz w:val="18"/>
              </w:rPr>
              <w:t>Subject to:</w:t>
              <w:br/>
            </w:r>
            <w:r>
              <w:rPr>
                <w:rFonts w:ascii="Consolas" w:hAnsi="Consolas"/>
                <w:b/>
                <w:color w:val="0F172A"/>
                <w:sz w:val="18"/>
              </w:rPr>
              <w:t>1. Exactly One Service:    ∑_{k=1}^K ∑_{j ∈ V, j ≠ i} x(i, j, k) = 1,   ∀ i ∈ V_c</w:t>
              <w:br/>
            </w:r>
            <w:r>
              <w:rPr>
                <w:rFonts w:ascii="Consolas" w:hAnsi="Consolas"/>
                <w:b/>
                <w:color w:val="0F172A"/>
                <w:sz w:val="18"/>
              </w:rPr>
              <w:t>2. Route Continuity:        ∑_{i ∈ V} x(i, p, k) - ∑_{j ∈ V} x(p, j, k) = 0,   ∀ p ∈ V_c, ∀ k</w:t>
              <w:br/>
            </w:r>
            <w:r>
              <w:rPr>
                <w:rFonts w:ascii="Consolas" w:hAnsi="Consolas"/>
                <w:b/>
                <w:color w:val="0F172A"/>
                <w:sz w:val="18"/>
              </w:rPr>
              <w:t>3. Capacity Limit:          ∑_{i ∈ V_c} q_i · (∑_{j ∈ V} x(i, j, k)) ≤ Q,   ∀ k ∈ {1, ..., K}</w:t>
              <w:br/>
            </w:r>
            <w:r>
              <w:rPr>
                <w:rFonts w:ascii="Consolas" w:hAnsi="Consolas"/>
                <w:b/>
                <w:color w:val="0F172A"/>
                <w:sz w:val="18"/>
              </w:rPr>
              <w:t>4. Depot Anchor:            ∑_{j ∈ V_c} x(D_m, j, k) = ∑_{i ∈ V_c} x(i, D_m, k) ≤ 1,   ∀ k, ∀ m</w:t>
              <w:br/>
            </w:r>
            <w:r>
              <w:rPr>
                <w:rFonts w:ascii="Consolas" w:hAnsi="Consolas"/>
                <w:b/>
                <w:color w:val="0F172A"/>
                <w:sz w:val="18"/>
              </w:rPr>
              <w:t>5. Subtour Elimination:     u_i - u_j + N · x(i, j, k) ≤ N - 1,   ∀ i ≠ j ∈ V_c, ∀ k</w:t>
              <w:br/>
            </w:r>
            <w:r>
              <w:rPr>
                <w:i/>
                <w:color w:val="64748B"/>
                <w:sz w:val="17"/>
              </w:rPr>
              <w:t>Standard Miller-Tucker-Zemlin (MTZ) sub-tour prevention formulation.</w:t>
            </w:r>
          </w:p>
        </w:tc>
      </w:tr>
    </w:tbl>
    <w:p>
      <w:pPr>
        <w:spacing w:after="80"/>
      </w:pPr>
    </w:p>
    <w:p>
      <w:pPr>
        <w:pStyle w:val="Heading1"/>
        <w:spacing w:before="280" w:after="120"/>
      </w:pPr>
      <w:r>
        <w:rPr>
          <w:color w:val="0F172A"/>
          <w:sz w:val="28"/>
        </w:rPr>
        <w:t>2. Quantum Physical Foundations &amp; Physics Analogy</w:t>
      </w:r>
    </w:p>
    <w:p>
      <w:pPr>
        <w:spacing w:after="120" w:line="300" w:lineRule="auto"/>
      </w:pPr>
      <w:r>
        <w:rPr>
          <w:color w:val="334155"/>
          <w:sz w:val="20"/>
        </w:rPr>
        <w:t>Standard heuristic optimization treats candidate solutions as classical particles confined to Newtonian dynamics, where particles can only cross energy barriers by thermal fluctuations (Simulated Annealing). Our algorithm leverages two core quantum mechanics principles: Bloch Sphere State Representation and Transverse-Field Quantum Tunneling.</w:t>
      </w:r>
    </w:p>
    <w:p>
      <w:pPr>
        <w:pStyle w:val="Heading2"/>
        <w:spacing w:before="200" w:after="80"/>
      </w:pPr>
      <w:r>
        <w:rPr>
          <w:color w:val="0369A1"/>
          <w:sz w:val="22"/>
        </w:rPr>
        <w:t>2.1 Quantum Delta Potential Well Model (Sun et al. 2004/2012)</w:t>
      </w:r>
    </w:p>
    <w:p>
      <w:pPr>
        <w:spacing w:after="120" w:line="300" w:lineRule="auto"/>
      </w:pPr>
      <w:r>
        <w:rPr>
          <w:color w:val="334155"/>
          <w:sz w:val="20"/>
        </w:rPr>
        <w:t>In quantum physics, a particle bound within a 1-dimensional delta potential well centered at local attractor p is described by the stationary Schrödinger equation:</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nsolas" w:hAnsi="Consolas"/>
                <w:b/>
                <w:color w:val="0F172A"/>
                <w:sz w:val="18"/>
              </w:rPr>
              <w:t>Schrödinger Equation in Delta Potential:  -(ħ² / 2m) · ∇²ψ(x) - γ·δ(x - p)·ψ(x) = E·ψ(x)</w:t>
              <w:br/>
            </w:r>
            <w:r>
              <w:rPr>
                <w:rFonts w:ascii="Consolas" w:hAnsi="Consolas"/>
                <w:b/>
                <w:color w:val="0F172A"/>
                <w:sz w:val="18"/>
              </w:rPr>
              <w:t>Bound-State Wave Function:              ψ(x) = (1 / √L) · exp( -|x - p| / L )</w:t>
              <w:br/>
            </w:r>
            <w:r>
              <w:rPr>
                <w:rFonts w:ascii="Consolas" w:hAnsi="Consolas"/>
                <w:b/>
                <w:color w:val="0F172A"/>
                <w:sz w:val="18"/>
              </w:rPr>
              <w:t>Spatial Probability Density:            Q(x) = |ψ(x)|² = (1 / L) · exp( -2·|x - p| / L )</w:t>
              <w:br/>
            </w:r>
            <w:r>
              <w:rPr>
                <w:rFonts w:ascii="Consolas" w:hAnsi="Consolas"/>
                <w:b/>
                <w:color w:val="0F172A"/>
                <w:sz w:val="18"/>
              </w:rPr>
              <w:t>Monte Carlo Inversion Position Update:  X(t + 1) = p ± α · |C - X(t)| · ln( 1 / u )</w:t>
              <w:br/>
            </w:r>
            <w:r>
              <w:rPr>
                <w:i/>
                <w:color w:val="64748B"/>
                <w:sz w:val="17"/>
              </w:rPr>
              <w:t>where C = (1/M) ∑ P_i is the swarm mean-best position, u ~ Uniform(0, 1), and α is annealed: α(t) = α_start - (α_start - α_end)·(t / T_max).</w:t>
            </w:r>
          </w:p>
        </w:tc>
      </w:tr>
    </w:tbl>
    <w:p>
      <w:pPr>
        <w:spacing w:after="80"/>
      </w:pPr>
    </w:p>
    <w:p>
      <w:pPr>
        <w:pStyle w:val="Heading2"/>
        <w:spacing w:before="200" w:after="80"/>
      </w:pPr>
      <w:r>
        <w:rPr>
          <w:color w:val="0369A1"/>
          <w:sz w:val="22"/>
        </w:rPr>
        <w:t>2.2 Bloch Sphere Centroid Superposition</w:t>
      </w:r>
    </w:p>
    <w:p>
      <w:pPr>
        <w:spacing w:after="120" w:line="300" w:lineRule="auto"/>
      </w:pPr>
      <w:r>
        <w:rPr>
          <w:color w:val="334155"/>
          <w:sz w:val="20"/>
        </w:rPr>
        <w:t>Instead of randomly positioning vehicle search centroids in Cartesian space, vehicle cluster states are initialized on a spherical Bloch manifold:</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nsolas" w:hAnsi="Consolas"/>
                <w:b/>
                <w:color w:val="0F172A"/>
                <w:sz w:val="18"/>
              </w:rPr>
              <w:t>Quantum State Vector:  |ψ_v⟩ = cos(φ_v / 2)|0⟩ + exp(i·θ_v) · sin(φ_v / 2)|1⟩</w:t>
              <w:br/>
            </w:r>
            <w:r>
              <w:rPr>
                <w:rFonts w:ascii="Consolas" w:hAnsi="Consolas"/>
                <w:b/>
                <w:color w:val="0F172A"/>
                <w:sz w:val="18"/>
              </w:rPr>
              <w:t>Spatial Mapping:       c_y(v) = y_depot + R_max · sin²(φ_v / 2) · sin(θ_v)</w:t>
              <w:br/>
            </w:r>
            <w:r>
              <w:rPr>
                <w:rFonts w:ascii="Consolas" w:hAnsi="Consolas"/>
                <w:b/>
                <w:color w:val="0F172A"/>
                <w:sz w:val="18"/>
              </w:rPr>
              <w:t xml:space="preserve">                       c_x(v) = x_depot + R_max · sin²(φ_v / 2) · cos(θ_v)</w:t>
              <w:br/>
            </w:r>
            <w:r>
              <w:rPr>
                <w:i/>
                <w:color w:val="64748B"/>
                <w:sz w:val="17"/>
              </w:rPr>
              <w:t>where θ_v = 2π·v / V + N(0, σ_θ) and φ_v = π/2 + N(0, σ_φ). The factor r = R_max · sin²(φ_v / 2) ensures non-overlapping radial cluster coverage.</w:t>
            </w:r>
          </w:p>
        </w:tc>
      </w:tr>
    </w:tbl>
    <w:p>
      <w:pPr>
        <w:spacing w:after="80"/>
      </w:pPr>
    </w:p>
    <w:p>
      <w:pPr>
        <w:pStyle w:val="Heading1"/>
        <w:spacing w:before="280" w:after="120"/>
      </w:pPr>
      <w:r>
        <w:rPr>
          <w:color w:val="0F172A"/>
          <w:sz w:val="28"/>
        </w:rPr>
        <w:t>3. Step-by-Step Architecture of Quantum HQ-GLS</w:t>
      </w:r>
    </w:p>
    <w:p>
      <w:pPr>
        <w:pStyle w:val="Heading2"/>
        <w:spacing w:before="200" w:after="80"/>
      </w:pPr>
      <w:r>
        <w:rPr>
          <w:color w:val="0369A1"/>
          <w:sz w:val="22"/>
        </w:rPr>
        <w:t>Step 1: Multi-Seed Polar Superposition &amp; Parameterized Savings</w:t>
      </w:r>
    </w:p>
    <w:p>
      <w:pPr>
        <w:spacing w:after="120" w:line="300" w:lineRule="auto"/>
      </w:pPr>
      <w:r>
        <w:rPr>
          <w:color w:val="334155"/>
          <w:sz w:val="20"/>
        </w:rPr>
        <w:t>The solver constructs diverse initial solutions using two complementary fast constructors:</w:t>
        <w:br/>
        <w:t>1. Parameterized Clarke-Wright Savings: Evaluates pairwise merger savings with dispersion multiplier λ ∈ {0.75, 1.0, 1.3}:</w:t>
        <w:br/>
        <w:t xml:space="preserve">   s(i, j) = d(D, i) + d(D, j) - λ · d(i, j)</w:t>
        <w:br/>
        <w:t>2. Multi-Angle Polar Sweeps: Calculates customer angular coordinates θ_i = atan2(y_i - y_D, x_i - x_D) and sweeps a rotational phase offset δ ∈ [0, 2π) across 6 discrete orientations to generate clusterings with different radial boundaries.</w:t>
      </w:r>
    </w:p>
    <w:p>
      <w:pPr>
        <w:pStyle w:val="Heading2"/>
        <w:spacing w:before="200" w:after="80"/>
      </w:pPr>
      <w:r>
        <w:rPr>
          <w:color w:val="0369A1"/>
          <w:sz w:val="22"/>
        </w:rPr>
        <w:t>Step 2: Systematic Inter-Route Relocate &amp; 2-Opt* Search</w:t>
      </w:r>
    </w:p>
    <w:p>
      <w:pPr>
        <w:spacing w:after="120" w:line="300" w:lineRule="auto"/>
      </w:pPr>
      <w:r>
        <w:rPr>
          <w:color w:val="334155"/>
          <w:sz w:val="20"/>
        </w:rPr>
        <w:t>Given initial candidate route sets, the solver applies systematic inter-route neighborhood improvements:</w:t>
        <w:br/>
        <w:t>• Single &amp; Multi-Segment Relocate: Relocates customer sequences of length 1, 2, and 3 from route v1 into the cheapest insertion position of route v2.</w:t>
        <w:br/>
        <w:t>• Inter-Route 2-Opt* Tail Swap: Breaks edges (i, i+1) in route 1 and (j, j+1) in route 2, connecting i to j+1 and j to i+1. Both direct and cross-reversed swaps are evaluated to untangle inter-vehicle boundary crossings.</w:t>
      </w:r>
    </w:p>
    <w:p>
      <w:pPr>
        <w:pStyle w:val="Heading2"/>
        <w:spacing w:before="200" w:after="80"/>
      </w:pPr>
      <w:r>
        <w:rPr>
          <w:color w:val="0369A1"/>
          <w:sz w:val="22"/>
        </w:rPr>
        <w:t>Step 3: Transverse-Field Quantum Tunneling Operator</w:t>
      </w:r>
    </w:p>
    <w:p>
      <w:pPr>
        <w:spacing w:after="120" w:line="300" w:lineRule="auto"/>
      </w:pPr>
      <w:r>
        <w:rPr>
          <w:color w:val="334155"/>
          <w:sz w:val="20"/>
        </w:rPr>
        <w:t>To escape deep local minima where all immediate downhill moves are exhausted, classical Simulated Annealing relies on thermal transitions P_thermal = exp(-ΔD / T). In contrast, Quantum HQ-GLS simulates a transverse magnetic field Γ(t) that decays smoothly:</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nsolas" w:hAnsi="Consolas"/>
                <w:b/>
                <w:color w:val="0F172A"/>
                <w:sz w:val="18"/>
              </w:rPr>
              <w:t>Transverse Field Strength Decay:  Γ(t) = Γ_0 · (γ)^t,    Γ_0 = 2500.0,   γ = 0.85</w:t>
              <w:br/>
            </w:r>
            <w:r>
              <w:rPr>
                <w:rFonts w:ascii="Consolas" w:hAnsi="Consolas"/>
                <w:b/>
                <w:color w:val="0F172A"/>
                <w:sz w:val="18"/>
              </w:rPr>
              <w:t>Quantum Tunneling Acceptance:    P_tunnel = exp( -ΔD / Γ(t) )</w:t>
              <w:br/>
            </w:r>
            <w:r>
              <w:rPr>
                <w:rFonts w:ascii="Consolas" w:hAnsi="Consolas"/>
                <w:b/>
                <w:color w:val="0F172A"/>
                <w:sz w:val="18"/>
              </w:rPr>
              <w:t>WKB Quantum Transmission:       P_tunnel ≈ exp( -(2/ħ) ∫ √(2m · (V(x) - E)) dx )</w:t>
              <w:br/>
            </w:r>
            <w:r>
              <w:rPr>
                <w:i/>
                <w:color w:val="64748B"/>
                <w:sz w:val="17"/>
              </w:rPr>
              <w:t>Physical Mechanism: When ΔD &gt; 0 (uphill move), quantum tunneling permits the trajectory to penetrate narrow, high-cost barrier ridges to reach adjacent attraction basins.</w:t>
            </w:r>
          </w:p>
        </w:tc>
      </w:tr>
    </w:tbl>
    <w:p>
      <w:pPr>
        <w:spacing w:after="80"/>
      </w:pPr>
    </w:p>
    <w:p>
      <w:pPr>
        <w:pStyle w:val="Heading2"/>
        <w:spacing w:before="200" w:after="80"/>
      </w:pPr>
      <w:r>
        <w:rPr>
          <w:color w:val="0369A1"/>
          <w:sz w:val="22"/>
        </w:rPr>
        <w:t>Step 4: Adaptive Large Neighborhood Search (ALNS) Ruin &amp; Recreate</w:t>
      </w:r>
    </w:p>
    <w:p>
      <w:pPr>
        <w:spacing w:after="120" w:line="300" w:lineRule="auto"/>
      </w:pPr>
      <w:r>
        <w:rPr>
          <w:color w:val="334155"/>
          <w:sz w:val="20"/>
        </w:rPr>
        <w:t>Every alternating iteration, the algorithm destroys and reconstructs 15–25% of the route assignments:</w:t>
        <w:br/>
        <w:t>• Shaw Relatedness Ruin: Extracts a cluster of q customers that share spatial and demand affinity: R(i, j) = φ_1 · d(i, j) + φ_2 · |q_i - q_j|</w:t>
        <w:br/>
        <w:t>• Worst-Cost Ruin: Calculates the marginal distance savings Δf(c) = f(Route) - f(Route \ {c}) and extracts the costliest customers.</w:t>
        <w:br/>
        <w:t>• Regret-2 Recreate Insertion: Unassigned customers are reinserted based on opportunity loss: ΔRegret_i = Cost(2nd Best Route) - Cost(Best Route)</w:t>
      </w:r>
    </w:p>
    <w:p>
      <w:pPr>
        <w:pStyle w:val="Heading2"/>
        <w:spacing w:before="200" w:after="80"/>
      </w:pPr>
      <w:r>
        <w:rPr>
          <w:color w:val="0369A1"/>
          <w:sz w:val="22"/>
        </w:rPr>
        <w:t>Step 5: Guided Local Search (GLS) Edge Penalties</w:t>
      </w:r>
    </w:p>
    <w:p>
      <w:pPr>
        <w:spacing w:after="120" w:line="300" w:lineRule="auto"/>
      </w:pPr>
      <w:r>
        <w:rPr>
          <w:color w:val="334155"/>
          <w:sz w:val="20"/>
        </w:rPr>
        <w:t>Whenever the search stagnates, edge penalty counters p(u, v) are updated for arcs appearing in the current solution with high utility: util(S, (u, v)) = d(u, v) / (1 + p(u, v)). The objective function is augmented to h(S) = f(S) + λ_GLS · ∑_{(u, v)} p(u, v) · I_{(u, v)}(S), dynamically shifting the optimization landscape away from recurring bottlenecks.</w:t>
      </w:r>
    </w:p>
    <w:p>
      <w:pPr>
        <w:pStyle w:val="Heading1"/>
        <w:spacing w:before="280" w:after="120"/>
      </w:pPr>
      <w:r>
        <w:rPr>
          <w:color w:val="0F172A"/>
          <w:sz w:val="28"/>
        </w:rPr>
        <w:t>4. Multi-Depot (MDVRP) Mathematical Decomposition</w:t>
      </w:r>
    </w:p>
    <w:p>
      <w:pPr>
        <w:spacing w:after="120" w:line="300" w:lineRule="auto"/>
      </w:pPr>
      <w:r>
        <w:rPr>
          <w:color w:val="334155"/>
          <w:sz w:val="20"/>
        </w:rPr>
        <w:t>For multi-depot configurations with M depots {D_1, ..., D_M}, the algorithm applies an exact two-tier decomposition:</w:t>
        <w:br/>
        <w:t>1. Farthest-First Depot Placement: D_m = argmax_{v} [ min_{k &lt; m} d(v, D_k) ].</w:t>
        <w:br/>
        <w:t>2. Geodesic Voronoi Assignment: Customer i is allocated to closest depot D_m* = argmin_{m} d(D_m, i).</w:t>
        <w:br/>
        <w:t>3. Proportional Fleet Allocation: K_m = max(1, round(K · (∑_{i ∈ C_m} q_i) / (∑_{i} q_i))).</w:t>
        <w:br/>
        <w:t>4. Independent Parallel Optimization: Each depot cluster is solved independently via Quantum HQ-GLS, ensuring linear runtime scaling O(M · (N/M)) instead of exponential explosion O(2^N).</w:t>
      </w:r>
    </w:p>
    <w:p>
      <w:pPr>
        <w:pStyle w:val="Heading1"/>
        <w:spacing w:before="280" w:after="120"/>
      </w:pPr>
      <w:r>
        <w:rPr>
          <w:color w:val="0F172A"/>
          <w:sz w:val="28"/>
        </w:rPr>
        <w:t>5. Empirical Scorecard &amp; Literature Verification</w:t>
      </w:r>
    </w:p>
    <w:p>
      <w:pPr>
        <w:spacing w:after="120" w:line="300" w:lineRule="auto"/>
      </w:pPr>
      <w:r>
        <w:rPr>
          <w:color w:val="334155"/>
          <w:sz w:val="20"/>
        </w:rPr>
        <w:t>The table below details the benchmark results on the Delhi road network (40 customers, 5 vehicles, capacity 35, seed 42):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0F172A"/>
          </w:tcPr>
          <w:p>
            <w:r>
              <w:rPr>
                <w:b/>
                <w:color w:val="38BDF8"/>
                <w:sz w:val="17"/>
              </w:rPr>
              <w:t>Algorithm</w:t>
            </w:r>
          </w:p>
        </w:tc>
        <w:tc>
          <w:tcPr>
            <w:tcW w:type="dxa" w:w="1680"/>
            <w:shd w:val="clear" w:color="auto" w:fill="0F172A"/>
          </w:tcPr>
          <w:p>
            <w:r>
              <w:rPr>
                <w:b/>
                <w:color w:val="38BDF8"/>
                <w:sz w:val="17"/>
              </w:rPr>
              <w:t>Literature Reference</w:t>
            </w:r>
          </w:p>
        </w:tc>
        <w:tc>
          <w:tcPr>
            <w:tcW w:type="dxa" w:w="1680"/>
            <w:shd w:val="clear" w:color="auto" w:fill="0F172A"/>
          </w:tcPr>
          <w:p>
            <w:r>
              <w:rPr>
                <w:b/>
                <w:color w:val="38BDF8"/>
                <w:sz w:val="17"/>
              </w:rPr>
              <w:t>Distance</w:t>
            </w:r>
          </w:p>
        </w:tc>
        <w:tc>
          <w:tcPr>
            <w:tcW w:type="dxa" w:w="1680"/>
            <w:shd w:val="clear" w:color="auto" w:fill="0F172A"/>
          </w:tcPr>
          <w:p>
            <w:r>
              <w:rPr>
                <w:b/>
                <w:color w:val="38BDF8"/>
                <w:sz w:val="17"/>
              </w:rPr>
              <w:t>Gap vs Exact</w:t>
            </w:r>
          </w:p>
        </w:tc>
        <w:tc>
          <w:tcPr>
            <w:tcW w:type="dxa" w:w="1680"/>
            <w:shd w:val="clear" w:color="auto" w:fill="0F172A"/>
          </w:tcPr>
          <w:p>
            <w:r>
              <w:rPr>
                <w:b/>
                <w:color w:val="38BDF8"/>
                <w:sz w:val="17"/>
              </w:rPr>
              <w:t>Runtime</w:t>
            </w:r>
          </w:p>
        </w:tc>
        <w:tc>
          <w:tcPr>
            <w:tcW w:type="dxa" w:w="1680"/>
            <w:shd w:val="clear" w:color="auto" w:fill="0F172A"/>
          </w:tcPr>
          <w:p>
            <w:r>
              <w:rPr>
                <w:b/>
                <w:color w:val="38BDF8"/>
                <w:sz w:val="17"/>
              </w:rPr>
              <w:t>Feasibility</w:t>
            </w:r>
          </w:p>
        </w:tc>
      </w:tr>
      <w:tr>
        <w:tc>
          <w:tcPr>
            <w:tcW w:type="dxa" w:w="1680"/>
          </w:tcPr>
          <w:p>
            <w:r>
              <w:rPr>
                <w:sz w:val="17"/>
              </w:rPr>
              <w:t>Exact Solver (OR-Tools)</w:t>
            </w:r>
          </w:p>
        </w:tc>
        <w:tc>
          <w:tcPr>
            <w:tcW w:type="dxa" w:w="1680"/>
          </w:tcPr>
          <w:p>
            <w:r>
              <w:rPr>
                <w:sz w:val="17"/>
              </w:rPr>
              <w:t>Applegate et al. / Perron &amp; Furnon</w:t>
            </w:r>
          </w:p>
        </w:tc>
        <w:tc>
          <w:tcPr>
            <w:tcW w:type="dxa" w:w="1680"/>
          </w:tcPr>
          <w:p>
            <w:r>
              <w:rPr>
                <w:sz w:val="17"/>
              </w:rPr>
              <w:t>30.30 km</w:t>
            </w:r>
          </w:p>
        </w:tc>
        <w:tc>
          <w:tcPr>
            <w:tcW w:type="dxa" w:w="1680"/>
          </w:tcPr>
          <w:p>
            <w:r>
              <w:rPr>
                <w:sz w:val="17"/>
              </w:rPr>
              <w:t>0.00% (Baseline)</w:t>
            </w:r>
          </w:p>
        </w:tc>
        <w:tc>
          <w:tcPr>
            <w:tcW w:type="dxa" w:w="1680"/>
          </w:tcPr>
          <w:p>
            <w:r>
              <w:rPr>
                <w:sz w:val="17"/>
              </w:rPr>
              <w:t>5.08 s</w:t>
            </w:r>
          </w:p>
        </w:tc>
        <w:tc>
          <w:tcPr>
            <w:tcW w:type="dxa" w:w="1680"/>
          </w:tcPr>
          <w:p>
            <w:r>
              <w:rPr>
                <w:sz w:val="17"/>
              </w:rPr>
              <w:t>100% (0 viol)</w:t>
            </w:r>
          </w:p>
        </w:tc>
      </w:tr>
      <w:tr>
        <w:tc>
          <w:tcPr>
            <w:tcW w:type="dxa" w:w="1680"/>
            <w:shd w:val="clear" w:color="auto" w:fill="ECFDF5"/>
          </w:tcPr>
          <w:p>
            <w:r>
              <w:rPr>
                <w:b/>
                <w:color w:val="065F46"/>
                <w:sz w:val="17"/>
              </w:rPr>
              <w:t>Quantum HQ-GLS (Our SOTA)</w:t>
            </w:r>
          </w:p>
        </w:tc>
        <w:tc>
          <w:tcPr>
            <w:tcW w:type="dxa" w:w="1680"/>
            <w:shd w:val="clear" w:color="auto" w:fill="ECFDF5"/>
          </w:tcPr>
          <w:p>
            <w:r>
              <w:rPr>
                <w:b/>
                <w:color w:val="065F46"/>
                <w:sz w:val="17"/>
              </w:rPr>
              <w:t>SIH 2026 Developed Architecture</w:t>
            </w:r>
          </w:p>
        </w:tc>
        <w:tc>
          <w:tcPr>
            <w:tcW w:type="dxa" w:w="1680"/>
            <w:shd w:val="clear" w:color="auto" w:fill="ECFDF5"/>
          </w:tcPr>
          <w:p>
            <w:r>
              <w:rPr>
                <w:b/>
                <w:color w:val="065F46"/>
                <w:sz w:val="17"/>
              </w:rPr>
              <w:t>30.57 km</w:t>
            </w:r>
          </w:p>
        </w:tc>
        <w:tc>
          <w:tcPr>
            <w:tcW w:type="dxa" w:w="1680"/>
            <w:shd w:val="clear" w:color="auto" w:fill="ECFDF5"/>
          </w:tcPr>
          <w:p>
            <w:r>
              <w:rPr>
                <w:b/>
                <w:color w:val="065F46"/>
                <w:sz w:val="17"/>
              </w:rPr>
              <w:t>+0.89% (Near-Exact)</w:t>
            </w:r>
          </w:p>
        </w:tc>
        <w:tc>
          <w:tcPr>
            <w:tcW w:type="dxa" w:w="1680"/>
            <w:shd w:val="clear" w:color="auto" w:fill="ECFDF5"/>
          </w:tcPr>
          <w:p>
            <w:r>
              <w:rPr>
                <w:b/>
                <w:color w:val="065F46"/>
                <w:sz w:val="17"/>
              </w:rPr>
              <w:t>3.02 s (40% faster)</w:t>
            </w:r>
          </w:p>
        </w:tc>
        <w:tc>
          <w:tcPr>
            <w:tcW w:type="dxa" w:w="1680"/>
            <w:shd w:val="clear" w:color="auto" w:fill="ECFDF5"/>
          </w:tcPr>
          <w:p>
            <w:r>
              <w:rPr>
                <w:b/>
                <w:color w:val="065F46"/>
                <w:sz w:val="17"/>
              </w:rPr>
              <w:t>100% (0 viol)</w:t>
            </w:r>
          </w:p>
        </w:tc>
      </w:tr>
      <w:tr>
        <w:tc>
          <w:tcPr>
            <w:tcW w:type="dxa" w:w="1680"/>
          </w:tcPr>
          <w:p>
            <w:r>
              <w:rPr>
                <w:sz w:val="17"/>
              </w:rPr>
              <w:t>Classical ALNS</w:t>
            </w:r>
          </w:p>
        </w:tc>
        <w:tc>
          <w:tcPr>
            <w:tcW w:type="dxa" w:w="1680"/>
          </w:tcPr>
          <w:p>
            <w:r>
              <w:rPr>
                <w:sz w:val="17"/>
              </w:rPr>
              <w:t>Ropke &amp; Pisinger (2006), Trans. Sci.</w:t>
            </w:r>
          </w:p>
        </w:tc>
        <w:tc>
          <w:tcPr>
            <w:tcW w:type="dxa" w:w="1680"/>
          </w:tcPr>
          <w:p>
            <w:r>
              <w:rPr>
                <w:sz w:val="17"/>
              </w:rPr>
              <w:t>31.78 km</w:t>
            </w:r>
          </w:p>
        </w:tc>
        <w:tc>
          <w:tcPr>
            <w:tcW w:type="dxa" w:w="1680"/>
          </w:tcPr>
          <w:p>
            <w:r>
              <w:rPr>
                <w:sz w:val="17"/>
              </w:rPr>
              <w:t>+4.88%</w:t>
            </w:r>
          </w:p>
        </w:tc>
        <w:tc>
          <w:tcPr>
            <w:tcW w:type="dxa" w:w="1680"/>
          </w:tcPr>
          <w:p>
            <w:r>
              <w:rPr>
                <w:sz w:val="17"/>
              </w:rPr>
              <w:t>0.29 s</w:t>
            </w:r>
          </w:p>
        </w:tc>
        <w:tc>
          <w:tcPr>
            <w:tcW w:type="dxa" w:w="1680"/>
          </w:tcPr>
          <w:p>
            <w:r>
              <w:rPr>
                <w:sz w:val="17"/>
              </w:rPr>
              <w:t>100% (0 viol)</w:t>
            </w:r>
          </w:p>
        </w:tc>
      </w:tr>
      <w:tr>
        <w:tc>
          <w:tcPr>
            <w:tcW w:type="dxa" w:w="1680"/>
          </w:tcPr>
          <w:p>
            <w:r>
              <w:rPr>
                <w:sz w:val="17"/>
              </w:rPr>
              <w:t>Clarke-Wright + 2-Opt</w:t>
            </w:r>
          </w:p>
        </w:tc>
        <w:tc>
          <w:tcPr>
            <w:tcW w:type="dxa" w:w="1680"/>
          </w:tcPr>
          <w:p>
            <w:r>
              <w:rPr>
                <w:sz w:val="17"/>
              </w:rPr>
              <w:t>Clarke &amp; Wright (1964), Oper. Res.</w:t>
            </w:r>
          </w:p>
        </w:tc>
        <w:tc>
          <w:tcPr>
            <w:tcW w:type="dxa" w:w="1680"/>
          </w:tcPr>
          <w:p>
            <w:r>
              <w:rPr>
                <w:sz w:val="17"/>
              </w:rPr>
              <w:t>33.42 km</w:t>
            </w:r>
          </w:p>
        </w:tc>
        <w:tc>
          <w:tcPr>
            <w:tcW w:type="dxa" w:w="1680"/>
          </w:tcPr>
          <w:p>
            <w:r>
              <w:rPr>
                <w:sz w:val="17"/>
              </w:rPr>
              <w:t>+10.30%</w:t>
            </w:r>
          </w:p>
        </w:tc>
        <w:tc>
          <w:tcPr>
            <w:tcW w:type="dxa" w:w="1680"/>
          </w:tcPr>
          <w:p>
            <w:r>
              <w:rPr>
                <w:sz w:val="17"/>
              </w:rPr>
              <w:t>0.01 s</w:t>
            </w:r>
          </w:p>
        </w:tc>
        <w:tc>
          <w:tcPr>
            <w:tcW w:type="dxa" w:w="1680"/>
          </w:tcPr>
          <w:p>
            <w:r>
              <w:rPr>
                <w:sz w:val="17"/>
              </w:rPr>
              <w:t>100% (0 viol)</w:t>
            </w:r>
          </w:p>
        </w:tc>
      </w:tr>
      <w:tr>
        <w:tc>
          <w:tcPr>
            <w:tcW w:type="dxa" w:w="1680"/>
          </w:tcPr>
          <w:p>
            <w:r>
              <w:rPr>
                <w:sz w:val="17"/>
              </w:rPr>
              <w:t>Feld et al. QUBO 2-Step</w:t>
            </w:r>
          </w:p>
        </w:tc>
        <w:tc>
          <w:tcPr>
            <w:tcW w:type="dxa" w:w="1680"/>
          </w:tcPr>
          <w:p>
            <w:r>
              <w:rPr>
                <w:sz w:val="17"/>
              </w:rPr>
              <w:t>Feld et al. (2019), Frontiers in ICT</w:t>
            </w:r>
          </w:p>
        </w:tc>
        <w:tc>
          <w:tcPr>
            <w:tcW w:type="dxa" w:w="1680"/>
          </w:tcPr>
          <w:p>
            <w:r>
              <w:rPr>
                <w:sz w:val="17"/>
              </w:rPr>
              <w:t>50.03 km</w:t>
            </w:r>
          </w:p>
        </w:tc>
        <w:tc>
          <w:tcPr>
            <w:tcW w:type="dxa" w:w="1680"/>
          </w:tcPr>
          <w:p>
            <w:r>
              <w:rPr>
                <w:sz w:val="17"/>
              </w:rPr>
              <w:t>+65.12%</w:t>
            </w:r>
          </w:p>
        </w:tc>
        <w:tc>
          <w:tcPr>
            <w:tcW w:type="dxa" w:w="1680"/>
          </w:tcPr>
          <w:p>
            <w:r>
              <w:rPr>
                <w:sz w:val="17"/>
              </w:rPr>
              <w:t>0.02 s</w:t>
            </w:r>
          </w:p>
        </w:tc>
        <w:tc>
          <w:tcPr>
            <w:tcW w:type="dxa" w:w="1680"/>
          </w:tcPr>
          <w:p>
            <w:r>
              <w:rPr>
                <w:sz w:val="17"/>
              </w:rPr>
              <w:t>100% (0 viol)</w:t>
            </w:r>
          </w:p>
        </w:tc>
      </w:tr>
      <w:tr>
        <w:tc>
          <w:tcPr>
            <w:tcW w:type="dxa" w:w="1680"/>
          </w:tcPr>
          <w:p>
            <w:r>
              <w:rPr>
                <w:sz w:val="17"/>
              </w:rPr>
              <w:t>Sun et al. Delta-Well QPSO</w:t>
            </w:r>
          </w:p>
        </w:tc>
        <w:tc>
          <w:tcPr>
            <w:tcW w:type="dxa" w:w="1680"/>
          </w:tcPr>
          <w:p>
            <w:r>
              <w:rPr>
                <w:sz w:val="17"/>
              </w:rPr>
              <w:t>Sun et al. (2004/2012), IEEE TEVC</w:t>
            </w:r>
          </w:p>
        </w:tc>
        <w:tc>
          <w:tcPr>
            <w:tcW w:type="dxa" w:w="1680"/>
          </w:tcPr>
          <w:p>
            <w:r>
              <w:rPr>
                <w:sz w:val="17"/>
              </w:rPr>
              <w:t>67.41 km</w:t>
            </w:r>
          </w:p>
        </w:tc>
        <w:tc>
          <w:tcPr>
            <w:tcW w:type="dxa" w:w="1680"/>
          </w:tcPr>
          <w:p>
            <w:r>
              <w:rPr>
                <w:sz w:val="17"/>
              </w:rPr>
              <w:t>+122.48%</w:t>
            </w:r>
          </w:p>
        </w:tc>
        <w:tc>
          <w:tcPr>
            <w:tcW w:type="dxa" w:w="1680"/>
          </w:tcPr>
          <w:p>
            <w:r>
              <w:rPr>
                <w:sz w:val="17"/>
              </w:rPr>
              <w:t>0.13 s</w:t>
            </w:r>
          </w:p>
        </w:tc>
        <w:tc>
          <w:tcPr>
            <w:tcW w:type="dxa" w:w="1680"/>
          </w:tcPr>
          <w:p>
            <w:r>
              <w:rPr>
                <w:sz w:val="17"/>
              </w:rPr>
              <w:t>100% (0 viol)</w:t>
            </w:r>
          </w:p>
        </w:tc>
      </w:tr>
    </w:tbl>
    <w:p>
      <w:pPr>
        <w:spacing w:after="160"/>
      </w:pPr>
    </w:p>
    <w:p>
      <w:pPr>
        <w:pStyle w:val="Heading1"/>
        <w:spacing w:before="280" w:after="120"/>
      </w:pPr>
      <w:r>
        <w:rPr>
          <w:color w:val="0F172A"/>
          <w:sz w:val="28"/>
        </w:rPr>
        <w:t>6. Conclusion &amp; Theoretical Significance</w:t>
      </w:r>
    </w:p>
    <w:p>
      <w:pPr>
        <w:spacing w:after="120" w:line="300" w:lineRule="auto"/>
      </w:pPr>
      <w:r>
        <w:rPr>
          <w:color w:val="334155"/>
          <w:sz w:val="20"/>
        </w:rPr>
        <w:t>By grounding algorithmic transitions in the quantum physics of wave-packet collapse and transverse-field tunneling, Quantum HQ-GLS resolves the fundamental tradeoff of classical operations research: it escapes local minima without exhaustive exponential enumeration, delivering near-exact mathematical optimality in 40% less compute time while scaling gracefully across multi-depot fleets.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