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Contents</w:t>
      </w:r>
    </w:p>
    <w:p>
      <w:pPr>
        <w:pStyle w:val="BodyText"/>
        <w:bidi w:val="0"/>
        <w:ind w:hanging="0" w:left="0" w:right="0"/>
        <w:jc w:val="left"/>
        <w:rPr/>
      </w:pPr>
      <w:r>
        <w:rPr/>
        <w:t>Recovering the airport surface: taxi-out prediction from OpenStreetMap geometry</w:t>
      </w:r>
    </w:p>
    <w:p>
      <w:pPr>
        <w:pStyle w:val="BodyText"/>
        <w:bidi w:val="0"/>
        <w:ind w:hanging="0" w:left="0" w:right="0"/>
        <w:jc w:val="left"/>
        <w:rPr/>
      </w:pPr>
      <w:r>
        <w:rPr/>
        <w:t>Abstract</w:t>
      </w:r>
    </w:p>
    <w:p>
      <w:pPr>
        <w:pStyle w:val="BodyText"/>
        <w:bidi w:val="0"/>
        <w:ind w:hanging="0" w:left="0" w:right="0"/>
        <w:jc w:val="left"/>
        <w:rPr/>
      </w:pPr>
      <w:r>
        <w:rPr/>
        <w:t>1. Introduction</w:t>
      </w:r>
    </w:p>
    <w:p>
      <w:pPr>
        <w:pStyle w:val="BodyText"/>
        <w:bidi w:val="0"/>
        <w:ind w:hanging="0" w:left="0" w:right="0"/>
        <w:jc w:val="left"/>
        <w:rPr/>
      </w:pPr>
      <w:r>
        <w:rPr/>
        <w:t>1.1 The problem, and the form the challenge gives it</w:t>
      </w:r>
    </w:p>
    <w:p>
      <w:pPr>
        <w:pStyle w:val="BodyText"/>
        <w:bidi w:val="0"/>
        <w:ind w:hanging="0" w:left="0" w:right="0"/>
        <w:jc w:val="left"/>
        <w:rPr/>
      </w:pPr>
      <w:r>
        <w:rPr/>
        <w:t>1.2 What I set out to test</w:t>
      </w:r>
    </w:p>
    <w:p>
      <w:pPr>
        <w:pStyle w:val="BodyText"/>
        <w:bidi w:val="0"/>
        <w:ind w:hanging="0" w:left="0" w:right="0"/>
        <w:jc w:val="left"/>
        <w:rPr/>
      </w:pPr>
      <w:r>
        <w:rPr/>
        <w:t>1.3 Prior art, and what is new here</w:t>
      </w:r>
    </w:p>
    <w:p>
      <w:pPr>
        <w:pStyle w:val="BodyText"/>
        <w:bidi w:val="0"/>
        <w:ind w:hanging="0" w:left="0" w:right="0"/>
        <w:jc w:val="left"/>
        <w:rPr/>
      </w:pPr>
      <w:r>
        <w:rPr/>
        <w:t>1.4 Terms used in this paper</w:t>
      </w:r>
    </w:p>
    <w:p>
      <w:pPr>
        <w:pStyle w:val="BodyText"/>
        <w:bidi w:val="0"/>
        <w:ind w:hanging="0" w:left="0" w:right="0"/>
        <w:jc w:val="left"/>
        <w:rPr/>
      </w:pPr>
      <w:r>
        <w:rPr/>
        <w:t>2. Data</w:t>
      </w:r>
    </w:p>
    <w:p>
      <w:pPr>
        <w:pStyle w:val="BodyText"/>
        <w:bidi w:val="0"/>
        <w:ind w:hanging="0" w:left="0" w:right="0"/>
        <w:jc w:val="left"/>
        <w:rPr/>
      </w:pPr>
      <w:r>
        <w:rPr/>
        <w:t>2.1 What the challenge supplies, and what it withholds</w:t>
      </w:r>
    </w:p>
    <w:p>
      <w:pPr>
        <w:pStyle w:val="BodyText"/>
        <w:bidi w:val="0"/>
        <w:ind w:hanging="0" w:left="0" w:right="0"/>
        <w:jc w:val="left"/>
        <w:rPr/>
      </w:pPr>
      <w:r>
        <w:rPr/>
        <w:t>2.2 External data, and the license position</w:t>
      </w:r>
    </w:p>
    <w:p>
      <w:pPr>
        <w:pStyle w:val="BodyText"/>
        <w:bidi w:val="0"/>
        <w:ind w:hanging="0" w:left="0" w:right="0"/>
        <w:jc w:val="left"/>
        <w:rPr/>
      </w:pPr>
      <w:r>
        <w:rPr/>
        <w:t>2.3 Reproducibility and the ODbL boundary</w:t>
      </w:r>
    </w:p>
    <w:p>
      <w:pPr>
        <w:pStyle w:val="BodyText"/>
        <w:bidi w:val="0"/>
        <w:ind w:hanging="0" w:left="0" w:right="0"/>
        <w:jc w:val="left"/>
        <w:rPr/>
      </w:pPr>
      <w:r>
        <w:rPr/>
        <w:t>3. Method</w:t>
      </w:r>
    </w:p>
    <w:p>
      <w:pPr>
        <w:pStyle w:val="BodyText"/>
        <w:bidi w:val="0"/>
        <w:ind w:hanging="0" w:left="0" w:right="0"/>
        <w:jc w:val="left"/>
        <w:rPr/>
      </w:pPr>
      <w:r>
        <w:rPr/>
        <w:t>3.1 The decomposition, and the pipeline in order</w:t>
      </w:r>
    </w:p>
    <w:p>
      <w:pPr>
        <w:pStyle w:val="BodyText"/>
        <w:bidi w:val="0"/>
        <w:ind w:hanging="0" w:left="0" w:right="0"/>
        <w:jc w:val="left"/>
        <w:rPr/>
      </w:pPr>
      <w:r>
        <w:rPr/>
        <w:t>3.2 What the model reads</w:t>
      </w:r>
    </w:p>
    <w:p>
      <w:pPr>
        <w:pStyle w:val="BodyText"/>
        <w:bidi w:val="0"/>
        <w:ind w:hanging="0" w:left="0" w:right="0"/>
        <w:jc w:val="left"/>
        <w:rPr/>
      </w:pPr>
      <w:r>
        <w:rPr/>
        <w:t>3.3 Two terms that bypass the booster</w:t>
      </w:r>
    </w:p>
    <w:p>
      <w:pPr>
        <w:pStyle w:val="BodyText"/>
        <w:bidi w:val="0"/>
        <w:ind w:hanging="0" w:left="0" w:right="0"/>
        <w:jc w:val="left"/>
        <w:rPr/>
      </w:pPr>
      <w:r>
        <w:rPr/>
        <w:t>3.4 The booster, its parameters, and the seed average</w:t>
      </w:r>
    </w:p>
    <w:p>
      <w:pPr>
        <w:pStyle w:val="BodyText"/>
        <w:bidi w:val="0"/>
        <w:ind w:hanging="0" w:left="0" w:right="0"/>
        <w:jc w:val="left"/>
        <w:rPr/>
      </w:pPr>
      <w:r>
        <w:rPr/>
        <w:t>3.5 The validation design</w:t>
      </w:r>
    </w:p>
    <w:p>
      <w:pPr>
        <w:pStyle w:val="BodyText"/>
        <w:bidi w:val="0"/>
        <w:ind w:hanging="0" w:left="0" w:right="0"/>
        <w:jc w:val="left"/>
        <w:rPr/>
      </w:pPr>
      <w:r>
        <w:rPr/>
        <w:t>3.6 The instruments</w:t>
      </w:r>
    </w:p>
    <w:p>
      <w:pPr>
        <w:pStyle w:val="BodyText"/>
        <w:bidi w:val="0"/>
        <w:ind w:hanging="0" w:left="0" w:right="0"/>
        <w:jc w:val="left"/>
        <w:rPr/>
      </w:pPr>
      <w:r>
        <w:rPr/>
        <w:t>3.7 What was fixed before the numbers</w:t>
      </w:r>
    </w:p>
    <w:p>
      <w:pPr>
        <w:pStyle w:val="BodyText"/>
        <w:bidi w:val="0"/>
        <w:ind w:hanging="0" w:left="0" w:right="0"/>
        <w:jc w:val="left"/>
        <w:rPr/>
      </w:pPr>
      <w:r>
        <w:rPr/>
        <w:t>4. The tail, and what the scoring rule makes optimal</w:t>
      </w:r>
    </w:p>
    <w:p>
      <w:pPr>
        <w:pStyle w:val="BodyText"/>
        <w:bidi w:val="0"/>
        <w:ind w:hanging="0" w:left="0" w:right="0"/>
        <w:jc w:val="left"/>
        <w:rPr/>
      </w:pPr>
      <w:r>
        <w:rPr/>
        <w:t>5. The unimpeded term</w:t>
      </w:r>
    </w:p>
    <w:p>
      <w:pPr>
        <w:pStyle w:val="BodyText"/>
        <w:bidi w:val="0"/>
        <w:ind w:hanging="0" w:left="0" w:right="0"/>
        <w:jc w:val="left"/>
        <w:rPr/>
      </w:pPr>
      <w:r>
        <w:rPr/>
        <w:t>5.1 From OSM to a routable surface</w:t>
      </w:r>
    </w:p>
    <w:p>
      <w:pPr>
        <w:pStyle w:val="BodyText"/>
        <w:bidi w:val="0"/>
        <w:ind w:hanging="0" w:left="0" w:right="0"/>
        <w:jc w:val="left"/>
        <w:rPr/>
      </w:pPr>
      <w:r>
        <w:rPr/>
        <w:t>5.2 A worked airport: where every number is known</w:t>
      </w:r>
    </w:p>
    <w:p>
      <w:pPr>
        <w:pStyle w:val="BodyText"/>
        <w:bidi w:val="0"/>
        <w:ind w:hanging="0" w:left="0" w:right="0"/>
        <w:jc w:val="left"/>
        <w:rPr/>
      </w:pPr>
      <w:r>
        <w:rPr/>
        <w:t>5.3 What the geometry recovers, and what it does not</w:t>
      </w:r>
    </w:p>
    <w:p>
      <w:pPr>
        <w:pStyle w:val="BodyText"/>
        <w:bidi w:val="0"/>
        <w:ind w:hanging="0" w:left="0" w:right="0"/>
        <w:jc w:val="left"/>
        <w:rPr/>
      </w:pPr>
      <w:r>
        <w:rPr/>
        <w:t>5.4 Where memorization runs out, and what replaces it</w:t>
      </w:r>
    </w:p>
    <w:p>
      <w:pPr>
        <w:pStyle w:val="BodyText"/>
        <w:bidi w:val="0"/>
        <w:ind w:hanging="0" w:left="0" w:right="0"/>
        <w:jc w:val="left"/>
        <w:rPr/>
      </w:pPr>
      <w:r>
        <w:rPr/>
        <w:t>5.5 Taking the model to a new airport</w:t>
      </w:r>
    </w:p>
    <w:p>
      <w:pPr>
        <w:pStyle w:val="BodyText"/>
        <w:bidi w:val="0"/>
        <w:ind w:hanging="0" w:left="0" w:right="0"/>
        <w:jc w:val="left"/>
        <w:rPr/>
      </w:pPr>
      <w:r>
        <w:rPr/>
        <w:t>6. The excess term</w:t>
      </w:r>
    </w:p>
    <w:p>
      <w:pPr>
        <w:pStyle w:val="BodyText"/>
        <w:bidi w:val="0"/>
        <w:ind w:hanging="0" w:left="0" w:right="0"/>
        <w:jc w:val="left"/>
        <w:rPr/>
      </w:pPr>
      <w:r>
        <w:rPr/>
        <w:t>6.1 What the ranking set allows, and the registry that enforces it</w:t>
      </w:r>
    </w:p>
    <w:p>
      <w:pPr>
        <w:pStyle w:val="BodyText"/>
        <w:bidi w:val="0"/>
        <w:ind w:hanging="0" w:left="0" w:right="0"/>
        <w:jc w:val="left"/>
        <w:rPr/>
      </w:pPr>
      <w:r>
        <w:rPr/>
        <w:t>6.2 Congestion, corridor, and weather</w:t>
      </w:r>
    </w:p>
    <w:p>
      <w:pPr>
        <w:pStyle w:val="BodyText"/>
        <w:bidi w:val="0"/>
        <w:ind w:hanging="0" w:left="0" w:right="0"/>
        <w:jc w:val="left"/>
        <w:rPr/>
      </w:pPr>
      <w:r>
        <w:rPr/>
        <w:t>6.3 The flight plan's own delay signal</w:t>
      </w:r>
    </w:p>
    <w:p>
      <w:pPr>
        <w:pStyle w:val="BodyText"/>
        <w:bidi w:val="0"/>
        <w:ind w:hanging="0" w:left="0" w:right="0"/>
        <w:jc w:val="left"/>
        <w:rPr/>
      </w:pPr>
      <w:r>
        <w:rPr/>
        <w:t>6.4 The queue layer that was not built</w:t>
      </w:r>
    </w:p>
    <w:p>
      <w:pPr>
        <w:pStyle w:val="BodyText"/>
        <w:bidi w:val="0"/>
        <w:ind w:hanging="0" w:left="0" w:right="0"/>
        <w:jc w:val="left"/>
        <w:rPr/>
      </w:pPr>
      <w:r>
        <w:rPr/>
        <w:t>6.5 The stand's recent history, and the bound inside it</w:t>
      </w:r>
    </w:p>
    <w:p>
      <w:pPr>
        <w:pStyle w:val="BodyText"/>
        <w:bidi w:val="0"/>
        <w:ind w:hanging="0" w:left="0" w:right="0"/>
        <w:jc w:val="left"/>
        <w:rPr/>
      </w:pPr>
      <w:r>
        <w:rPr/>
        <w:t>7. Validation</w:t>
      </w:r>
    </w:p>
    <w:p>
      <w:pPr>
        <w:pStyle w:val="BodyText"/>
        <w:bidi w:val="0"/>
        <w:ind w:hanging="0" w:left="0" w:right="0"/>
        <w:jc w:val="left"/>
        <w:rPr/>
      </w:pPr>
      <w:r>
        <w:rPr/>
        <w:t>7.1 The design, fixed before anything was fitted</w:t>
      </w:r>
    </w:p>
    <w:p>
      <w:pPr>
        <w:pStyle w:val="BodyText"/>
        <w:bidi w:val="0"/>
        <w:ind w:hanging="0" w:left="0" w:right="0"/>
        <w:jc w:val="left"/>
        <w:rPr/>
      </w:pPr>
      <w:r>
        <w:rPr/>
        <w:t>7.1.1 What the forward legs cannot see</w:t>
      </w:r>
    </w:p>
    <w:p>
      <w:pPr>
        <w:pStyle w:val="BodyText"/>
        <w:bidi w:val="0"/>
        <w:ind w:hanging="0" w:left="0" w:right="0"/>
        <w:jc w:val="left"/>
        <w:rPr/>
      </w:pPr>
      <w:r>
        <w:rPr/>
        <w:t>7.1.2 The rules under the parameters that ship, and how those parameters were chosen</w:t>
      </w:r>
    </w:p>
    <w:p>
      <w:pPr>
        <w:pStyle w:val="BodyText"/>
        <w:bidi w:val="0"/>
        <w:ind w:hanging="0" w:left="0" w:right="0"/>
        <w:jc w:val="left"/>
        <w:rPr/>
      </w:pPr>
      <w:r>
        <w:rPr/>
        <w:t>7.2 The ladder, and the claim</w:t>
      </w:r>
    </w:p>
    <w:p>
      <w:pPr>
        <w:pStyle w:val="BodyText"/>
        <w:bidi w:val="0"/>
        <w:ind w:hanging="0" w:left="0" w:right="0"/>
        <w:jc w:val="left"/>
        <w:rPr/>
      </w:pPr>
      <w:r>
        <w:rPr/>
        <w:t>7.3 Exposure to a shift between the training year and the ranking months</w:t>
      </w:r>
    </w:p>
    <w:p>
      <w:pPr>
        <w:pStyle w:val="BodyText"/>
        <w:bidi w:val="0"/>
        <w:ind w:hanging="0" w:left="0" w:right="0"/>
        <w:jc w:val="left"/>
        <w:rPr/>
      </w:pPr>
      <w:r>
        <w:rPr/>
        <w:t>7.4 A block aimed at one place that paid in another: the shrunk encoding</w:t>
      </w:r>
    </w:p>
    <w:p>
      <w:pPr>
        <w:pStyle w:val="BodyText"/>
        <w:bidi w:val="0"/>
        <w:ind w:hanging="0" w:left="0" w:right="0"/>
        <w:jc w:val="left"/>
        <w:rPr/>
      </w:pPr>
      <w:r>
        <w:rPr/>
        <w:t>8. Results</w:t>
      </w:r>
    </w:p>
    <w:p>
      <w:pPr>
        <w:pStyle w:val="BodyText"/>
        <w:bidi w:val="0"/>
        <w:ind w:hanging="0" w:left="0" w:right="0"/>
        <w:jc w:val="left"/>
        <w:rPr/>
      </w:pPr>
      <w:r>
        <w:rPr/>
        <w:t>8.1 The base configuration, and what it scores on the forward splits</w:t>
      </w:r>
    </w:p>
    <w:p>
      <w:pPr>
        <w:pStyle w:val="BodyText"/>
        <w:bidi w:val="0"/>
        <w:ind w:hanging="0" w:left="0" w:right="0"/>
        <w:jc w:val="left"/>
        <w:rPr/>
      </w:pPr>
      <w:r>
        <w:rPr/>
        <w:t>8.2 Every month of the year</w:t>
      </w:r>
    </w:p>
    <w:p>
      <w:pPr>
        <w:pStyle w:val="BodyText"/>
        <w:bidi w:val="0"/>
        <w:ind w:hanging="0" w:left="0" w:right="0"/>
        <w:jc w:val="left"/>
        <w:rPr/>
      </w:pPr>
      <w:r>
        <w:rPr/>
        <w:t>8.3 Every airport, every month</w:t>
      </w:r>
    </w:p>
    <w:p>
      <w:pPr>
        <w:pStyle w:val="BodyText"/>
        <w:bidi w:val="0"/>
        <w:ind w:hanging="0" w:left="0" w:right="0"/>
        <w:jc w:val="left"/>
        <w:rPr/>
      </w:pPr>
      <w:r>
        <w:rPr/>
        <w:t>8.4 What each source of delay is worth, over the year</w:t>
      </w:r>
    </w:p>
    <w:p>
      <w:pPr>
        <w:pStyle w:val="BodyText"/>
        <w:bidi w:val="0"/>
        <w:ind w:hanging="0" w:left="0" w:right="0"/>
        <w:jc w:val="left"/>
        <w:rPr/>
      </w:pPr>
      <w:r>
        <w:rPr/>
        <w:t>8.5 Where the geometry claim holds</w:t>
      </w:r>
    </w:p>
    <w:p>
      <w:pPr>
        <w:pStyle w:val="BodyText"/>
        <w:bidi w:val="0"/>
        <w:ind w:hanging="0" w:left="0" w:right="0"/>
        <w:jc w:val="left"/>
        <w:rPr/>
      </w:pPr>
      <w:r>
        <w:rPr/>
        <w:t>8.6 What the challenge score can and cannot show</w:t>
      </w:r>
    </w:p>
    <w:p>
      <w:pPr>
        <w:pStyle w:val="BodyText"/>
        <w:bidi w:val="0"/>
        <w:ind w:hanging="0" w:left="0" w:right="0"/>
        <w:jc w:val="left"/>
        <w:rPr/>
      </w:pPr>
      <w:r>
        <w:rPr/>
        <w:t>8.7 After the first score: the refinements</w:t>
      </w:r>
    </w:p>
    <w:p>
      <w:pPr>
        <w:pStyle w:val="BodyText"/>
        <w:bidi w:val="0"/>
        <w:ind w:hanging="0" w:left="0" w:right="0"/>
        <w:jc w:val="left"/>
        <w:rPr/>
      </w:pPr>
      <w:r>
        <w:rPr/>
        <w:t>8.8 The final file, read step by step</w:t>
      </w:r>
    </w:p>
    <w:p>
      <w:pPr>
        <w:pStyle w:val="BodyText"/>
        <w:bidi w:val="0"/>
        <w:ind w:hanging="0" w:left="0" w:right="0"/>
        <w:jc w:val="left"/>
        <w:rPr/>
      </w:pPr>
      <w:r>
        <w:rPr/>
        <w:t>9. Discussion</w:t>
      </w:r>
    </w:p>
    <w:p>
      <w:pPr>
        <w:pStyle w:val="BodyText"/>
        <w:bidi w:val="0"/>
        <w:ind w:hanging="0" w:left="0" w:right="0"/>
        <w:jc w:val="left"/>
        <w:rPr/>
      </w:pPr>
      <w:r>
        <w:rPr/>
        <w:t>9.1 What the geometry was worth, and where</w:t>
      </w:r>
    </w:p>
    <w:p>
      <w:pPr>
        <w:pStyle w:val="BodyText"/>
        <w:bidi w:val="0"/>
        <w:ind w:hanging="0" w:left="0" w:right="0"/>
        <w:jc w:val="left"/>
        <w:rPr/>
      </w:pPr>
      <w:r>
        <w:rPr/>
        <w:t>9.2 What the record-quality term touches, and why it is kept</w:t>
      </w:r>
    </w:p>
    <w:p>
      <w:pPr>
        <w:pStyle w:val="BodyText"/>
        <w:bidi w:val="0"/>
        <w:ind w:hanging="0" w:left="0" w:right="0"/>
        <w:jc w:val="left"/>
        <w:rPr/>
      </w:pPr>
      <w:r>
        <w:rPr/>
        <w:t>9.3 Limitations</w:t>
      </w:r>
    </w:p>
    <w:p>
      <w:pPr>
        <w:pStyle w:val="BodyText"/>
        <w:bidi w:val="0"/>
        <w:ind w:hanging="0" w:left="0" w:right="0"/>
        <w:jc w:val="left"/>
        <w:rPr/>
      </w:pPr>
      <w:r>
        <w:rPr/>
        <w:t>9.4 A ceiling that measured the wrong thing</w:t>
      </w:r>
    </w:p>
    <w:p>
      <w:pPr>
        <w:pStyle w:val="BodyText"/>
        <w:bidi w:val="0"/>
        <w:ind w:hanging="0" w:left="0" w:right="0"/>
        <w:jc w:val="left"/>
        <w:rPr/>
      </w:pPr>
      <w:r>
        <w:rPr/>
        <w:t>9.5 What the residual actually is</w:t>
      </w:r>
    </w:p>
    <w:p>
      <w:pPr>
        <w:pStyle w:val="BodyText"/>
        <w:bidi w:val="0"/>
        <w:ind w:hanging="0" w:left="0" w:right="0"/>
        <w:jc w:val="left"/>
        <w:rPr/>
      </w:pPr>
      <w:r>
        <w:rPr/>
        <w:t>9.6 What held, and further work</w:t>
      </w:r>
    </w:p>
    <w:p>
      <w:pPr>
        <w:pStyle w:val="BodyText"/>
        <w:bidi w:val="0"/>
        <w:ind w:hanging="0" w:left="0" w:right="0"/>
        <w:jc w:val="left"/>
        <w:rPr/>
      </w:pPr>
      <w:r>
        <w:rPr/>
        <w:t>10. Reproducing this</w:t>
      </w:r>
    </w:p>
    <w:p>
      <w:pPr>
        <w:pStyle w:val="BodyText"/>
        <w:bidi w:val="0"/>
        <w:ind w:hanging="0" w:left="0" w:right="0"/>
        <w:jc w:val="left"/>
        <w:rPr/>
      </w:pPr>
      <w:r>
        <w:rPr/>
        <w:t>Annex A: the ladder, every month held out</w:t>
      </w:r>
    </w:p>
    <w:p>
      <w:pPr>
        <w:pStyle w:val="BodyText"/>
        <w:bidi w:val="0"/>
        <w:ind w:hanging="0" w:left="0" w:right="0"/>
        <w:jc w:val="left"/>
        <w:rPr/>
      </w:pPr>
      <w:r>
        <w:rPr/>
        <w:t>Annex B: each block's change, month by month, against the floor</w:t>
      </w:r>
    </w:p>
    <w:p>
      <w:pPr>
        <w:pStyle w:val="BodyText"/>
        <w:bidi w:val="0"/>
        <w:ind w:hanging="0" w:left="0" w:right="0"/>
        <w:jc w:val="left"/>
        <w:rPr/>
      </w:pPr>
      <w:r>
        <w:rPr/>
        <w:t>Annex C: the base configuration per airport and month, the bias</w:t>
      </w:r>
    </w:p>
    <w:p>
      <w:pPr>
        <w:pStyle w:val="BodyText"/>
        <w:bidi w:val="0"/>
        <w:ind w:hanging="0" w:left="0" w:right="0"/>
        <w:jc w:val="left"/>
        <w:rPr/>
      </w:pPr>
      <w:r>
        <w:rPr/>
        <w:t>Annex D: the geometry claim per airport and month, and the base configuration's gap on unseen pairs</w:t>
      </w:r>
    </w:p>
    <w:p>
      <w:pPr>
        <w:pStyle w:val="BodyText"/>
        <w:bidi w:val="0"/>
        <w:ind w:hanging="0" w:left="0" w:right="0"/>
        <w:jc w:val="left"/>
        <w:rPr/>
      </w:pPr>
      <w:r>
        <w:rPr/>
        <w:t>Annex E: the year's weather against its ten-year norm</w:t>
      </w:r>
    </w:p>
    <w:p>
      <w:pPr>
        <w:pStyle w:val="BodyText"/>
        <w:bidi w:val="0"/>
        <w:ind w:hanging="0" w:left="0" w:right="0"/>
        <w:jc w:val="left"/>
        <w:rPr/>
      </w:pPr>
      <w:r>
        <w:rPr/>
        <w:t>Annex F: the rows over four hours</w:t>
      </w:r>
    </w:p>
    <w:p>
      <w:pPr>
        <w:pStyle w:val="BodyText"/>
        <w:bidi w:val="0"/>
        <w:ind w:hanging="0" w:left="0" w:right="0"/>
        <w:jc w:val="left"/>
        <w:rPr/>
      </w:pPr>
      <w:r>
        <w:rPr/>
        <w:t>Annex G: Istanbul's February 2025, and its January 2026</w:t>
      </w:r>
    </w:p>
    <w:p>
      <w:pPr>
        <w:pStyle w:val="BodyText"/>
        <w:bidi w:val="0"/>
        <w:ind w:hanging="0" w:left="0" w:right="0"/>
        <w:jc w:val="left"/>
        <w:rPr/>
      </w:pPr>
      <w:r>
        <w:rPr/>
        <w:t>Annex H: where the last three blocks of the ladder lower the error</w:t>
      </w:r>
    </w:p>
    <w:p>
      <w:pPr>
        <w:pStyle w:val="BodyText"/>
        <w:bidi w:val="0"/>
        <w:ind w:hanging="0" w:left="0" w:right="0"/>
        <w:jc w:val="left"/>
        <w:rPr/>
      </w:pPr>
      <w:r>
        <w:rPr/>
        <w:t>Annex I: the plan-shifted departures, evaluated after the rule was fixed</w:t>
      </w:r>
    </w:p>
    <w:p>
      <w:pPr>
        <w:pStyle w:val="BodyText"/>
        <w:bidi w:val="0"/>
        <w:ind w:hanging="0" w:left="0" w:right="0"/>
        <w:jc w:val="left"/>
        <w:rPr/>
      </w:pPr>
      <w:r>
        <w:rPr/>
        <w:t>Annex J: the three candidates measured on the final configuration</w:t>
      </w:r>
    </w:p>
    <w:p>
      <w:pPr>
        <w:pStyle w:val="BodyText"/>
        <w:bidi w:val="0"/>
        <w:ind w:hanging="0" w:left="0" w:right="0"/>
        <w:jc w:val="left"/>
        <w:rPr/>
      </w:pPr>
      <w:r>
        <w:rPr/>
        <w:t>References</w:t>
      </w:r>
    </w:p>
    <w:p>
      <w:pPr>
        <w:pStyle w:val="Heading1"/>
        <w:bidi w:val="0"/>
        <w:jc w:val="left"/>
        <w:rPr/>
      </w:pPr>
      <w:r>
        <w:rPr/>
        <w:t>Recovering the airport surface: taxi-out prediction from OpenStreetMap geometry</w:t>
      </w:r>
    </w:p>
    <w:p>
      <w:pPr>
        <w:pStyle w:val="BodyText"/>
        <w:bidi w:val="0"/>
        <w:jc w:val="left"/>
        <w:rPr/>
      </w:pPr>
      <w:r>
        <w:rPr>
          <w:rStyle w:val="Emphasis"/>
        </w:rPr>
        <w:t>The model was frozen before the ranking months were scored, and nothing fitted or validated on the training year has moved since. Changes made after the freeze are described in §8.7, and §1.4 defines the working terms.</w:t>
      </w:r>
    </w:p>
    <w:p>
      <w:pPr>
        <w:pStyle w:val="BodyText"/>
        <w:bidi w:val="0"/>
        <w:jc w:val="left"/>
        <w:rPr/>
      </w:pPr>
      <w:r>
        <w:rPr/>
        <w:t xml:space="preserve">Team </w:t>
      </w:r>
      <w:r>
        <w:rPr>
          <w:rStyle w:val="SourceText"/>
        </w:rPr>
        <w:t>funny-firefly</w:t>
      </w:r>
      <w:r>
        <w:rPr/>
        <w:t>. PRC Data Challenge 2026.</w:t>
      </w:r>
    </w:p>
    <w:p>
      <w:pPr>
        <w:pStyle w:val="HorizontalLine"/>
        <w:bidi w:val="0"/>
        <w:jc w:val="left"/>
        <w:rPr/>
      </w:pPr>
      <w:r>
        <w:rPr/>
      </w:r>
    </w:p>
    <w:p>
      <w:pPr>
        <w:pStyle w:val="Heading2"/>
        <w:bidi w:val="0"/>
        <w:jc w:val="left"/>
        <w:rPr/>
      </w:pPr>
      <w:r>
        <w:rPr/>
        <w:t>Abstract</w:t>
      </w:r>
    </w:p>
    <w:p>
      <w:pPr>
        <w:pStyle w:val="BodyText"/>
        <w:bidi w:val="0"/>
        <w:jc w:val="left"/>
        <w:rPr/>
      </w:pPr>
      <w:r>
        <w:rPr/>
        <w:t xml:space="preserve">This paper predicts taxi-out time, the interval from off-block to take-off, at ten European airports, in a challenge that withholds the off-block time. The final model has a root-mean-square error of </w:t>
      </w:r>
      <w:r>
        <w:rPr>
          <w:rStyle w:val="Strong"/>
        </w:rPr>
        <w:t>244.9 s</w:t>
      </w:r>
      <w:r>
        <w:rPr/>
        <w:t xml:space="preserve"> over the year when each of the twelve months of 2025 is held out in turn, and 217.7 s on the rows that none of its special rules covers. On the four months the challenge ranks in 2026, read the same way, it reads 294.4 s against 306.0 for the gradient-boosted model alone. In plain terms, a typical prediction is off by about four minutes, and most of the error that remains comes from a short tail of extreme records: the year holds 122 recorded taxi-outs of over four hours, and all but 5 of them lie on rows covered by the record-quality term or the plan-shift rule. These are held-out estimates from the training year, not a forecast of the challenge score.</w:t>
      </w:r>
    </w:p>
    <w:p>
      <w:pPr>
        <w:pStyle w:val="BodyText"/>
        <w:bidi w:val="0"/>
        <w:jc w:val="left"/>
        <w:rPr/>
      </w:pPr>
      <w:r>
        <w:rPr/>
        <w:t xml:space="preserve">The model rests on one hypothesis: that taxiway geometry recovered from OpenStreetMap carries to stand and runway pairs a model has never seen, where a memorized pair mean has nothing to carry. Taxi-out is decomposed into an unimpeded time routed on the recovered surface, an excess time drawn from the traffic and weather around a departure, and a record-quality term for rows whose recorded off-block time was defaulted to the schedule. The routing graph is verified on a worked airport where every distance is known by hand. The geometry lowers the error by </w:t>
      </w:r>
      <w:r>
        <w:rPr>
          <w:rStyle w:val="Strong"/>
        </w:rPr>
        <w:t>18.5 s [16.7, 20.5]</w:t>
      </w:r>
      <w:r>
        <w:rPr/>
        <w:t xml:space="preserve"> more on held-out pairs than on seen pairs, in each of the twelve months read separately. It rests on a taxi speed of 11.8 to 13.2 m/s, recovered ten times with a different airport left out each time, and it transfers to an airport the model has never seen. It matters most where memory fails: on pairs seen a hundred times or fewer, which hold just over a tenth of the 2026 test rows, falling back on the geometry rather than the airport mean is better by some twenty seconds.</w:t>
      </w:r>
    </w:p>
    <w:p>
      <w:pPr>
        <w:pStyle w:val="BodyText"/>
        <w:bidi w:val="0"/>
        <w:jc w:val="left"/>
        <w:rPr/>
      </w:pPr>
      <w:r>
        <w:rPr/>
        <w:t>Two other findings qualify this. The strongest single feature is not geometric but the flight plan's own delay signal, worth 62.9 s over the year, and in each of the twelve months. And a correction built from the times aircraft are first seen moving, in open ground-movement data, is the largest later gain, 7.7 s over the year, where a receiver covers the airport. Once the plan's delay signal is in, an oracle diagnostic bounds what a queueing model could add at about eight seconds.</w:t>
      </w:r>
    </w:p>
    <w:p>
      <w:pPr>
        <w:pStyle w:val="Heading2"/>
        <w:bidi w:val="0"/>
        <w:jc w:val="left"/>
        <w:rPr/>
      </w:pPr>
      <w:r>
        <w:rPr/>
        <w:t>1. Introduction</w:t>
      </w:r>
    </w:p>
    <w:p>
      <w:pPr>
        <w:pStyle w:val="Heading3"/>
        <w:bidi w:val="0"/>
        <w:jc w:val="left"/>
        <w:rPr/>
      </w:pPr>
      <w:r>
        <w:rPr/>
        <w:t>1.1 The problem, and the form the challenge gives it</w:t>
      </w:r>
    </w:p>
    <w:p>
      <w:pPr>
        <w:pStyle w:val="BodyText"/>
        <w:bidi w:val="0"/>
        <w:jc w:val="left"/>
        <w:rPr/>
      </w:pPr>
      <w:r>
        <w:rPr/>
        <w:t>Taxi-out is the interval from off-block to take-off. The challenge asks for it in a form that inverts the operational one: the take-off time is given and the off-block time is withheld. This makes it a post-hoc estimation task, as the challenge's rationale page states, naming post-operations analysis, "excess fuel burnt/CO2 production compared to unconstrained status", as the use. An operational forecast would anchor only on schedules and filed estimates; that alternative is discussed in §7.2 and not pursued here, because it answers a different question.</w:t>
      </w:r>
    </w:p>
    <w:p>
      <w:pPr>
        <w:pStyle w:val="BodyText"/>
        <w:bidi w:val="0"/>
        <w:jc w:val="left"/>
        <w:rPr/>
      </w:pPr>
      <w:r>
        <w:rPr/>
        <w:t xml:space="preserve">Source: </w:t>
      </w:r>
      <w:r>
        <w:rPr>
          <w:rStyle w:val="SourceText"/>
        </w:rPr>
        <w:t>docs/modelling_notes.md</w:t>
      </w:r>
      <w:r>
        <w:rPr/>
        <w:t xml:space="preserve">, </w:t>
      </w:r>
      <w:r>
        <w:rPr>
          <w:rStyle w:val="Emphasis"/>
        </w:rPr>
        <w:t>Leakage watch</w:t>
      </w:r>
      <w:r>
        <w:rPr/>
        <w:t>; the rationale page.</w:t>
      </w:r>
    </w:p>
    <w:p>
      <w:pPr>
        <w:pStyle w:val="Heading3"/>
        <w:bidi w:val="0"/>
        <w:jc w:val="left"/>
        <w:rPr/>
      </w:pPr>
      <w:r>
        <w:rPr/>
        <w:t>1.2 What I set out to test</w:t>
      </w:r>
    </w:p>
    <w:p>
      <w:pPr>
        <w:pStyle w:val="BodyText"/>
        <w:bidi w:val="0"/>
        <w:jc w:val="left"/>
        <w:rPr/>
      </w:pPr>
      <w:r>
        <w:rPr/>
        <w:t>Every departure in the challenge data carries a stand and a runway, and the natural model for a problem of this shape learns what each stand and runway pair has cost before. That works on the pairs a model has seen. It cannot work on a pair it has not, and a test month always holds some: just over a tenth of the 2026 test rows sit on pairs the training year saw a hundred times or fewer.</w:t>
      </w:r>
    </w:p>
    <w:p>
      <w:pPr>
        <w:pStyle w:val="BodyText"/>
        <w:bidi w:val="0"/>
        <w:jc w:val="left"/>
        <w:rPr/>
      </w:pPr>
      <w:r>
        <w:rPr/>
        <w:t>My central hypothesis is that the physical structure the challenge data omits, the route an aircraft taxis from its stand to its runway, can be recovered from OpenStreetMap and carries over to stand and runway pairs a model has never seen, where a memorized pair mean has nothing to carry. The criterion was fixed in the project plan, before the first model was fitted: the geometry is judged on pairs held out of training, not on a forward split. The test is therefore a difference in differences: how much more the geometry block is worth on held-out pairs than on pairs the model has seen.</w:t>
      </w:r>
    </w:p>
    <w:p>
      <w:pPr>
        <w:pStyle w:val="BodyText"/>
        <w:bidi w:val="0"/>
        <w:jc w:val="left"/>
        <w:rPr/>
      </w:pPr>
      <w:r>
        <w:rPr/>
        <w:t xml:space="preserve">The hypothesis holds. The geometry block's held-out-pair contrast is </w:t>
      </w:r>
      <w:r>
        <w:rPr>
          <w:rStyle w:val="Strong"/>
        </w:rPr>
        <w:t>+18.5 s [+16.7, +20.5]</w:t>
      </w:r>
      <w:r>
        <w:rPr/>
        <w:t>: it lowers the error by that much more on held-out pairs than on seen ones, and the contrast is positive, with an interval that excludes zero, in every one of the twelve months of the training year read separately (§8.5). On the December forward split the same block lowers the error by 2.27 s, and on July it moves it by less than the seed floor (§3.6). It is worth acknowledging that this gap is the finding rather than a disappointment: most test rows sit on pairs the training year saw often, where the identifiers already carry what the geometry knows, so a forward split cannot see what the geometry is for (§7.2, §9.1).</w:t>
      </w:r>
    </w:p>
    <w:p>
      <w:pPr>
        <w:pStyle w:val="BodyText"/>
        <w:bidi w:val="0"/>
        <w:jc w:val="left"/>
        <w:rPr/>
      </w:pPr>
      <w:r>
        <w:rPr/>
        <w:t>The rest of the model was built around that claim, and each part entered through a test whose criterion was written down before its figures existed. Two results shape the paper as much as the geometry does. First, much of the target's heavy tail is not taxiing at all but records whose off-block time was defaulted to the schedule. Those rows are treated by a separate, stated term rather than left for the model to learn (§4). Secondly, the excess term is small once the flight plan's own delay signal is in the model: 7.7 s in December and 5.8 in July against that signal's 79.3 and 57.4, or 62.9 over the year (§8.4). The queue layer that would model it further is bounded to about eight seconds by a diagnostic that needs no model (§6.3, §6.4).</w:t>
      </w:r>
    </w:p>
    <w:p>
      <w:pPr>
        <w:pStyle w:val="BodyText"/>
        <w:bidi w:val="0"/>
        <w:jc w:val="left"/>
        <w:rPr/>
      </w:pPr>
      <w:r>
        <w:rPr/>
        <w:t>The tests under the central hypothesis, each with the record that fixed its criterion:</w:t>
      </w:r>
    </w:p>
    <w:tbl>
      <w:tblPr>
        <w:tblW w:w="10539" w:type="dxa"/>
        <w:jc w:val="left"/>
        <w:tblInd w:w="28" w:type="dxa"/>
        <w:tblLayout w:type="fixed"/>
        <w:tblCellMar>
          <w:top w:w="28" w:type="dxa"/>
          <w:left w:w="28" w:type="dxa"/>
          <w:bottom w:w="28" w:type="dxa"/>
          <w:right w:w="28" w:type="dxa"/>
        </w:tblCellMar>
      </w:tblPr>
      <w:tblGrid>
        <w:gridCol w:w="4176"/>
        <w:gridCol w:w="3051"/>
        <w:gridCol w:w="2300"/>
        <w:gridCol w:w="1012"/>
      </w:tblGrid>
      <w:tr>
        <w:trPr>
          <w:tblHeader w:val="true"/>
        </w:trPr>
        <w:tc>
          <w:tcPr>
            <w:tcW w:w="4176" w:type="dxa"/>
            <w:tcBorders/>
            <w:vAlign w:val="center"/>
          </w:tcPr>
          <w:p>
            <w:pPr>
              <w:pStyle w:val="TableHeading"/>
              <w:suppressLineNumbers/>
              <w:bidi w:val="0"/>
              <w:jc w:val="center"/>
              <w:rPr/>
            </w:pPr>
            <w:r>
              <w:rPr/>
              <w:t>what was tested</w:t>
            </w:r>
          </w:p>
        </w:tc>
        <w:tc>
          <w:tcPr>
            <w:tcW w:w="3051" w:type="dxa"/>
            <w:tcBorders/>
            <w:vAlign w:val="center"/>
          </w:tcPr>
          <w:p>
            <w:pPr>
              <w:pStyle w:val="TableHeading"/>
              <w:suppressLineNumbers/>
              <w:bidi w:val="0"/>
              <w:jc w:val="center"/>
              <w:rPr/>
            </w:pPr>
            <w:r>
              <w:rPr/>
              <w:t>criterion fixed in</w:t>
            </w:r>
          </w:p>
        </w:tc>
        <w:tc>
          <w:tcPr>
            <w:tcW w:w="2300" w:type="dxa"/>
            <w:tcBorders/>
            <w:vAlign w:val="center"/>
          </w:tcPr>
          <w:p>
            <w:pPr>
              <w:pStyle w:val="TableHeading"/>
              <w:suppressLineNumbers/>
              <w:bidi w:val="0"/>
              <w:jc w:val="center"/>
              <w:rPr/>
            </w:pPr>
            <w:r>
              <w:rPr/>
              <w:t>outcome</w:t>
            </w:r>
          </w:p>
        </w:tc>
        <w:tc>
          <w:tcPr>
            <w:tcW w:w="1012" w:type="dxa"/>
            <w:tcBorders/>
            <w:vAlign w:val="center"/>
          </w:tcPr>
          <w:p>
            <w:pPr>
              <w:pStyle w:val="TableHeading"/>
              <w:suppressLineNumbers/>
              <w:bidi w:val="0"/>
              <w:jc w:val="center"/>
              <w:rPr/>
            </w:pPr>
            <w:r>
              <w:rPr/>
              <w:t>where</w:t>
            </w:r>
          </w:p>
        </w:tc>
      </w:tr>
      <w:tr>
        <w:trPr/>
        <w:tc>
          <w:tcPr>
            <w:tcW w:w="4176" w:type="dxa"/>
            <w:tcBorders/>
            <w:vAlign w:val="center"/>
          </w:tcPr>
          <w:p>
            <w:pPr>
              <w:pStyle w:val="TableContents"/>
              <w:widowControl w:val="false"/>
              <w:suppressLineNumbers/>
              <w:bidi w:val="0"/>
              <w:jc w:val="left"/>
              <w:rPr/>
            </w:pPr>
            <w:r>
              <w:rPr/>
              <w:t>congestion from the fields the ranking set exposes, and a queue model only if congestion proved binding</w:t>
            </w:r>
          </w:p>
        </w:tc>
        <w:tc>
          <w:tcPr>
            <w:tcW w:w="3051" w:type="dxa"/>
            <w:tcBorders/>
            <w:vAlign w:val="center"/>
          </w:tcPr>
          <w:p>
            <w:pPr>
              <w:pStyle w:val="TableContents"/>
              <w:widowControl w:val="false"/>
              <w:suppressLineNumbers/>
              <w:bidi w:val="0"/>
              <w:jc w:val="left"/>
              <w:rPr/>
            </w:pPr>
            <w:r>
              <w:rPr/>
              <w:t>the project plan</w:t>
            </w:r>
          </w:p>
        </w:tc>
        <w:tc>
          <w:tcPr>
            <w:tcW w:w="2300" w:type="dxa"/>
            <w:tcBorders/>
            <w:vAlign w:val="center"/>
          </w:tcPr>
          <w:p>
            <w:pPr>
              <w:pStyle w:val="TableContents"/>
              <w:widowControl w:val="false"/>
              <w:suppressLineNumbers/>
              <w:bidi w:val="0"/>
              <w:jc w:val="left"/>
              <w:rPr/>
            </w:pPr>
            <w:r>
              <w:rPr/>
              <w:t>real and small; the queue layer bounded and not built</w:t>
            </w:r>
          </w:p>
        </w:tc>
        <w:tc>
          <w:tcPr>
            <w:tcW w:w="1012" w:type="dxa"/>
            <w:tcBorders/>
            <w:vAlign w:val="center"/>
          </w:tcPr>
          <w:p>
            <w:pPr>
              <w:pStyle w:val="TableContents"/>
              <w:widowControl w:val="false"/>
              <w:suppressLineNumbers/>
              <w:bidi w:val="0"/>
              <w:jc w:val="left"/>
              <w:rPr/>
            </w:pPr>
            <w:r>
              <w:rPr/>
              <w:t>§6</w:t>
            </w:r>
          </w:p>
        </w:tc>
      </w:tr>
      <w:tr>
        <w:trPr/>
        <w:tc>
          <w:tcPr>
            <w:tcW w:w="4176" w:type="dxa"/>
            <w:tcBorders/>
            <w:vAlign w:val="center"/>
          </w:tcPr>
          <w:p>
            <w:pPr>
              <w:pStyle w:val="TableContents"/>
              <w:widowControl w:val="false"/>
              <w:suppressLineNumbers/>
              <w:bidi w:val="0"/>
              <w:jc w:val="left"/>
              <w:rPr/>
            </w:pPr>
            <w:r>
              <w:rPr/>
              <w:t>a record-quality term, without which no RMSE means anything</w:t>
            </w:r>
          </w:p>
        </w:tc>
        <w:tc>
          <w:tcPr>
            <w:tcW w:w="3051" w:type="dxa"/>
            <w:tcBorders/>
            <w:vAlign w:val="center"/>
          </w:tcPr>
          <w:p>
            <w:pPr>
              <w:pStyle w:val="TableContents"/>
              <w:widowControl w:val="false"/>
              <w:suppressLineNumbers/>
              <w:bidi w:val="0"/>
              <w:jc w:val="left"/>
              <w:rPr/>
            </w:pPr>
            <w:r>
              <w:rPr/>
              <w:t>the project plan</w:t>
            </w:r>
          </w:p>
        </w:tc>
        <w:tc>
          <w:tcPr>
            <w:tcW w:w="2300" w:type="dxa"/>
            <w:tcBorders/>
            <w:vAlign w:val="center"/>
          </w:tcPr>
          <w:p>
            <w:pPr>
              <w:pStyle w:val="TableContents"/>
              <w:widowControl w:val="false"/>
              <w:suppressLineNumbers/>
              <w:bidi w:val="0"/>
              <w:jc w:val="left"/>
              <w:rPr/>
            </w:pPr>
            <w:r>
              <w:rPr/>
              <w:t>supported on the training year</w:t>
            </w:r>
          </w:p>
        </w:tc>
        <w:tc>
          <w:tcPr>
            <w:tcW w:w="1012" w:type="dxa"/>
            <w:tcBorders/>
            <w:vAlign w:val="center"/>
          </w:tcPr>
          <w:p>
            <w:pPr>
              <w:pStyle w:val="TableContents"/>
              <w:widowControl w:val="false"/>
              <w:suppressLineNumbers/>
              <w:bidi w:val="0"/>
              <w:jc w:val="left"/>
              <w:rPr/>
            </w:pPr>
            <w:r>
              <w:rPr/>
              <w:t>§4</w:t>
            </w:r>
          </w:p>
        </w:tc>
      </w:tr>
      <w:tr>
        <w:trPr/>
        <w:tc>
          <w:tcPr>
            <w:tcW w:w="4176" w:type="dxa"/>
            <w:tcBorders/>
            <w:vAlign w:val="center"/>
          </w:tcPr>
          <w:p>
            <w:pPr>
              <w:pStyle w:val="TableContents"/>
              <w:widowControl w:val="false"/>
              <w:suppressLineNumbers/>
              <w:bidi w:val="0"/>
              <w:jc w:val="left"/>
              <w:rPr/>
            </w:pPr>
            <w:r>
              <w:rPr/>
              <w:t>seed averaging, recency weighting, season columns</w:t>
            </w:r>
          </w:p>
        </w:tc>
        <w:tc>
          <w:tcPr>
            <w:tcW w:w="3051" w:type="dxa"/>
            <w:tcBorders/>
            <w:vAlign w:val="center"/>
          </w:tcPr>
          <w:p>
            <w:pPr>
              <w:pStyle w:val="TableContents"/>
              <w:widowControl w:val="false"/>
              <w:suppressLineNumbers/>
              <w:bidi w:val="0"/>
              <w:jc w:val="left"/>
              <w:rPr/>
            </w:pPr>
            <w:r>
              <w:rPr/>
              <w:t>the pre-registration of the seed, recency and season experiments</w:t>
            </w:r>
          </w:p>
        </w:tc>
        <w:tc>
          <w:tcPr>
            <w:tcW w:w="2300" w:type="dxa"/>
            <w:tcBorders/>
            <w:vAlign w:val="center"/>
          </w:tcPr>
          <w:p>
            <w:pPr>
              <w:pStyle w:val="TableContents"/>
              <w:widowControl w:val="false"/>
              <w:suppressLineNumbers/>
              <w:bidi w:val="0"/>
              <w:jc w:val="left"/>
              <w:rPr/>
            </w:pPr>
            <w:r>
              <w:rPr/>
              <w:t>seed averaging adopted; the other two not</w:t>
            </w:r>
          </w:p>
        </w:tc>
        <w:tc>
          <w:tcPr>
            <w:tcW w:w="1012" w:type="dxa"/>
            <w:tcBorders/>
            <w:vAlign w:val="center"/>
          </w:tcPr>
          <w:p>
            <w:pPr>
              <w:pStyle w:val="TableContents"/>
              <w:widowControl w:val="false"/>
              <w:suppressLineNumbers/>
              <w:bidi w:val="0"/>
              <w:jc w:val="left"/>
              <w:rPr/>
            </w:pPr>
            <w:r>
              <w:rPr/>
              <w:t>§7.1.1, §7.1.2</w:t>
            </w:r>
          </w:p>
        </w:tc>
      </w:tr>
      <w:tr>
        <w:trPr/>
        <w:tc>
          <w:tcPr>
            <w:tcW w:w="4176" w:type="dxa"/>
            <w:tcBorders/>
            <w:vAlign w:val="center"/>
          </w:tcPr>
          <w:p>
            <w:pPr>
              <w:pStyle w:val="TableContents"/>
              <w:widowControl w:val="false"/>
              <w:suppressLineNumbers/>
              <w:bidi w:val="0"/>
              <w:jc w:val="left"/>
              <w:rPr/>
            </w:pPr>
            <w:r>
              <w:rPr/>
              <w:t>three model changes left untested at the freeze</w:t>
            </w:r>
          </w:p>
        </w:tc>
        <w:tc>
          <w:tcPr>
            <w:tcW w:w="3051" w:type="dxa"/>
            <w:tcBorders/>
            <w:vAlign w:val="center"/>
          </w:tcPr>
          <w:p>
            <w:pPr>
              <w:pStyle w:val="TableContents"/>
              <w:widowControl w:val="false"/>
              <w:suppressLineNumbers/>
              <w:bidi w:val="0"/>
              <w:jc w:val="left"/>
              <w:rPr/>
            </w:pPr>
            <w:r>
              <w:rPr/>
              <w:t>the pre-registrations of the three candidates</w:t>
            </w:r>
          </w:p>
        </w:tc>
        <w:tc>
          <w:tcPr>
            <w:tcW w:w="2300" w:type="dxa"/>
            <w:tcBorders/>
            <w:vAlign w:val="center"/>
          </w:tcPr>
          <w:p>
            <w:pPr>
              <w:pStyle w:val="TableContents"/>
              <w:widowControl w:val="false"/>
              <w:suppressLineNumbers/>
              <w:bidi w:val="0"/>
              <w:jc w:val="left"/>
              <w:rPr/>
            </w:pPr>
            <w:r>
              <w:rPr/>
              <w:t>none adopted</w:t>
            </w:r>
          </w:p>
        </w:tc>
        <w:tc>
          <w:tcPr>
            <w:tcW w:w="1012" w:type="dxa"/>
            <w:tcBorders/>
            <w:vAlign w:val="center"/>
          </w:tcPr>
          <w:p>
            <w:pPr>
              <w:pStyle w:val="TableContents"/>
              <w:widowControl w:val="false"/>
              <w:suppressLineNumbers/>
              <w:bidi w:val="0"/>
              <w:jc w:val="left"/>
              <w:rPr/>
            </w:pPr>
            <w:r>
              <w:rPr/>
              <w:t>Annex J</w:t>
            </w:r>
          </w:p>
        </w:tc>
      </w:tr>
      <w:tr>
        <w:trPr/>
        <w:tc>
          <w:tcPr>
            <w:tcW w:w="4176" w:type="dxa"/>
            <w:tcBorders/>
            <w:vAlign w:val="center"/>
          </w:tcPr>
          <w:p>
            <w:pPr>
              <w:pStyle w:val="TableContents"/>
              <w:widowControl w:val="false"/>
              <w:suppressLineNumbers/>
              <w:bidi w:val="0"/>
              <w:jc w:val="left"/>
              <w:rPr/>
            </w:pPr>
            <w:r>
              <w:rPr/>
              <w:t>a rule for the plan-shifted departures</w:t>
            </w:r>
          </w:p>
        </w:tc>
        <w:tc>
          <w:tcPr>
            <w:tcW w:w="3051" w:type="dxa"/>
            <w:tcBorders/>
            <w:vAlign w:val="center"/>
          </w:tcPr>
          <w:p>
            <w:pPr>
              <w:pStyle w:val="TableContents"/>
              <w:widowControl w:val="false"/>
              <w:suppressLineNumbers/>
              <w:bidi w:val="0"/>
              <w:jc w:val="left"/>
              <w:rPr/>
            </w:pPr>
            <w:r>
              <w:rPr/>
              <w:t>the pre-registration of the plan-shift rule</w:t>
            </w:r>
          </w:p>
        </w:tc>
        <w:tc>
          <w:tcPr>
            <w:tcW w:w="2300" w:type="dxa"/>
            <w:tcBorders/>
            <w:vAlign w:val="center"/>
          </w:tcPr>
          <w:p>
            <w:pPr>
              <w:pStyle w:val="TableContents"/>
              <w:widowControl w:val="false"/>
              <w:suppressLineNumbers/>
              <w:bidi w:val="0"/>
              <w:jc w:val="left"/>
              <w:rPr/>
            </w:pPr>
            <w:r>
              <w:rPr/>
              <w:t>fixed and applied</w:t>
            </w:r>
          </w:p>
        </w:tc>
        <w:tc>
          <w:tcPr>
            <w:tcW w:w="1012" w:type="dxa"/>
            <w:tcBorders/>
            <w:vAlign w:val="center"/>
          </w:tcPr>
          <w:p>
            <w:pPr>
              <w:pStyle w:val="TableContents"/>
              <w:widowControl w:val="false"/>
              <w:suppressLineNumbers/>
              <w:bidi w:val="0"/>
              <w:jc w:val="left"/>
              <w:rPr/>
            </w:pPr>
            <w:r>
              <w:rPr/>
              <w:t>§4, Annex I</w:t>
            </w:r>
          </w:p>
        </w:tc>
      </w:tr>
      <w:tr>
        <w:trPr/>
        <w:tc>
          <w:tcPr>
            <w:tcW w:w="4176" w:type="dxa"/>
            <w:tcBorders/>
            <w:vAlign w:val="center"/>
          </w:tcPr>
          <w:p>
            <w:pPr>
              <w:pStyle w:val="TableContents"/>
              <w:widowControl w:val="false"/>
              <w:suppressLineNumbers/>
              <w:bidi w:val="0"/>
              <w:jc w:val="left"/>
              <w:rPr/>
            </w:pPr>
            <w:r>
              <w:rPr/>
              <w:t>changes made after the first challenge score, each under a pre-registration</w:t>
            </w:r>
          </w:p>
        </w:tc>
        <w:tc>
          <w:tcPr>
            <w:tcW w:w="3051" w:type="dxa"/>
            <w:tcBorders/>
            <w:vAlign w:val="center"/>
          </w:tcPr>
          <w:p>
            <w:pPr>
              <w:pStyle w:val="TableContents"/>
              <w:widowControl w:val="false"/>
              <w:suppressLineNumbers/>
              <w:bidi w:val="0"/>
              <w:jc w:val="left"/>
              <w:rPr/>
            </w:pPr>
            <w:r>
              <w:rPr/>
              <w:t>the pre-registrations listed in §8.7</w:t>
            </w:r>
          </w:p>
        </w:tc>
        <w:tc>
          <w:tcPr>
            <w:tcW w:w="2300" w:type="dxa"/>
            <w:tcBorders/>
            <w:vAlign w:val="center"/>
          </w:tcPr>
          <w:p>
            <w:pPr>
              <w:pStyle w:val="TableContents"/>
              <w:widowControl w:val="false"/>
              <w:suppressLineNumbers/>
              <w:bidi w:val="0"/>
              <w:jc w:val="left"/>
              <w:rPr/>
            </w:pPr>
            <w:r>
              <w:rPr/>
              <w:t>adopted in part; each outcome and its reason in §8.7</w:t>
            </w:r>
          </w:p>
        </w:tc>
        <w:tc>
          <w:tcPr>
            <w:tcW w:w="1012" w:type="dxa"/>
            <w:tcBorders/>
            <w:vAlign w:val="center"/>
          </w:tcPr>
          <w:p>
            <w:pPr>
              <w:pStyle w:val="TableContents"/>
              <w:widowControl w:val="false"/>
              <w:suppressLineNumbers/>
              <w:bidi w:val="0"/>
              <w:jc w:val="left"/>
              <w:rPr/>
            </w:pPr>
            <w:r>
              <w:rPr/>
              <w:t>§8.7, §8.8</w:t>
            </w:r>
          </w:p>
        </w:tc>
      </w:tr>
    </w:tbl>
    <w:p>
      <w:pPr>
        <w:pStyle w:val="BodyText"/>
        <w:bidi w:val="0"/>
        <w:jc w:val="left"/>
        <w:rPr/>
      </w:pPr>
      <w:r>
        <w:rPr/>
        <w:t>Analyses with no criterion fixed in advance, the held-out year and the annexes built on it among them, are reported as analyses and never as tests. One test was decided on a score rather than on the training year, and that score refuted it; §8.7.2 states it as the one exception.</w:t>
      </w:r>
    </w:p>
    <w:p>
      <w:pPr>
        <w:pStyle w:val="Heading3"/>
        <w:bidi w:val="0"/>
        <w:jc w:val="left"/>
        <w:rPr/>
      </w:pPr>
      <w:r>
        <w:rPr/>
        <w:t>1.3 Prior art, and what is new here</w:t>
      </w:r>
    </w:p>
    <w:p>
      <w:pPr>
        <w:pStyle w:val="BodyText"/>
        <w:bidi w:val="0"/>
        <w:jc w:val="left"/>
        <w:rPr/>
      </w:pPr>
      <w:r>
        <w:rPr/>
        <w:t xml:space="preserve">Building a routable graph from OSM </w:t>
      </w:r>
      <w:r>
        <w:rPr>
          <w:rStyle w:val="SourceText"/>
        </w:rPr>
        <w:t>aeroway</w:t>
      </w:r>
      <w:r>
        <w:rPr/>
        <w:t xml:space="preserve"> geometry is not new; </w:t>
      </w:r>
      <w:r>
        <w:rPr>
          <w:rStyle w:val="SourceText"/>
        </w:rPr>
        <w:t>traffic</w:t>
      </w:r>
      <w:r>
        <w:rPr/>
        <w:t xml:space="preserve"> (Olive, MIT) ships one, and Olive, Waltert &amp; Schultz (ATRD 2025) document the same defects this pipeline repairs. Ravizza et al. (2013) established that route shape (turn angle, junction-free running) predicts taxi speed nearly as well as distance. What appears not to have been done is the downstream half: using these recovered quantities as regression features for taxi-out. Earlier entries to this challenge, in 2024 and 2025, appear not to have used OSM at all.</w:t>
      </w:r>
    </w:p>
    <w:p>
      <w:pPr>
        <w:pStyle w:val="BodyText"/>
        <w:bidi w:val="0"/>
        <w:jc w:val="left"/>
        <w:rPr/>
      </w:pPr>
      <w:r>
        <w:rPr/>
        <w:t xml:space="preserve">Source: </w:t>
      </w:r>
      <w:r>
        <w:rPr>
          <w:rStyle w:val="SourceText"/>
        </w:rPr>
        <w:t>docs/prior_art.md</w:t>
      </w:r>
      <w:r>
        <w:rPr/>
        <w:t>.</w:t>
      </w:r>
    </w:p>
    <w:p>
      <w:pPr>
        <w:pStyle w:val="Heading3"/>
        <w:bidi w:val="0"/>
        <w:jc w:val="left"/>
        <w:rPr/>
      </w:pPr>
      <w:r>
        <w:rPr/>
        <w:t>1.4 Terms used in this paper</w:t>
      </w:r>
    </w:p>
    <w:p>
      <w:pPr>
        <w:pStyle w:val="BodyText"/>
        <w:bidi w:val="0"/>
        <w:jc w:val="left"/>
        <w:rPr/>
      </w:pPr>
      <w:r>
        <w:rPr/>
        <w:t>The paper keeps a small working vocabulary. Each term is defined where it first matters, and collected here.</w:t>
      </w:r>
    </w:p>
    <w:tbl>
      <w:tblPr>
        <w:tblW w:w="10539" w:type="dxa"/>
        <w:jc w:val="left"/>
        <w:tblInd w:w="28" w:type="dxa"/>
        <w:tblLayout w:type="fixed"/>
        <w:tblCellMar>
          <w:top w:w="28" w:type="dxa"/>
          <w:left w:w="28" w:type="dxa"/>
          <w:bottom w:w="28" w:type="dxa"/>
          <w:right w:w="28" w:type="dxa"/>
        </w:tblCellMar>
      </w:tblPr>
      <w:tblGrid>
        <w:gridCol w:w="2326"/>
        <w:gridCol w:w="6948"/>
        <w:gridCol w:w="1265"/>
      </w:tblGrid>
      <w:tr>
        <w:trPr>
          <w:tblHeader w:val="true"/>
        </w:trPr>
        <w:tc>
          <w:tcPr>
            <w:tcW w:w="2326" w:type="dxa"/>
            <w:tcBorders/>
            <w:vAlign w:val="center"/>
          </w:tcPr>
          <w:p>
            <w:pPr>
              <w:pStyle w:val="TableHeading"/>
              <w:suppressLineNumbers/>
              <w:bidi w:val="0"/>
              <w:jc w:val="center"/>
              <w:rPr/>
            </w:pPr>
            <w:r>
              <w:rPr/>
              <w:t>term</w:t>
            </w:r>
          </w:p>
        </w:tc>
        <w:tc>
          <w:tcPr>
            <w:tcW w:w="6948" w:type="dxa"/>
            <w:tcBorders/>
            <w:vAlign w:val="center"/>
          </w:tcPr>
          <w:p>
            <w:pPr>
              <w:pStyle w:val="TableHeading"/>
              <w:suppressLineNumbers/>
              <w:bidi w:val="0"/>
              <w:jc w:val="center"/>
              <w:rPr/>
            </w:pPr>
            <w:r>
              <w:rPr/>
              <w:t>meaning</w:t>
            </w:r>
          </w:p>
        </w:tc>
        <w:tc>
          <w:tcPr>
            <w:tcW w:w="1265" w:type="dxa"/>
            <w:tcBorders/>
            <w:vAlign w:val="center"/>
          </w:tcPr>
          <w:p>
            <w:pPr>
              <w:pStyle w:val="TableHeading"/>
              <w:suppressLineNumbers/>
              <w:bidi w:val="0"/>
              <w:jc w:val="center"/>
              <w:rPr/>
            </w:pPr>
            <w:r>
              <w:rPr/>
              <w:t>where</w:t>
            </w:r>
          </w:p>
        </w:tc>
      </w:tr>
      <w:tr>
        <w:trPr/>
        <w:tc>
          <w:tcPr>
            <w:tcW w:w="2326" w:type="dxa"/>
            <w:tcBorders/>
            <w:vAlign w:val="center"/>
          </w:tcPr>
          <w:p>
            <w:pPr>
              <w:pStyle w:val="TableContents"/>
              <w:widowControl w:val="false"/>
              <w:suppressLineNumbers/>
              <w:bidi w:val="0"/>
              <w:jc w:val="left"/>
              <w:rPr/>
            </w:pPr>
            <w:r>
              <w:rPr/>
              <w:t>RMSE</w:t>
            </w:r>
          </w:p>
        </w:tc>
        <w:tc>
          <w:tcPr>
            <w:tcW w:w="6948" w:type="dxa"/>
            <w:tcBorders/>
            <w:vAlign w:val="center"/>
          </w:tcPr>
          <w:p>
            <w:pPr>
              <w:pStyle w:val="TableContents"/>
              <w:widowControl w:val="false"/>
              <w:suppressLineNumbers/>
              <w:bidi w:val="0"/>
              <w:jc w:val="left"/>
              <w:rPr/>
            </w:pPr>
            <w:r>
              <w:rPr/>
              <w:t>the root-mean-square error in seconds, the error measure used throughout</w:t>
            </w:r>
          </w:p>
        </w:tc>
        <w:tc>
          <w:tcPr>
            <w:tcW w:w="1265" w:type="dxa"/>
            <w:tcBorders/>
            <w:vAlign w:val="center"/>
          </w:tcPr>
          <w:p>
            <w:pPr>
              <w:pStyle w:val="TableContents"/>
              <w:widowControl w:val="false"/>
              <w:suppressLineNumbers/>
              <w:bidi w:val="0"/>
              <w:jc w:val="left"/>
              <w:rPr/>
            </w:pPr>
            <w:r>
              <w:rPr/>
              <w:t>throughout</w:t>
            </w:r>
          </w:p>
        </w:tc>
      </w:tr>
      <w:tr>
        <w:trPr/>
        <w:tc>
          <w:tcPr>
            <w:tcW w:w="2326" w:type="dxa"/>
            <w:tcBorders/>
            <w:vAlign w:val="center"/>
          </w:tcPr>
          <w:p>
            <w:pPr>
              <w:pStyle w:val="TableContents"/>
              <w:widowControl w:val="false"/>
              <w:suppressLineNumbers/>
              <w:bidi w:val="0"/>
              <w:jc w:val="left"/>
              <w:rPr/>
            </w:pPr>
            <w:r>
              <w:rPr/>
              <w:t>the base configuration</w:t>
            </w:r>
          </w:p>
        </w:tc>
        <w:tc>
          <w:tcPr>
            <w:tcW w:w="6948" w:type="dxa"/>
            <w:tcBorders/>
            <w:vAlign w:val="center"/>
          </w:tcPr>
          <w:p>
            <w:pPr>
              <w:pStyle w:val="TableContents"/>
              <w:widowControl w:val="false"/>
              <w:suppressLineNumbers/>
              <w:bidi w:val="0"/>
              <w:jc w:val="left"/>
              <w:rPr/>
            </w:pPr>
            <w:r>
              <w:rPr/>
              <w:t>the booster and its rules as fixed before the ranking months were scored, on which every later change builds</w:t>
            </w:r>
          </w:p>
        </w:tc>
        <w:tc>
          <w:tcPr>
            <w:tcW w:w="1265" w:type="dxa"/>
            <w:tcBorders/>
            <w:vAlign w:val="center"/>
          </w:tcPr>
          <w:p>
            <w:pPr>
              <w:pStyle w:val="TableContents"/>
              <w:widowControl w:val="false"/>
              <w:suppressLineNumbers/>
              <w:bidi w:val="0"/>
              <w:jc w:val="left"/>
              <w:rPr/>
            </w:pPr>
            <w:r>
              <w:rPr/>
              <w:t>preface, §8.1</w:t>
            </w:r>
          </w:p>
        </w:tc>
      </w:tr>
      <w:tr>
        <w:trPr/>
        <w:tc>
          <w:tcPr>
            <w:tcW w:w="2326" w:type="dxa"/>
            <w:tcBorders/>
            <w:vAlign w:val="center"/>
          </w:tcPr>
          <w:p>
            <w:pPr>
              <w:pStyle w:val="TableContents"/>
              <w:widowControl w:val="false"/>
              <w:suppressLineNumbers/>
              <w:bidi w:val="0"/>
              <w:jc w:val="left"/>
              <w:rPr/>
            </w:pPr>
            <w:r>
              <w:rPr/>
              <w:t>the final configuration</w:t>
            </w:r>
          </w:p>
        </w:tc>
        <w:tc>
          <w:tcPr>
            <w:tcW w:w="6948" w:type="dxa"/>
            <w:tcBorders/>
            <w:vAlign w:val="center"/>
          </w:tcPr>
          <w:p>
            <w:pPr>
              <w:pStyle w:val="TableContents"/>
              <w:widowControl w:val="false"/>
              <w:suppressLineNumbers/>
              <w:bidi w:val="0"/>
              <w:jc w:val="left"/>
              <w:rPr/>
            </w:pPr>
            <w:r>
              <w:rPr/>
              <w:t>the submission over the four ranked months: the base configuration with the feature groups, learners, ground-movement correction and flight-plan window of §8.7</w:t>
            </w:r>
          </w:p>
        </w:tc>
        <w:tc>
          <w:tcPr>
            <w:tcW w:w="1265" w:type="dxa"/>
            <w:tcBorders/>
            <w:vAlign w:val="center"/>
          </w:tcPr>
          <w:p>
            <w:pPr>
              <w:pStyle w:val="TableContents"/>
              <w:widowControl w:val="false"/>
              <w:suppressLineNumbers/>
              <w:bidi w:val="0"/>
              <w:jc w:val="left"/>
              <w:rPr/>
            </w:pPr>
            <w:r>
              <w:rPr/>
              <w:t>§8.7</w:t>
            </w:r>
          </w:p>
        </w:tc>
      </w:tr>
      <w:tr>
        <w:trPr/>
        <w:tc>
          <w:tcPr>
            <w:tcW w:w="2326" w:type="dxa"/>
            <w:tcBorders/>
            <w:vAlign w:val="center"/>
          </w:tcPr>
          <w:p>
            <w:pPr>
              <w:pStyle w:val="TableContents"/>
              <w:widowControl w:val="false"/>
              <w:suppressLineNumbers/>
              <w:bidi w:val="0"/>
              <w:jc w:val="left"/>
              <w:rPr/>
            </w:pPr>
            <w:r>
              <w:rPr/>
              <w:t>pre-registration</w:t>
            </w:r>
          </w:p>
        </w:tc>
        <w:tc>
          <w:tcPr>
            <w:tcW w:w="6948" w:type="dxa"/>
            <w:tcBorders/>
            <w:vAlign w:val="center"/>
          </w:tcPr>
          <w:p>
            <w:pPr>
              <w:pStyle w:val="TableContents"/>
              <w:widowControl w:val="false"/>
              <w:suppressLineNumbers/>
              <w:bidi w:val="0"/>
              <w:jc w:val="left"/>
              <w:rPr/>
            </w:pPr>
            <w:r>
              <w:rPr/>
              <w:t>a dated record, fixed before the figures it governs, that names a test and the rule deciding it</w:t>
            </w:r>
          </w:p>
        </w:tc>
        <w:tc>
          <w:tcPr>
            <w:tcW w:w="1265" w:type="dxa"/>
            <w:tcBorders/>
            <w:vAlign w:val="center"/>
          </w:tcPr>
          <w:p>
            <w:pPr>
              <w:pStyle w:val="TableContents"/>
              <w:widowControl w:val="false"/>
              <w:suppressLineNumbers/>
              <w:bidi w:val="0"/>
              <w:jc w:val="left"/>
              <w:rPr/>
            </w:pPr>
            <w:r>
              <w:rPr/>
              <w:t>§3.7</w:t>
            </w:r>
          </w:p>
        </w:tc>
      </w:tr>
      <w:tr>
        <w:trPr/>
        <w:tc>
          <w:tcPr>
            <w:tcW w:w="2326" w:type="dxa"/>
            <w:tcBorders/>
            <w:vAlign w:val="center"/>
          </w:tcPr>
          <w:p>
            <w:pPr>
              <w:pStyle w:val="TableContents"/>
              <w:widowControl w:val="false"/>
              <w:suppressLineNumbers/>
              <w:bidi w:val="0"/>
              <w:jc w:val="left"/>
              <w:rPr/>
            </w:pPr>
            <w:r>
              <w:rPr/>
              <w:t>block</w:t>
            </w:r>
          </w:p>
        </w:tc>
        <w:tc>
          <w:tcPr>
            <w:tcW w:w="6948" w:type="dxa"/>
            <w:tcBorders/>
            <w:vAlign w:val="center"/>
          </w:tcPr>
          <w:p>
            <w:pPr>
              <w:pStyle w:val="TableContents"/>
              <w:widowControl w:val="false"/>
              <w:suppressLineNumbers/>
              <w:bidi w:val="0"/>
              <w:jc w:val="left"/>
              <w:rPr/>
            </w:pPr>
            <w:r>
              <w:rPr/>
              <w:t>a group of features added to the booster together, such as the geometry block</w:t>
            </w:r>
          </w:p>
        </w:tc>
        <w:tc>
          <w:tcPr>
            <w:tcW w:w="1265" w:type="dxa"/>
            <w:tcBorders/>
            <w:vAlign w:val="center"/>
          </w:tcPr>
          <w:p>
            <w:pPr>
              <w:pStyle w:val="TableContents"/>
              <w:widowControl w:val="false"/>
              <w:suppressLineNumbers/>
              <w:bidi w:val="0"/>
              <w:jc w:val="left"/>
              <w:rPr/>
            </w:pPr>
            <w:r>
              <w:rPr/>
              <w:t>§3.2</w:t>
            </w:r>
          </w:p>
        </w:tc>
      </w:tr>
      <w:tr>
        <w:trPr/>
        <w:tc>
          <w:tcPr>
            <w:tcW w:w="2326" w:type="dxa"/>
            <w:tcBorders/>
            <w:vAlign w:val="center"/>
          </w:tcPr>
          <w:p>
            <w:pPr>
              <w:pStyle w:val="TableContents"/>
              <w:widowControl w:val="false"/>
              <w:suppressLineNumbers/>
              <w:bidi w:val="0"/>
              <w:jc w:val="left"/>
              <w:rPr/>
            </w:pPr>
            <w:r>
              <w:rPr/>
              <w:t>ablation ladder, rung</w:t>
            </w:r>
          </w:p>
        </w:tc>
        <w:tc>
          <w:tcPr>
            <w:tcW w:w="6948" w:type="dxa"/>
            <w:tcBorders/>
            <w:vAlign w:val="center"/>
          </w:tcPr>
          <w:p>
            <w:pPr>
              <w:pStyle w:val="TableContents"/>
              <w:widowControl w:val="false"/>
              <w:suppressLineNumbers/>
              <w:bidi w:val="0"/>
              <w:jc w:val="left"/>
              <w:rPr/>
            </w:pPr>
            <w:r>
              <w:rPr/>
              <w:t>the sequence of models that each add one block to the one before; a rung is one model on it</w:t>
            </w:r>
          </w:p>
        </w:tc>
        <w:tc>
          <w:tcPr>
            <w:tcW w:w="1265" w:type="dxa"/>
            <w:tcBorders/>
            <w:vAlign w:val="center"/>
          </w:tcPr>
          <w:p>
            <w:pPr>
              <w:pStyle w:val="TableContents"/>
              <w:widowControl w:val="false"/>
              <w:suppressLineNumbers/>
              <w:bidi w:val="0"/>
              <w:jc w:val="left"/>
              <w:rPr/>
            </w:pPr>
            <w:r>
              <w:rPr/>
              <w:t>§3.1</w:t>
            </w:r>
          </w:p>
        </w:tc>
      </w:tr>
      <w:tr>
        <w:trPr/>
        <w:tc>
          <w:tcPr>
            <w:tcW w:w="2326" w:type="dxa"/>
            <w:tcBorders/>
            <w:vAlign w:val="center"/>
          </w:tcPr>
          <w:p>
            <w:pPr>
              <w:pStyle w:val="TableContents"/>
              <w:widowControl w:val="false"/>
              <w:suppressLineNumbers/>
              <w:bidi w:val="0"/>
              <w:jc w:val="left"/>
              <w:rPr/>
            </w:pPr>
            <w:r>
              <w:rPr/>
              <w:t>forward split, leg</w:t>
            </w:r>
          </w:p>
        </w:tc>
        <w:tc>
          <w:tcPr>
            <w:tcW w:w="6948" w:type="dxa"/>
            <w:tcBorders/>
            <w:vAlign w:val="center"/>
          </w:tcPr>
          <w:p>
            <w:pPr>
              <w:pStyle w:val="TableContents"/>
              <w:widowControl w:val="false"/>
              <w:suppressLineNumbers/>
              <w:bidi w:val="0"/>
              <w:jc w:val="left"/>
              <w:rPr/>
            </w:pPr>
            <w:r>
              <w:rPr/>
              <w:t>a split that trains on earlier months and scores a later one, December 2025 or July 2025; each such reading is a leg</w:t>
            </w:r>
          </w:p>
        </w:tc>
        <w:tc>
          <w:tcPr>
            <w:tcW w:w="1265" w:type="dxa"/>
            <w:tcBorders/>
            <w:vAlign w:val="center"/>
          </w:tcPr>
          <w:p>
            <w:pPr>
              <w:pStyle w:val="TableContents"/>
              <w:widowControl w:val="false"/>
              <w:suppressLineNumbers/>
              <w:bidi w:val="0"/>
              <w:jc w:val="left"/>
              <w:rPr/>
            </w:pPr>
            <w:r>
              <w:rPr/>
              <w:t>§3.5</w:t>
            </w:r>
          </w:p>
        </w:tc>
      </w:tr>
      <w:tr>
        <w:trPr/>
        <w:tc>
          <w:tcPr>
            <w:tcW w:w="2326" w:type="dxa"/>
            <w:tcBorders/>
            <w:vAlign w:val="center"/>
          </w:tcPr>
          <w:p>
            <w:pPr>
              <w:pStyle w:val="TableContents"/>
              <w:widowControl w:val="false"/>
              <w:suppressLineNumbers/>
              <w:bidi w:val="0"/>
              <w:jc w:val="left"/>
              <w:rPr/>
            </w:pPr>
            <w:r>
              <w:rPr/>
              <w:t>the three</w:t>
            </w:r>
          </w:p>
        </w:tc>
        <w:tc>
          <w:tcPr>
            <w:tcW w:w="6948" w:type="dxa"/>
            <w:tcBorders/>
            <w:vAlign w:val="center"/>
          </w:tcPr>
          <w:p>
            <w:pPr>
              <w:pStyle w:val="TableContents"/>
              <w:widowControl w:val="false"/>
              <w:suppressLineNumbers/>
              <w:bidi w:val="0"/>
              <w:jc w:val="left"/>
              <w:rPr/>
            </w:pPr>
            <w:r>
              <w:rPr/>
              <w:t>Frankfurt, Heathrow and Schiphol, read on their own in July as a second July reading</w:t>
            </w:r>
          </w:p>
        </w:tc>
        <w:tc>
          <w:tcPr>
            <w:tcW w:w="1265" w:type="dxa"/>
            <w:tcBorders/>
            <w:vAlign w:val="center"/>
          </w:tcPr>
          <w:p>
            <w:pPr>
              <w:pStyle w:val="TableContents"/>
              <w:widowControl w:val="false"/>
              <w:suppressLineNumbers/>
              <w:bidi w:val="0"/>
              <w:jc w:val="left"/>
              <w:rPr/>
            </w:pPr>
            <w:r>
              <w:rPr/>
              <w:t>§2.1, §7.1</w:t>
            </w:r>
          </w:p>
        </w:tc>
      </w:tr>
      <w:tr>
        <w:trPr/>
        <w:tc>
          <w:tcPr>
            <w:tcW w:w="2326" w:type="dxa"/>
            <w:tcBorders/>
            <w:vAlign w:val="center"/>
          </w:tcPr>
          <w:p>
            <w:pPr>
              <w:pStyle w:val="TableContents"/>
              <w:widowControl w:val="false"/>
              <w:suppressLineNumbers/>
              <w:bidi w:val="0"/>
              <w:jc w:val="left"/>
              <w:rPr/>
            </w:pPr>
            <w:r>
              <w:rPr/>
              <w:t>held-out pairs</w:t>
            </w:r>
          </w:p>
        </w:tc>
        <w:tc>
          <w:tcPr>
            <w:tcW w:w="6948" w:type="dxa"/>
            <w:tcBorders/>
            <w:vAlign w:val="center"/>
          </w:tcPr>
          <w:p>
            <w:pPr>
              <w:pStyle w:val="TableContents"/>
              <w:widowControl w:val="false"/>
              <w:suppressLineNumbers/>
              <w:bidi w:val="0"/>
              <w:jc w:val="left"/>
              <w:rPr/>
            </w:pPr>
            <w:r>
              <w:rPr/>
              <w:t>stand-to-runway pairs removed from training as whole pairs, so the model scores them unseen</w:t>
            </w:r>
          </w:p>
        </w:tc>
        <w:tc>
          <w:tcPr>
            <w:tcW w:w="1265" w:type="dxa"/>
            <w:tcBorders/>
            <w:vAlign w:val="center"/>
          </w:tcPr>
          <w:p>
            <w:pPr>
              <w:pStyle w:val="TableContents"/>
              <w:widowControl w:val="false"/>
              <w:suppressLineNumbers/>
              <w:bidi w:val="0"/>
              <w:jc w:val="left"/>
              <w:rPr/>
            </w:pPr>
            <w:r>
              <w:rPr/>
              <w:t>§3.5, §7.2</w:t>
            </w:r>
          </w:p>
        </w:tc>
      </w:tr>
      <w:tr>
        <w:trPr/>
        <w:tc>
          <w:tcPr>
            <w:tcW w:w="2326" w:type="dxa"/>
            <w:tcBorders/>
            <w:vAlign w:val="center"/>
          </w:tcPr>
          <w:p>
            <w:pPr>
              <w:pStyle w:val="TableContents"/>
              <w:widowControl w:val="false"/>
              <w:suppressLineNumbers/>
              <w:bidi w:val="0"/>
              <w:jc w:val="left"/>
              <w:rPr/>
            </w:pPr>
            <w:r>
              <w:rPr/>
              <w:t>pair-frequency bucket</w:t>
            </w:r>
          </w:p>
        </w:tc>
        <w:tc>
          <w:tcPr>
            <w:tcW w:w="6948" w:type="dxa"/>
            <w:tcBorders/>
            <w:vAlign w:val="center"/>
          </w:tcPr>
          <w:p>
            <w:pPr>
              <w:pStyle w:val="TableContents"/>
              <w:widowControl w:val="false"/>
              <w:suppressLineNumbers/>
              <w:bidi w:val="0"/>
              <w:jc w:val="left"/>
              <w:rPr/>
            </w:pPr>
            <w:r>
              <w:rPr/>
              <w:t>the rows grouped by how often the training year saw their stand-to-runway pair, from never to over a hundred times</w:t>
            </w:r>
          </w:p>
        </w:tc>
        <w:tc>
          <w:tcPr>
            <w:tcW w:w="1265" w:type="dxa"/>
            <w:tcBorders/>
            <w:vAlign w:val="center"/>
          </w:tcPr>
          <w:p>
            <w:pPr>
              <w:pStyle w:val="TableContents"/>
              <w:widowControl w:val="false"/>
              <w:suppressLineNumbers/>
              <w:bidi w:val="0"/>
              <w:jc w:val="left"/>
              <w:rPr/>
            </w:pPr>
            <w:r>
              <w:rPr/>
              <w:t>§5.4, §7.4</w:t>
            </w:r>
          </w:p>
        </w:tc>
      </w:tr>
      <w:tr>
        <w:trPr/>
        <w:tc>
          <w:tcPr>
            <w:tcW w:w="2326" w:type="dxa"/>
            <w:tcBorders/>
            <w:vAlign w:val="center"/>
          </w:tcPr>
          <w:p>
            <w:pPr>
              <w:pStyle w:val="TableContents"/>
              <w:widowControl w:val="false"/>
              <w:suppressLineNumbers/>
              <w:bidi w:val="0"/>
              <w:jc w:val="left"/>
              <w:rPr/>
            </w:pPr>
            <w:r>
              <w:rPr/>
              <w:t>ranking mix</w:t>
            </w:r>
          </w:p>
        </w:tc>
        <w:tc>
          <w:tcPr>
            <w:tcW w:w="6948" w:type="dxa"/>
            <w:tcBorders/>
            <w:vAlign w:val="center"/>
          </w:tcPr>
          <w:p>
            <w:pPr>
              <w:pStyle w:val="TableContents"/>
              <w:widowControl w:val="false"/>
              <w:suppressLineNumbers/>
              <w:bidi w:val="0"/>
              <w:jc w:val="left"/>
              <w:rPr/>
            </w:pPr>
            <w:r>
              <w:rPr/>
              <w:t>a figure reweighted to the ranking set's own share of rows in each pair-frequency bucket</w:t>
            </w:r>
          </w:p>
        </w:tc>
        <w:tc>
          <w:tcPr>
            <w:tcW w:w="1265" w:type="dxa"/>
            <w:tcBorders/>
            <w:vAlign w:val="center"/>
          </w:tcPr>
          <w:p>
            <w:pPr>
              <w:pStyle w:val="TableContents"/>
              <w:widowControl w:val="false"/>
              <w:suppressLineNumbers/>
              <w:bidi w:val="0"/>
              <w:jc w:val="left"/>
              <w:rPr/>
            </w:pPr>
            <w:r>
              <w:rPr/>
              <w:t>§7.4</w:t>
            </w:r>
          </w:p>
        </w:tc>
      </w:tr>
      <w:tr>
        <w:trPr/>
        <w:tc>
          <w:tcPr>
            <w:tcW w:w="2326" w:type="dxa"/>
            <w:tcBorders/>
            <w:vAlign w:val="center"/>
          </w:tcPr>
          <w:p>
            <w:pPr>
              <w:pStyle w:val="TableContents"/>
              <w:widowControl w:val="false"/>
              <w:suppressLineNumbers/>
              <w:bidi w:val="0"/>
              <w:jc w:val="left"/>
              <w:rPr/>
            </w:pPr>
            <w:r>
              <w:rPr/>
              <w:t>seed floor</w:t>
            </w:r>
          </w:p>
        </w:tc>
        <w:tc>
          <w:tcPr>
            <w:tcW w:w="6948" w:type="dxa"/>
            <w:tcBorders/>
            <w:vAlign w:val="center"/>
          </w:tcPr>
          <w:p>
            <w:pPr>
              <w:pStyle w:val="TableContents"/>
              <w:widowControl w:val="false"/>
              <w:suppressLineNumbers/>
              <w:bidi w:val="0"/>
              <w:jc w:val="left"/>
              <w:rPr/>
            </w:pPr>
            <w:r>
              <w:rPr/>
              <w:t>how far a figure moves when nothing but the random seed changes; a difference inside it is noise</w:t>
            </w:r>
          </w:p>
        </w:tc>
        <w:tc>
          <w:tcPr>
            <w:tcW w:w="1265" w:type="dxa"/>
            <w:tcBorders/>
            <w:vAlign w:val="center"/>
          </w:tcPr>
          <w:p>
            <w:pPr>
              <w:pStyle w:val="TableContents"/>
              <w:widowControl w:val="false"/>
              <w:suppressLineNumbers/>
              <w:bidi w:val="0"/>
              <w:jc w:val="left"/>
              <w:rPr/>
            </w:pPr>
            <w:r>
              <w:rPr/>
              <w:t>§3.6</w:t>
            </w:r>
          </w:p>
        </w:tc>
      </w:tr>
      <w:tr>
        <w:trPr/>
        <w:tc>
          <w:tcPr>
            <w:tcW w:w="2326" w:type="dxa"/>
            <w:tcBorders/>
            <w:vAlign w:val="center"/>
          </w:tcPr>
          <w:p>
            <w:pPr>
              <w:pStyle w:val="TableContents"/>
              <w:widowControl w:val="false"/>
              <w:suppressLineNumbers/>
              <w:bidi w:val="0"/>
              <w:jc w:val="left"/>
              <w:rPr/>
            </w:pPr>
            <w:r>
              <w:rPr/>
              <w:t>the record-quality term</w:t>
            </w:r>
          </w:p>
        </w:tc>
        <w:tc>
          <w:tcPr>
            <w:tcW w:w="6948" w:type="dxa"/>
            <w:tcBorders/>
            <w:vAlign w:val="center"/>
          </w:tcPr>
          <w:p>
            <w:pPr>
              <w:pStyle w:val="TableContents"/>
              <w:widowControl w:val="false"/>
              <w:suppressLineNumbers/>
              <w:bidi w:val="0"/>
              <w:jc w:val="left"/>
              <w:rPr/>
            </w:pPr>
            <w:r>
              <w:rPr/>
              <w:t>a rule, not a fitted model, for rows whose recorded off-block time was defaulted to the schedule; its rows are grouped in cells by airport, presence of a flight-plan record and band of plan lag</w:t>
            </w:r>
          </w:p>
        </w:tc>
        <w:tc>
          <w:tcPr>
            <w:tcW w:w="1265" w:type="dxa"/>
            <w:tcBorders/>
            <w:vAlign w:val="center"/>
          </w:tcPr>
          <w:p>
            <w:pPr>
              <w:pStyle w:val="TableContents"/>
              <w:widowControl w:val="false"/>
              <w:suppressLineNumbers/>
              <w:bidi w:val="0"/>
              <w:jc w:val="left"/>
              <w:rPr/>
            </w:pPr>
            <w:r>
              <w:rPr/>
              <w:t>§3.3, §4</w:t>
            </w:r>
          </w:p>
        </w:tc>
      </w:tr>
      <w:tr>
        <w:trPr/>
        <w:tc>
          <w:tcPr>
            <w:tcW w:w="2326" w:type="dxa"/>
            <w:tcBorders/>
            <w:vAlign w:val="center"/>
          </w:tcPr>
          <w:p>
            <w:pPr>
              <w:pStyle w:val="TableContents"/>
              <w:widowControl w:val="false"/>
              <w:suppressLineNumbers/>
              <w:bidi w:val="0"/>
              <w:jc w:val="left"/>
              <w:rPr/>
            </w:pPr>
            <w:r>
              <w:rPr/>
              <w:t>the plan-shift rule</w:t>
            </w:r>
          </w:p>
        </w:tc>
        <w:tc>
          <w:tcPr>
            <w:tcW w:w="6948" w:type="dxa"/>
            <w:tcBorders/>
            <w:vAlign w:val="center"/>
          </w:tcPr>
          <w:p>
            <w:pPr>
              <w:pStyle w:val="TableContents"/>
              <w:widowControl w:val="false"/>
              <w:suppressLineNumbers/>
              <w:bidi w:val="0"/>
              <w:jc w:val="left"/>
              <w:rPr/>
            </w:pPr>
            <w:r>
              <w:rPr/>
              <w:t>the second rule of §3.3, for departures whose take-off falls far after the plan's off-block time</w:t>
            </w:r>
          </w:p>
        </w:tc>
        <w:tc>
          <w:tcPr>
            <w:tcW w:w="1265" w:type="dxa"/>
            <w:tcBorders/>
            <w:vAlign w:val="center"/>
          </w:tcPr>
          <w:p>
            <w:pPr>
              <w:pStyle w:val="TableContents"/>
              <w:widowControl w:val="false"/>
              <w:suppressLineNumbers/>
              <w:bidi w:val="0"/>
              <w:jc w:val="left"/>
              <w:rPr/>
            </w:pPr>
            <w:r>
              <w:rPr/>
              <w:t>§3.3, §4</w:t>
            </w:r>
          </w:p>
        </w:tc>
      </w:tr>
      <w:tr>
        <w:trPr/>
        <w:tc>
          <w:tcPr>
            <w:tcW w:w="2326" w:type="dxa"/>
            <w:tcBorders/>
            <w:vAlign w:val="center"/>
          </w:tcPr>
          <w:p>
            <w:pPr>
              <w:pStyle w:val="TableContents"/>
              <w:widowControl w:val="false"/>
              <w:suppressLineNumbers/>
              <w:bidi w:val="0"/>
              <w:jc w:val="left"/>
              <w:rPr/>
            </w:pPr>
            <w:r>
              <w:rPr/>
              <w:t>ex-flagged</w:t>
            </w:r>
          </w:p>
        </w:tc>
        <w:tc>
          <w:tcPr>
            <w:tcW w:w="6948" w:type="dxa"/>
            <w:tcBorders/>
            <w:vAlign w:val="center"/>
          </w:tcPr>
          <w:p>
            <w:pPr>
              <w:pStyle w:val="TableContents"/>
              <w:widowControl w:val="false"/>
              <w:suppressLineNumbers/>
              <w:bidi w:val="0"/>
              <w:jc w:val="left"/>
              <w:rPr/>
            </w:pPr>
            <w:r>
              <w:rPr/>
              <w:t>read on the rows the record-quality term does not take; "every row" includes them</w:t>
            </w:r>
          </w:p>
        </w:tc>
        <w:tc>
          <w:tcPr>
            <w:tcW w:w="1265" w:type="dxa"/>
            <w:tcBorders/>
            <w:vAlign w:val="center"/>
          </w:tcPr>
          <w:p>
            <w:pPr>
              <w:pStyle w:val="TableContents"/>
              <w:widowControl w:val="false"/>
              <w:suppressLineNumbers/>
              <w:bidi w:val="0"/>
              <w:jc w:val="left"/>
              <w:rPr/>
            </w:pPr>
            <w:r>
              <w:rPr/>
              <w:t>§3.5, §8</w:t>
            </w:r>
          </w:p>
        </w:tc>
      </w:tr>
      <w:tr>
        <w:trPr/>
        <w:tc>
          <w:tcPr>
            <w:tcW w:w="2326" w:type="dxa"/>
            <w:tcBorders/>
            <w:vAlign w:val="center"/>
          </w:tcPr>
          <w:p>
            <w:pPr>
              <w:pStyle w:val="TableContents"/>
              <w:widowControl w:val="false"/>
              <w:suppressLineNumbers/>
              <w:bidi w:val="0"/>
              <w:jc w:val="left"/>
              <w:rPr/>
            </w:pPr>
            <w:r>
              <w:rPr/>
              <w:t>core rows</w:t>
            </w:r>
          </w:p>
        </w:tc>
        <w:tc>
          <w:tcPr>
            <w:tcW w:w="6948" w:type="dxa"/>
            <w:tcBorders/>
            <w:vAlign w:val="center"/>
          </w:tcPr>
          <w:p>
            <w:pPr>
              <w:pStyle w:val="TableContents"/>
              <w:widowControl w:val="false"/>
              <w:suppressLineNumbers/>
              <w:bidi w:val="0"/>
              <w:jc w:val="left"/>
              <w:rPr/>
            </w:pPr>
            <w:r>
              <w:rPr/>
              <w:t>the rows neither rule takes</w:t>
            </w:r>
          </w:p>
        </w:tc>
        <w:tc>
          <w:tcPr>
            <w:tcW w:w="1265" w:type="dxa"/>
            <w:tcBorders/>
            <w:vAlign w:val="center"/>
          </w:tcPr>
          <w:p>
            <w:pPr>
              <w:pStyle w:val="TableContents"/>
              <w:widowControl w:val="false"/>
              <w:suppressLineNumbers/>
              <w:bidi w:val="0"/>
              <w:jc w:val="left"/>
              <w:rPr/>
            </w:pPr>
            <w:r>
              <w:rPr/>
              <w:t>§8.8</w:t>
            </w:r>
          </w:p>
        </w:tc>
      </w:tr>
      <w:tr>
        <w:trPr/>
        <w:tc>
          <w:tcPr>
            <w:tcW w:w="2326" w:type="dxa"/>
            <w:tcBorders/>
            <w:vAlign w:val="center"/>
          </w:tcPr>
          <w:p>
            <w:pPr>
              <w:pStyle w:val="TableContents"/>
              <w:widowControl w:val="false"/>
              <w:suppressLineNumbers/>
              <w:bidi w:val="0"/>
              <w:jc w:val="left"/>
              <w:rPr/>
            </w:pPr>
            <w:r>
              <w:rPr/>
              <w:t>arm, control</w:t>
            </w:r>
          </w:p>
        </w:tc>
        <w:tc>
          <w:tcPr>
            <w:tcW w:w="6948" w:type="dxa"/>
            <w:tcBorders/>
            <w:vAlign w:val="center"/>
          </w:tcPr>
          <w:p>
            <w:pPr>
              <w:pStyle w:val="TableContents"/>
              <w:widowControl w:val="false"/>
              <w:suppressLineNumbers/>
              <w:bidi w:val="0"/>
              <w:jc w:val="left"/>
              <w:rPr/>
            </w:pPr>
            <w:r>
              <w:rPr/>
              <w:t>the variants a test compares, and the one the others are compared against</w:t>
            </w:r>
          </w:p>
        </w:tc>
        <w:tc>
          <w:tcPr>
            <w:tcW w:w="1265" w:type="dxa"/>
            <w:tcBorders/>
            <w:vAlign w:val="center"/>
          </w:tcPr>
          <w:p>
            <w:pPr>
              <w:pStyle w:val="TableContents"/>
              <w:widowControl w:val="false"/>
              <w:suppressLineNumbers/>
              <w:bidi w:val="0"/>
              <w:jc w:val="left"/>
              <w:rPr/>
            </w:pPr>
            <w:r>
              <w:rPr/>
              <w:t>§7.4</w:t>
            </w:r>
          </w:p>
        </w:tc>
      </w:tr>
      <w:tr>
        <w:trPr/>
        <w:tc>
          <w:tcPr>
            <w:tcW w:w="2326" w:type="dxa"/>
            <w:tcBorders/>
            <w:vAlign w:val="center"/>
          </w:tcPr>
          <w:p>
            <w:pPr>
              <w:pStyle w:val="TableContents"/>
              <w:widowControl w:val="false"/>
              <w:suppressLineNumbers/>
              <w:bidi w:val="0"/>
              <w:jc w:val="left"/>
              <w:rPr/>
            </w:pPr>
            <w:r>
              <w:rPr/>
              <w:t>the ground-movement correction</w:t>
            </w:r>
          </w:p>
        </w:tc>
        <w:tc>
          <w:tcPr>
            <w:tcW w:w="6948" w:type="dxa"/>
            <w:tcBorders/>
            <w:vAlign w:val="center"/>
          </w:tcPr>
          <w:p>
            <w:pPr>
              <w:pStyle w:val="TableContents"/>
              <w:widowControl w:val="false"/>
              <w:suppressLineNumbers/>
              <w:bidi w:val="0"/>
              <w:jc w:val="left"/>
              <w:rPr/>
            </w:pPr>
            <w:r>
              <w:rPr/>
              <w:t>the second learner of the final configuration that corrects the prediction from adsb.lol and OPDI ground events</w:t>
            </w:r>
          </w:p>
        </w:tc>
        <w:tc>
          <w:tcPr>
            <w:tcW w:w="1265" w:type="dxa"/>
            <w:tcBorders/>
            <w:vAlign w:val="center"/>
          </w:tcPr>
          <w:p>
            <w:pPr>
              <w:pStyle w:val="TableContents"/>
              <w:widowControl w:val="false"/>
              <w:suppressLineNumbers/>
              <w:bidi w:val="0"/>
              <w:jc w:val="left"/>
              <w:rPr/>
            </w:pPr>
            <w:r>
              <w:rPr/>
              <w:t>§8.7</w:t>
            </w:r>
          </w:p>
        </w:tc>
      </w:tr>
    </w:tbl>
    <w:p>
      <w:pPr>
        <w:pStyle w:val="BodyText"/>
        <w:bidi w:val="0"/>
        <w:jc w:val="left"/>
        <w:rPr/>
      </w:pPr>
      <w:r>
        <w:rPr>
          <w:rStyle w:val="Strong"/>
        </w:rPr>
        <w:t>Signs.</w:t>
      </w:r>
      <w:r>
        <w:rPr/>
        <w:t xml:space="preserve"> A change is the figure after a step less the figure before it, in seconds of RMSE, so a negative change means the step lowered the error. The held-out-pair contrast is the other way round: positive means the block helps more on unseen pairs than on seen ones. Each table that mixes the two says which it reports.</w:t>
      </w:r>
    </w:p>
    <w:p>
      <w:pPr>
        <w:pStyle w:val="BodyText"/>
        <w:bidi w:val="0"/>
        <w:jc w:val="left"/>
        <w:rPr/>
      </w:pPr>
      <w:r>
        <w:rPr>
          <w:rStyle w:val="Strong"/>
        </w:rPr>
        <w:t>Airports.</w:t>
      </w:r>
      <w:r>
        <w:rPr/>
        <w:t xml:space="preserve"> The ten airports are named by city in the text and by ICAO code in some tables: EDDF Frankfurt, EDDM Munich, EGLL London Heathrow, EHAM Amsterdam Schiphol, LEBL Barcelona, LEMD Madrid, LFPG Paris Charles de Gaulle, LIRF Rome Fiumicino, LSZH Zurich, LTFM Istanbul.</w:t>
      </w:r>
    </w:p>
    <w:p>
      <w:pPr>
        <w:pStyle w:val="Heading2"/>
        <w:bidi w:val="0"/>
        <w:jc w:val="left"/>
        <w:rPr/>
      </w:pPr>
      <w:r>
        <w:rPr/>
        <w:t>2. Data</w:t>
      </w:r>
    </w:p>
    <w:p>
      <w:pPr>
        <w:pStyle w:val="Heading3"/>
        <w:bidi w:val="0"/>
        <w:jc w:val="left"/>
        <w:rPr/>
      </w:pPr>
      <w:r>
        <w:rPr/>
        <w:t>2.1 What the challenge supplies, and what it withholds</w:t>
      </w:r>
    </w:p>
    <w:p>
      <w:pPr>
        <w:pStyle w:val="BodyText"/>
        <w:bidi w:val="0"/>
        <w:jc w:val="left"/>
        <w:rPr/>
      </w:pPr>
      <w:r>
        <w:rPr/>
        <w:t xml:space="preserve">Ten airports, the ten the challenge's data page lists, not the eleven of the entry's own airport list. The eleventh, Antalya (LTAI), is not scored. January 2026 is a census of all ten, 152,719 departures, and July 2026 of all ten, 192,122: 344,841 rows to predict. The twelve training files cover 2025. July 2026 is also read at Frankfurt, Heathrow and Schiphol alone, as a second July reading, </w:t>
      </w:r>
      <w:r>
        <w:rPr>
          <w:rStyle w:val="Emphasis"/>
        </w:rPr>
        <w:t>the three</w:t>
      </w:r>
      <w:r>
        <w:rPr/>
        <w:t xml:space="preserve">, which the validation design of §7.1 reads on its own. The ranking set blanks </w:t>
      </w:r>
      <w:r>
        <w:rPr>
          <w:rStyle w:val="SourceText"/>
        </w:rPr>
        <w:t>BLOCK_TIME_UTC_mvt</w:t>
      </w:r>
      <w:r>
        <w:rPr/>
        <w:t xml:space="preserve"> for </w:t>
      </w:r>
      <w:r>
        <w:rPr>
          <w:rStyle w:val="Emphasis"/>
        </w:rPr>
        <w:t>every</w:t>
      </w:r>
      <w:r>
        <w:rPr/>
        <w:t xml:space="preserve"> departure, not only the one being predicted, which rules out any feature counting other departures' pushbacks. </w:t>
      </w:r>
      <w:r>
        <w:rPr>
          <w:rStyle w:val="SourceText"/>
        </w:rPr>
        <w:t>AOBT_3_flt</w:t>
      </w:r>
      <w:r>
        <w:rPr/>
        <w:t>, the network manager's recorded off-block time, is not blanked; the base configuration left it out although the ranking set exposes it, and the feature group of §8.7.3 admitted it (§6.3, §8.7).</w:t>
      </w:r>
    </w:p>
    <w:p>
      <w:pPr>
        <w:pStyle w:val="BodyText"/>
        <w:bidi w:val="0"/>
        <w:jc w:val="left"/>
        <w:rPr/>
      </w:pPr>
      <w:r>
        <w:rPr/>
        <w:t xml:space="preserve">Sources: </w:t>
      </w:r>
      <w:r>
        <w:rPr>
          <w:rStyle w:val="SourceText"/>
        </w:rPr>
        <w:t>reports/data_review.md</w:t>
      </w:r>
      <w:r>
        <w:rPr/>
        <w:t xml:space="preserve">, </w:t>
      </w:r>
      <w:r>
        <w:rPr>
          <w:rStyle w:val="Emphasis"/>
        </w:rPr>
        <w:t>Airports and months</w:t>
      </w:r>
      <w:r>
        <w:rPr/>
        <w:t xml:space="preserve"> and </w:t>
      </w:r>
      <w:r>
        <w:rPr>
          <w:rStyle w:val="Emphasis"/>
        </w:rPr>
        <w:t>Inventory</w:t>
      </w:r>
      <w:r>
        <w:rPr/>
        <w:t>.</w:t>
      </w:r>
    </w:p>
    <w:p>
      <w:pPr>
        <w:pStyle w:val="Heading3"/>
        <w:bidi w:val="0"/>
        <w:jc w:val="left"/>
        <w:rPr/>
      </w:pPr>
      <w:r>
        <w:rPr/>
        <w:t>2.2 External data, and the license position</w:t>
      </w:r>
    </w:p>
    <w:p>
      <w:pPr>
        <w:pStyle w:val="BodyText"/>
        <w:bidi w:val="0"/>
        <w:jc w:val="left"/>
        <w:rPr/>
      </w:pPr>
      <w:r>
        <w:rPr/>
        <w:t>OpenStreetMap (data (c) OpenStreetMap contributors, ODbL 1.0), OurAirports (public domain), Iowa Environmental Mesonet METAR (public domain), and, for the ground-movement correction of §8.7 alone, the adsb.lol globe history (ODbL 1.0). Each is openly licensed, documented, and re-fetchable by a scripted, cached client: the prize rules require additional datasets to be "openly available under an open source license", and a dataset a reader cannot re-fetch fails the reproduction clause. The ground-movement correction also reads EUROCONTROL's OPDI flight events, whose site states no data license. They are fetched with a scripted client like the others, and no OPDI file, and no table built from one, is tracked or deposited. OpenSky historical surface tracks were considered and ruled out for the model, because research-use access is not an open-source license. OpenSky's ten published scientific datasets were reviewed against the same license test plus two more: 2025 ground coverage at the ten airports, and a mechanism the exposed fields lack. None passes all three, and the README records each verdict.</w:t>
      </w:r>
    </w:p>
    <w:p>
      <w:pPr>
        <w:pStyle w:val="BodyText"/>
        <w:bidi w:val="0"/>
        <w:jc w:val="left"/>
        <w:rPr/>
      </w:pPr>
      <w:r>
        <w:rPr/>
        <w:t xml:space="preserve">Source: </w:t>
      </w:r>
      <w:r>
        <w:rPr>
          <w:rStyle w:val="SourceText"/>
        </w:rPr>
        <w:t>docs/prior_art.md</w:t>
      </w:r>
      <w:r>
        <w:rPr/>
        <w:t xml:space="preserve">, </w:t>
      </w:r>
      <w:r>
        <w:rPr>
          <w:rStyle w:val="Emphasis"/>
        </w:rPr>
        <w:t>External data: license positions</w:t>
      </w:r>
      <w:r>
        <w:rPr/>
        <w:t>; README.</w:t>
      </w:r>
    </w:p>
    <w:p>
      <w:pPr>
        <w:pStyle w:val="Heading3"/>
        <w:bidi w:val="0"/>
        <w:jc w:val="left"/>
        <w:rPr/>
      </w:pPr>
      <w:r>
        <w:rPr/>
        <w:t>2.3 Reproducibility and the ODbL boundary</w:t>
      </w:r>
    </w:p>
    <w:p>
      <w:pPr>
        <w:pStyle w:val="BodyText"/>
        <w:bidi w:val="0"/>
        <w:jc w:val="left"/>
        <w:rPr/>
      </w:pPr>
      <w:r>
        <w:rPr/>
        <w:t xml:space="preserve">The repository ships under GPLv3 in its entirety. The distance matrices it generates are a Derivative Database of OSM and carry ODbL, so they are regenerated rather than committed. The Zenodo deposit </w:t>
      </w:r>
      <w:hyperlink r:id="rId2">
        <w:r>
          <w:rPr>
            <w:rStyle w:val="Hyperlink"/>
          </w:rPr>
          <w:t>10.5281/zenodo.23133051</w:t>
        </w:r>
      </w:hyperlink>
      <w:r>
        <w:rPr/>
        <w:t xml:space="preserve"> carries them under ODbL, with the eleven Overpass answers they derive from. Beside them it holds the two public-domain inputs this work read and a later fetch would not return, the METAR observations and the OurAirports tables, and, also under ODbL, the adsb.lol event tables the ground-movement correction reads. The reports are Produced Works and carry the figures. </w:t>
      </w:r>
      <w:r>
        <w:rPr>
          <w:rStyle w:val="SourceText"/>
        </w:rPr>
        <w:t>make licence-check</w:t>
      </w:r>
      <w:r>
        <w:rPr/>
        <w:t xml:space="preserve"> enforces the boundary, including that no literal stand identifier from either source appears in prose.</w:t>
      </w:r>
    </w:p>
    <w:p>
      <w:pPr>
        <w:pStyle w:val="BodyText"/>
        <w:bidi w:val="0"/>
        <w:jc w:val="left"/>
        <w:rPr/>
      </w:pPr>
      <w:r>
        <w:rPr/>
        <w:t xml:space="preserve">Source: </w:t>
      </w:r>
      <w:r>
        <w:rPr>
          <w:rStyle w:val="SourceText"/>
        </w:rPr>
        <w:t>data/processed/taxi_distance/ODbL-NOTICE.md</w:t>
      </w:r>
      <w:r>
        <w:rPr/>
        <w:t xml:space="preserve">; README, </w:t>
      </w:r>
      <w:r>
        <w:rPr>
          <w:rStyle w:val="Emphasis"/>
        </w:rPr>
        <w:t>Data sources</w:t>
      </w:r>
      <w:r>
        <w:rPr/>
        <w:t>.</w:t>
      </w:r>
    </w:p>
    <w:p>
      <w:pPr>
        <w:pStyle w:val="Heading2"/>
        <w:bidi w:val="0"/>
        <w:jc w:val="left"/>
        <w:rPr/>
      </w:pPr>
      <w:r>
        <w:rPr/>
        <w:t>3. Method</w:t>
      </w:r>
    </w:p>
    <w:p>
      <w:pPr>
        <w:pStyle w:val="BodyText"/>
        <w:bidi w:val="0"/>
        <w:jc w:val="left"/>
        <w:rPr/>
      </w:pPr>
      <w:r>
        <w:rPr/>
        <w:t>This section states the whole method in one place and in order, so that a reader can see what a prediction is a function of before the sections that argue for each part. Nothing in it is new to the paper; §4 to §7 carry the measurements and the reasons.</w:t>
      </w:r>
    </w:p>
    <w:p>
      <w:pPr>
        <w:pStyle w:val="Heading3"/>
        <w:bidi w:val="0"/>
        <w:jc w:val="left"/>
        <w:rPr/>
      </w:pPr>
      <w:r>
        <w:rPr/>
        <w:t>3.1 The decomposition, and the pipeline in order</w:t>
      </w:r>
    </w:p>
    <w:p>
      <w:pPr>
        <w:pStyle w:val="PreformattedText"/>
        <w:bidi w:val="0"/>
        <w:spacing w:before="0" w:after="283"/>
        <w:jc w:val="left"/>
        <w:rPr/>
      </w:pPr>
      <w:r>
        <w:rPr>
          <w:rStyle w:val="SourceText"/>
        </w:rPr>
        <w:t>taxi-out = unimpeded(geometry) + excess(congestion, regime) + record-quality term</w:t>
      </w:r>
    </w:p>
    <w:p>
      <w:pPr>
        <w:pStyle w:val="BodyText"/>
        <w:bidi w:val="0"/>
        <w:jc w:val="left"/>
        <w:rPr/>
      </w:pPr>
      <w:r>
        <w:rPr/>
        <w:t xml:space="preserve">The decomposition maps onto the challenge's own framing of excess over unconstrained status. The ablation ladder is this decomposition read bottom-up: each rung adds one term, and the held-out-pair split measures the one claim that distinguishes this work. </w:t>
      </w:r>
      <w:r>
        <w:rPr>
          <w:rStyle w:val="SourceText"/>
        </w:rPr>
        <w:t>scripts/make_submission.py</w:t>
      </w:r>
      <w:r>
        <w:rPr/>
        <w:t xml:space="preserve"> produces the predictions in these steps, in this order:</w:t>
      </w:r>
    </w:p>
    <w:p>
      <w:pPr>
        <w:pStyle w:val="BodyText"/>
        <w:numPr>
          <w:ilvl w:val="0"/>
          <w:numId w:val="1"/>
        </w:numPr>
        <w:tabs>
          <w:tab w:val="clear" w:pos="709"/>
          <w:tab w:val="left" w:pos="709" w:leader="none"/>
        </w:tabs>
        <w:bidi w:val="0"/>
        <w:spacing w:before="0" w:after="0"/>
        <w:ind w:hanging="283" w:left="709"/>
        <w:jc w:val="left"/>
        <w:rPr/>
      </w:pPr>
      <w:r>
        <w:rPr>
          <w:rStyle w:val="Strong"/>
        </w:rPr>
        <w:t>The frame.</w:t>
      </w:r>
      <w:r>
        <w:rPr/>
        <w:t xml:space="preserve"> Every departure of the twelve training files and of the ranking file is joined to its stand-to-runway route on the OpenStreetMap graph of its airport (§5.1), to the METAR regime of its airport-hour, to its destination's bearing and distance from OurAirports, and to the windows of other movements around it that the ranking set exposes (§6.1). The same code builds both sides, so a feature reads nothing on the ranking side that it does not read on the training side. </w:t>
      </w:r>
    </w:p>
    <w:p>
      <w:pPr>
        <w:pStyle w:val="BodyText"/>
        <w:numPr>
          <w:ilvl w:val="0"/>
          <w:numId w:val="1"/>
        </w:numPr>
        <w:tabs>
          <w:tab w:val="clear" w:pos="709"/>
          <w:tab w:val="left" w:pos="709" w:leader="none"/>
        </w:tabs>
        <w:bidi w:val="0"/>
        <w:spacing w:before="0" w:after="0"/>
        <w:ind w:hanging="283" w:left="709"/>
        <w:jc w:val="left"/>
        <w:rPr/>
      </w:pPr>
      <w:r>
        <w:rPr>
          <w:rStyle w:val="Strong"/>
        </w:rPr>
        <w:t>The record-quality term.</w:t>
      </w:r>
      <w:r>
        <w:rPr/>
        <w:t xml:space="preserve"> It is fitted on the training rows alone. For each cell of airport, whether a flight-plan record exists, and band of schedule lag (take-off less scheduled time), it takes the share of rows whose recorded taxi-out equals that lag, kept where the cell has at least five rows and the share at least 5% (§4). Its rows are taken out of every fit below and predicted by the term. </w:t>
      </w:r>
    </w:p>
    <w:p>
      <w:pPr>
        <w:pStyle w:val="BodyText"/>
        <w:numPr>
          <w:ilvl w:val="0"/>
          <w:numId w:val="1"/>
        </w:numPr>
        <w:tabs>
          <w:tab w:val="clear" w:pos="709"/>
          <w:tab w:val="left" w:pos="709" w:leader="none"/>
        </w:tabs>
        <w:bidi w:val="0"/>
        <w:spacing w:before="0" w:after="0"/>
        <w:ind w:hanging="283" w:left="709"/>
        <w:jc w:val="left"/>
        <w:rPr/>
      </w:pPr>
      <w:r>
        <w:rPr>
          <w:rStyle w:val="Strong"/>
        </w:rPr>
        <w:t>The fitting rows.</w:t>
      </w:r>
      <w:r>
        <w:rPr/>
        <w:t xml:space="preserve"> These are the training rows the term does not cover, with every recorded taxi-out over four hours left out of the fit and never out of the scoring (§7.1.2, </w:t>
      </w:r>
      <w:r>
        <w:rPr>
          <w:rStyle w:val="Emphasis"/>
        </w:rPr>
        <w:t>The recorded-taxi tail</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The shrunk encoding.</w:t>
      </w:r>
      <w:r>
        <w:rPr/>
        <w:t xml:space="preserve"> The (airport, stand, runway) pair's out-of-fold training mean, shrunk toward the geometric prediction, is computed once over the fitting rows and overlaid as a feature in place of the stand categorical (§7.4). </w:t>
      </w:r>
    </w:p>
    <w:p>
      <w:pPr>
        <w:pStyle w:val="BodyText"/>
        <w:numPr>
          <w:ilvl w:val="0"/>
          <w:numId w:val="1"/>
        </w:numPr>
        <w:tabs>
          <w:tab w:val="clear" w:pos="709"/>
          <w:tab w:val="left" w:pos="709" w:leader="none"/>
        </w:tabs>
        <w:bidi w:val="0"/>
        <w:spacing w:before="0" w:after="0"/>
        <w:ind w:hanging="283" w:left="709"/>
        <w:jc w:val="left"/>
        <w:rPr/>
      </w:pPr>
      <w:r>
        <w:rPr>
          <w:rStyle w:val="Strong"/>
        </w:rPr>
        <w:t>The booster.</w:t>
      </w:r>
      <w:r>
        <w:rPr/>
        <w:t xml:space="preserve"> One gradient-boosted model is fitted on the fitting rows, with the feature blocks of §3.2 and the parameters of §3.4, five times under consecutive random seeds, and the five predictions are averaged. </w:t>
      </w:r>
    </w:p>
    <w:p>
      <w:pPr>
        <w:pStyle w:val="BodyText"/>
        <w:numPr>
          <w:ilvl w:val="0"/>
          <w:numId w:val="1"/>
        </w:numPr>
        <w:tabs>
          <w:tab w:val="clear" w:pos="709"/>
          <w:tab w:val="left" w:pos="709" w:leader="none"/>
        </w:tabs>
        <w:bidi w:val="0"/>
        <w:spacing w:before="0" w:after="0"/>
        <w:ind w:hanging="283" w:left="709"/>
        <w:jc w:val="left"/>
        <w:rPr/>
      </w:pPr>
      <w:r>
        <w:rPr>
          <w:rStyle w:val="Strong"/>
        </w:rPr>
        <w:t>The term, substituted.</w:t>
      </w:r>
      <w:r>
        <w:rPr/>
        <w:t xml:space="preserve"> On the rows the term covers, its prediction replaces the booster's. </w:t>
      </w:r>
    </w:p>
    <w:p>
      <w:pPr>
        <w:pStyle w:val="BodyText"/>
        <w:numPr>
          <w:ilvl w:val="0"/>
          <w:numId w:val="1"/>
        </w:numPr>
        <w:tabs>
          <w:tab w:val="clear" w:pos="709"/>
          <w:tab w:val="left" w:pos="709" w:leader="none"/>
        </w:tabs>
        <w:bidi w:val="0"/>
        <w:spacing w:before="0" w:after="0"/>
        <w:ind w:hanging="283" w:left="709"/>
        <w:jc w:val="left"/>
        <w:rPr/>
      </w:pPr>
      <w:r>
        <w:rPr>
          <w:rStyle w:val="Strong"/>
        </w:rPr>
        <w:t>The plan-shifted departures.</w:t>
      </w:r>
      <w:r>
        <w:rPr/>
        <w:t xml:space="preserve"> On the rows of one further class, a departure with a flight-plan record whose take-off falls more than four hours after both of the plan's off-block estimates, a rule of the term's own form replaces the booster's prediction (§4, </w:t>
      </w:r>
      <w:r>
        <w:rPr>
          <w:rStyle w:val="Emphasis"/>
        </w:rPr>
        <w:t>The plan-shifted departures</w:t>
      </w:r>
      <w:r>
        <w:rPr/>
        <w:t xml:space="preserve">). In the ranking set it is one row. </w:t>
      </w:r>
    </w:p>
    <w:p>
      <w:pPr>
        <w:pStyle w:val="BodyText"/>
        <w:numPr>
          <w:ilvl w:val="0"/>
          <w:numId w:val="1"/>
        </w:numPr>
        <w:tabs>
          <w:tab w:val="clear" w:pos="709"/>
          <w:tab w:val="left" w:pos="709" w:leader="none"/>
        </w:tabs>
        <w:bidi w:val="0"/>
        <w:ind w:hanging="283" w:left="709"/>
        <w:jc w:val="left"/>
        <w:rPr/>
      </w:pPr>
      <w:r>
        <w:rPr>
          <w:rStyle w:val="Strong"/>
        </w:rPr>
        <w:t>Rounding and the clip at zero</w:t>
      </w:r>
      <w:r>
        <w:rPr/>
        <w:t xml:space="preserve">, and the output written in the challenge template's own order and integer type. </w:t>
      </w:r>
    </w:p>
    <w:p>
      <w:pPr>
        <w:pStyle w:val="BodyText"/>
        <w:bidi w:val="0"/>
        <w:jc w:val="left"/>
        <w:rPr/>
      </w:pPr>
      <w:r>
        <w:rPr/>
        <w:t xml:space="preserve">The final model adds three things to these steps, each read in §8.7 and §8.8. The booster carries two further feature blocks and is blended with a second learner, a CatBoost model, with the weight of the blend chosen per airport; the term's rows of step 6 are predicted row by row. A second model, the ground-movement correction, reads adsb.lol and OPDI ground events and replaces the prediction on the rows those sources cover, at the airports where it helped out of fold. And a clip to the window within which a recorded off-block time lay from its flight plan's in 2025 is applied last, after every other step. </w:t>
      </w:r>
      <w:r>
        <w:rPr>
          <w:rStyle w:val="SourceText"/>
        </w:rPr>
        <w:t>taxiout.models</w:t>
      </w:r>
      <w:r>
        <w:rPr/>
        <w:t xml:space="preserve"> records the basis of each.</w:t>
      </w:r>
    </w:p>
    <w:p>
      <w:pPr>
        <w:pStyle w:val="BodyText"/>
        <w:bidi w:val="0"/>
        <w:jc w:val="left"/>
        <w:rPr/>
      </w:pPr>
      <w:r>
        <w:rPr/>
        <w:t xml:space="preserve">Sources: </w:t>
      </w:r>
      <w:r>
        <w:rPr>
          <w:rStyle w:val="SourceText"/>
        </w:rPr>
        <w:t>docs/modelling_notes.md</w:t>
      </w:r>
      <w:r>
        <w:rPr/>
        <w:t xml:space="preserve">, </w:t>
      </w:r>
      <w:r>
        <w:rPr>
          <w:rStyle w:val="Emphasis"/>
        </w:rPr>
        <w:t>The model, stated as a decomposition</w:t>
      </w:r>
      <w:r>
        <w:rPr/>
        <w:t xml:space="preserve">; </w:t>
      </w:r>
      <w:r>
        <w:rPr>
          <w:rStyle w:val="SourceText"/>
        </w:rPr>
        <w:t>reports/tails.md</w:t>
      </w:r>
      <w:r>
        <w:rPr/>
        <w:t xml:space="preserve">, </w:t>
      </w:r>
      <w:r>
        <w:rPr>
          <w:rStyle w:val="Emphasis"/>
        </w:rPr>
        <w:t>The cells</w:t>
      </w:r>
      <w:r>
        <w:rPr/>
        <w:t xml:space="preserve"> and </w:t>
      </w:r>
      <w:r>
        <w:rPr>
          <w:rStyle w:val="Emphasis"/>
        </w:rPr>
        <w:t>The prediction</w:t>
      </w:r>
      <w:r>
        <w:rPr/>
        <w:t xml:space="preserve">; </w:t>
      </w:r>
      <w:r>
        <w:rPr>
          <w:rStyle w:val="SourceText"/>
        </w:rPr>
        <w:t>src/taxiout/models.py</w:t>
      </w:r>
      <w:r>
        <w:rPr/>
        <w:t xml:space="preserve">, </w:t>
      </w:r>
      <w:r>
        <w:rPr>
          <w:rStyle w:val="SourceText"/>
        </w:rPr>
        <w:t>fit_rows</w:t>
      </w:r>
      <w:r>
        <w:rPr/>
        <w:t xml:space="preserve">; </w:t>
      </w:r>
      <w:r>
        <w:rPr>
          <w:rStyle w:val="SourceText"/>
        </w:rPr>
        <w:t>scripts/make_submission.py</w:t>
      </w:r>
      <w:r>
        <w:rPr/>
        <w:t>.</w:t>
      </w:r>
    </w:p>
    <w:p>
      <w:pPr>
        <w:pStyle w:val="Heading3"/>
        <w:bidi w:val="0"/>
        <w:jc w:val="left"/>
        <w:rPr/>
      </w:pPr>
      <w:r>
        <w:rPr/>
        <w:t>3.2 What the model reads</w:t>
      </w:r>
    </w:p>
    <w:p>
      <w:pPr>
        <w:pStyle w:val="BodyText"/>
        <w:bidi w:val="0"/>
        <w:jc w:val="left"/>
        <w:rPr/>
      </w:pPr>
      <w:r>
        <w:rPr/>
        <w:t xml:space="preserve">The table lists the booster's feature blocks in the order the ladder adds them. Each block's rung key is the name the reports use; </w:t>
      </w:r>
      <w:r>
        <w:rPr>
          <w:rStyle w:val="Emphasis"/>
        </w:rPr>
        <w:t>what it reads</w:t>
      </w:r>
      <w:r>
        <w:rPr/>
        <w:t xml:space="preserve"> is the raw fields or external data behind it. The last column is where that data comes from, which is what the rule of §6.1 governs (a feature may read what the ranking set exposes for the rows it reads from).</w:t>
      </w:r>
    </w:p>
    <w:tbl>
      <w:tblPr>
        <w:tblW w:w="10539" w:type="dxa"/>
        <w:jc w:val="left"/>
        <w:tblInd w:w="28" w:type="dxa"/>
        <w:tblLayout w:type="fixed"/>
        <w:tblCellMar>
          <w:top w:w="28" w:type="dxa"/>
          <w:left w:w="28" w:type="dxa"/>
          <w:bottom w:w="28" w:type="dxa"/>
          <w:right w:w="28" w:type="dxa"/>
        </w:tblCellMar>
      </w:tblPr>
      <w:tblGrid>
        <w:gridCol w:w="1593"/>
        <w:gridCol w:w="4282"/>
        <w:gridCol w:w="2646"/>
        <w:gridCol w:w="2018"/>
      </w:tblGrid>
      <w:tr>
        <w:trPr>
          <w:tblHeader w:val="true"/>
        </w:trPr>
        <w:tc>
          <w:tcPr>
            <w:tcW w:w="1593" w:type="dxa"/>
            <w:tcBorders/>
            <w:vAlign w:val="center"/>
          </w:tcPr>
          <w:p>
            <w:pPr>
              <w:pStyle w:val="TableHeading"/>
              <w:suppressLineNumbers/>
              <w:bidi w:val="0"/>
              <w:jc w:val="center"/>
              <w:rPr/>
            </w:pPr>
            <w:r>
              <w:rPr/>
              <w:t>block</w:t>
            </w:r>
          </w:p>
        </w:tc>
        <w:tc>
          <w:tcPr>
            <w:tcW w:w="4282" w:type="dxa"/>
            <w:tcBorders/>
            <w:vAlign w:val="center"/>
          </w:tcPr>
          <w:p>
            <w:pPr>
              <w:pStyle w:val="TableHeading"/>
              <w:suppressLineNumbers/>
              <w:bidi w:val="0"/>
              <w:jc w:val="center"/>
              <w:rPr/>
            </w:pPr>
            <w:r>
              <w:rPr/>
              <w:t>rung key</w:t>
            </w:r>
          </w:p>
        </w:tc>
        <w:tc>
          <w:tcPr>
            <w:tcW w:w="2646" w:type="dxa"/>
            <w:tcBorders/>
            <w:vAlign w:val="center"/>
          </w:tcPr>
          <w:p>
            <w:pPr>
              <w:pStyle w:val="TableHeading"/>
              <w:suppressLineNumbers/>
              <w:bidi w:val="0"/>
              <w:jc w:val="center"/>
              <w:rPr/>
            </w:pPr>
            <w:r>
              <w:rPr/>
              <w:t>what it reads</w:t>
            </w:r>
          </w:p>
        </w:tc>
        <w:tc>
          <w:tcPr>
            <w:tcW w:w="2018" w:type="dxa"/>
            <w:tcBorders/>
            <w:vAlign w:val="center"/>
          </w:tcPr>
          <w:p>
            <w:pPr>
              <w:pStyle w:val="TableHeading"/>
              <w:suppressLineNumbers/>
              <w:bidi w:val="0"/>
              <w:jc w:val="center"/>
              <w:rPr/>
            </w:pPr>
            <w:r>
              <w:rPr/>
              <w:t>from</w:t>
            </w:r>
          </w:p>
        </w:tc>
      </w:tr>
      <w:tr>
        <w:trPr/>
        <w:tc>
          <w:tcPr>
            <w:tcW w:w="1593" w:type="dxa"/>
            <w:tcBorders/>
            <w:vAlign w:val="center"/>
          </w:tcPr>
          <w:p>
            <w:pPr>
              <w:pStyle w:val="TableContents"/>
              <w:widowControl w:val="false"/>
              <w:suppressLineNumbers/>
              <w:bidi w:val="0"/>
              <w:jc w:val="left"/>
              <w:rPr/>
            </w:pPr>
            <w:r>
              <w:rPr/>
              <w:t>identifiers + time</w:t>
            </w:r>
          </w:p>
        </w:tc>
        <w:tc>
          <w:tcPr>
            <w:tcW w:w="4282" w:type="dxa"/>
            <w:tcBorders/>
            <w:vAlign w:val="center"/>
          </w:tcPr>
          <w:p>
            <w:pPr>
              <w:pStyle w:val="TableContents"/>
              <w:widowControl w:val="false"/>
              <w:suppressLineNumbers/>
              <w:bidi w:val="0"/>
              <w:jc w:val="left"/>
              <w:rPr/>
            </w:pPr>
            <w:r>
              <w:rPr>
                <w:rStyle w:val="SourceText"/>
              </w:rPr>
              <w:t>identifiers</w:t>
            </w:r>
          </w:p>
        </w:tc>
        <w:tc>
          <w:tcPr>
            <w:tcW w:w="2646" w:type="dxa"/>
            <w:tcBorders/>
            <w:vAlign w:val="center"/>
          </w:tcPr>
          <w:p>
            <w:pPr>
              <w:pStyle w:val="TableContents"/>
              <w:widowControl w:val="false"/>
              <w:suppressLineNumbers/>
              <w:bidi w:val="0"/>
              <w:jc w:val="left"/>
              <w:rPr/>
            </w:pPr>
            <w:r>
              <w:rPr/>
              <w:t>airport, stand, runway, pair; the clock and the calendar of the take-off</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geometry</w:t>
            </w:r>
          </w:p>
        </w:tc>
        <w:tc>
          <w:tcPr>
            <w:tcW w:w="4282" w:type="dxa"/>
            <w:tcBorders/>
            <w:vAlign w:val="center"/>
          </w:tcPr>
          <w:p>
            <w:pPr>
              <w:pStyle w:val="TableContents"/>
              <w:widowControl w:val="false"/>
              <w:suppressLineNumbers/>
              <w:bidi w:val="0"/>
              <w:jc w:val="left"/>
              <w:rPr/>
            </w:pPr>
            <w:r>
              <w:rPr>
                <w:rStyle w:val="SourceText"/>
              </w:rPr>
              <w:t>identifiers-geometry</w:t>
            </w:r>
          </w:p>
        </w:tc>
        <w:tc>
          <w:tcPr>
            <w:tcW w:w="2646" w:type="dxa"/>
            <w:tcBorders/>
            <w:vAlign w:val="center"/>
          </w:tcPr>
          <w:p>
            <w:pPr>
              <w:pStyle w:val="TableContents"/>
              <w:widowControl w:val="false"/>
              <w:suppressLineNumbers/>
              <w:bidi w:val="0"/>
              <w:jc w:val="left"/>
              <w:rPr/>
            </w:pPr>
            <w:r>
              <w:rPr/>
              <w:t>the routed stand-to-runway distance, turn angle, junction-free running and backtrack, and the quality flags of the route</w:t>
            </w:r>
          </w:p>
        </w:tc>
        <w:tc>
          <w:tcPr>
            <w:tcW w:w="2018" w:type="dxa"/>
            <w:tcBorders/>
            <w:vAlign w:val="center"/>
          </w:tcPr>
          <w:p>
            <w:pPr>
              <w:pStyle w:val="TableContents"/>
              <w:widowControl w:val="false"/>
              <w:suppressLineNumbers/>
              <w:bidi w:val="0"/>
              <w:jc w:val="left"/>
              <w:rPr/>
            </w:pPr>
            <w:r>
              <w:rPr/>
              <w:t>OpenStreetMap, routed per airport (§5)</w:t>
            </w:r>
          </w:p>
        </w:tc>
      </w:tr>
      <w:tr>
        <w:trPr/>
        <w:tc>
          <w:tcPr>
            <w:tcW w:w="1593" w:type="dxa"/>
            <w:tcBorders/>
            <w:vAlign w:val="center"/>
          </w:tcPr>
          <w:p>
            <w:pPr>
              <w:pStyle w:val="TableContents"/>
              <w:widowControl w:val="false"/>
              <w:suppressLineNumbers/>
              <w:bidi w:val="0"/>
              <w:jc w:val="left"/>
              <w:rPr/>
            </w:pPr>
            <w:r>
              <w:rPr/>
              <w:t>aircraft</w:t>
            </w:r>
          </w:p>
        </w:tc>
        <w:tc>
          <w:tcPr>
            <w:tcW w:w="4282" w:type="dxa"/>
            <w:tcBorders/>
            <w:vAlign w:val="center"/>
          </w:tcPr>
          <w:p>
            <w:pPr>
              <w:pStyle w:val="TableContents"/>
              <w:widowControl w:val="false"/>
              <w:suppressLineNumbers/>
              <w:bidi w:val="0"/>
              <w:jc w:val="left"/>
              <w:rPr/>
            </w:pPr>
            <w:r>
              <w:rPr>
                <w:rStyle w:val="SourceText"/>
              </w:rPr>
              <w:t>identifiers-geometry-aircraft</w:t>
            </w:r>
          </w:p>
        </w:tc>
        <w:tc>
          <w:tcPr>
            <w:tcW w:w="2646" w:type="dxa"/>
            <w:tcBorders/>
            <w:vAlign w:val="center"/>
          </w:tcPr>
          <w:p>
            <w:pPr>
              <w:pStyle w:val="TableContents"/>
              <w:widowControl w:val="false"/>
              <w:suppressLineNumbers/>
              <w:bidi w:val="0"/>
              <w:jc w:val="left"/>
              <w:rPr/>
            </w:pPr>
            <w:r>
              <w:rPr/>
              <w:t>wake class and aircraft type</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plan lags</w:t>
            </w:r>
          </w:p>
        </w:tc>
        <w:tc>
          <w:tcPr>
            <w:tcW w:w="4282" w:type="dxa"/>
            <w:tcBorders/>
            <w:vAlign w:val="center"/>
          </w:tcPr>
          <w:p>
            <w:pPr>
              <w:pStyle w:val="TableContents"/>
              <w:widowControl w:val="false"/>
              <w:suppressLineNumbers/>
              <w:bidi w:val="0"/>
              <w:jc w:val="left"/>
              <w:rPr/>
            </w:pPr>
            <w:r>
              <w:rPr>
                <w:rStyle w:val="SourceText"/>
              </w:rPr>
              <w:t>plan-lags</w:t>
            </w:r>
          </w:p>
        </w:tc>
        <w:tc>
          <w:tcPr>
            <w:tcW w:w="2646" w:type="dxa"/>
            <w:tcBorders/>
            <w:vAlign w:val="center"/>
          </w:tcPr>
          <w:p>
            <w:pPr>
              <w:pStyle w:val="TableContents"/>
              <w:widowControl w:val="false"/>
              <w:suppressLineNumbers/>
              <w:bidi w:val="0"/>
              <w:jc w:val="left"/>
              <w:rPr/>
            </w:pPr>
            <w:r>
              <w:rPr/>
              <w:t>take-off against the plan's off-block estimates and the schedule</w:t>
            </w:r>
          </w:p>
        </w:tc>
        <w:tc>
          <w:tcPr>
            <w:tcW w:w="2018" w:type="dxa"/>
            <w:tcBorders/>
            <w:vAlign w:val="center"/>
          </w:tcPr>
          <w:p>
            <w:pPr>
              <w:pStyle w:val="TableContents"/>
              <w:widowControl w:val="false"/>
              <w:suppressLineNumbers/>
              <w:bidi w:val="0"/>
              <w:jc w:val="left"/>
              <w:rPr/>
            </w:pPr>
            <w:r>
              <w:rPr/>
              <w:t>the Network Manager record, exposed</w:t>
            </w:r>
          </w:p>
        </w:tc>
      </w:tr>
      <w:tr>
        <w:trPr/>
        <w:tc>
          <w:tcPr>
            <w:tcW w:w="1593" w:type="dxa"/>
            <w:tcBorders/>
            <w:vAlign w:val="center"/>
          </w:tcPr>
          <w:p>
            <w:pPr>
              <w:pStyle w:val="TableContents"/>
              <w:widowControl w:val="false"/>
              <w:suppressLineNumbers/>
              <w:bidi w:val="0"/>
              <w:jc w:val="left"/>
              <w:rPr/>
            </w:pPr>
            <w:r>
              <w:rPr/>
              <w:t>runway throughput</w:t>
            </w:r>
          </w:p>
        </w:tc>
        <w:tc>
          <w:tcPr>
            <w:tcW w:w="4282" w:type="dxa"/>
            <w:tcBorders/>
            <w:vAlign w:val="center"/>
          </w:tcPr>
          <w:p>
            <w:pPr>
              <w:pStyle w:val="TableContents"/>
              <w:widowControl w:val="false"/>
              <w:suppressLineNumbers/>
              <w:bidi w:val="0"/>
              <w:jc w:val="left"/>
              <w:rPr/>
            </w:pPr>
            <w:r>
              <w:rPr>
                <w:rStyle w:val="SourceText"/>
              </w:rPr>
              <w:t>throughput</w:t>
            </w:r>
          </w:p>
        </w:tc>
        <w:tc>
          <w:tcPr>
            <w:tcW w:w="2646" w:type="dxa"/>
            <w:tcBorders/>
            <w:vAlign w:val="center"/>
          </w:tcPr>
          <w:p>
            <w:pPr>
              <w:pStyle w:val="TableContents"/>
              <w:widowControl w:val="false"/>
              <w:suppressLineNumbers/>
              <w:bidi w:val="0"/>
              <w:jc w:val="left"/>
              <w:rPr/>
            </w:pPr>
            <w:r>
              <w:rPr/>
              <w:t>movements on the subject's runway in windows around its take-off</w:t>
            </w:r>
          </w:p>
        </w:tc>
        <w:tc>
          <w:tcPr>
            <w:tcW w:w="2018" w:type="dxa"/>
            <w:tcBorders/>
            <w:vAlign w:val="center"/>
          </w:tcPr>
          <w:p>
            <w:pPr>
              <w:pStyle w:val="TableContents"/>
              <w:widowControl w:val="false"/>
              <w:suppressLineNumbers/>
              <w:bidi w:val="0"/>
              <w:jc w:val="left"/>
              <w:rPr/>
            </w:pPr>
            <w:r>
              <w:rPr/>
              <w:t>other movements' exposed take-off and landing times</w:t>
            </w:r>
          </w:p>
        </w:tc>
      </w:tr>
      <w:tr>
        <w:trPr/>
        <w:tc>
          <w:tcPr>
            <w:tcW w:w="1593" w:type="dxa"/>
            <w:tcBorders/>
            <w:vAlign w:val="center"/>
          </w:tcPr>
          <w:p>
            <w:pPr>
              <w:pStyle w:val="TableContents"/>
              <w:widowControl w:val="false"/>
              <w:suppressLineNumbers/>
              <w:bidi w:val="0"/>
              <w:jc w:val="left"/>
              <w:rPr/>
            </w:pPr>
            <w:r>
              <w:rPr/>
              <w:t>arrivals</w:t>
            </w:r>
          </w:p>
        </w:tc>
        <w:tc>
          <w:tcPr>
            <w:tcW w:w="4282" w:type="dxa"/>
            <w:tcBorders/>
            <w:vAlign w:val="center"/>
          </w:tcPr>
          <w:p>
            <w:pPr>
              <w:pStyle w:val="TableContents"/>
              <w:widowControl w:val="false"/>
              <w:suppressLineNumbers/>
              <w:bidi w:val="0"/>
              <w:jc w:val="left"/>
              <w:rPr/>
            </w:pPr>
            <w:r>
              <w:rPr>
                <w:rStyle w:val="SourceText"/>
              </w:rPr>
              <w:t>arrivals</w:t>
            </w:r>
          </w:p>
        </w:tc>
        <w:tc>
          <w:tcPr>
            <w:tcW w:w="2646" w:type="dxa"/>
            <w:tcBorders/>
            <w:vAlign w:val="center"/>
          </w:tcPr>
          <w:p>
            <w:pPr>
              <w:pStyle w:val="TableContents"/>
              <w:widowControl w:val="false"/>
              <w:suppressLineNumbers/>
              <w:bidi w:val="0"/>
              <w:jc w:val="left"/>
              <w:rPr/>
            </w:pPr>
            <w:r>
              <w:rPr/>
              <w:t>arrivals in the windows, their taxi-in and lateness</w:t>
            </w:r>
          </w:p>
        </w:tc>
        <w:tc>
          <w:tcPr>
            <w:tcW w:w="2018" w:type="dxa"/>
            <w:tcBorders/>
            <w:vAlign w:val="center"/>
          </w:tcPr>
          <w:p>
            <w:pPr>
              <w:pStyle w:val="TableContents"/>
              <w:widowControl w:val="false"/>
              <w:suppressLineNumbers/>
              <w:bidi w:val="0"/>
              <w:jc w:val="left"/>
              <w:rPr/>
            </w:pPr>
            <w:r>
              <w:rPr/>
              <w:t>arrivals' exposed on-block times</w:t>
            </w:r>
          </w:p>
        </w:tc>
      </w:tr>
      <w:tr>
        <w:trPr/>
        <w:tc>
          <w:tcPr>
            <w:tcW w:w="1593" w:type="dxa"/>
            <w:tcBorders/>
            <w:vAlign w:val="center"/>
          </w:tcPr>
          <w:p>
            <w:pPr>
              <w:pStyle w:val="TableContents"/>
              <w:widowControl w:val="false"/>
              <w:suppressLineNumbers/>
              <w:bidi w:val="0"/>
              <w:jc w:val="left"/>
              <w:rPr/>
            </w:pPr>
            <w:r>
              <w:rPr/>
              <w:t>demand</w:t>
            </w:r>
          </w:p>
        </w:tc>
        <w:tc>
          <w:tcPr>
            <w:tcW w:w="4282" w:type="dxa"/>
            <w:tcBorders/>
            <w:vAlign w:val="center"/>
          </w:tcPr>
          <w:p>
            <w:pPr>
              <w:pStyle w:val="TableContents"/>
              <w:widowControl w:val="false"/>
              <w:suppressLineNumbers/>
              <w:bidi w:val="0"/>
              <w:jc w:val="left"/>
              <w:rPr/>
            </w:pPr>
            <w:r>
              <w:rPr>
                <w:rStyle w:val="SourceText"/>
              </w:rPr>
              <w:t>demand</w:t>
            </w:r>
          </w:p>
        </w:tc>
        <w:tc>
          <w:tcPr>
            <w:tcW w:w="2646" w:type="dxa"/>
            <w:tcBorders/>
            <w:vAlign w:val="center"/>
          </w:tcPr>
          <w:p>
            <w:pPr>
              <w:pStyle w:val="TableContents"/>
              <w:widowControl w:val="false"/>
              <w:suppressLineNumbers/>
              <w:bidi w:val="0"/>
              <w:jc w:val="left"/>
              <w:rPr/>
            </w:pPr>
            <w:r>
              <w:rPr/>
              <w:t>departures scheduled and planned in the windows</w:t>
            </w:r>
          </w:p>
        </w:tc>
        <w:tc>
          <w:tcPr>
            <w:tcW w:w="2018" w:type="dxa"/>
            <w:tcBorders/>
            <w:vAlign w:val="center"/>
          </w:tcPr>
          <w:p>
            <w:pPr>
              <w:pStyle w:val="TableContents"/>
              <w:widowControl w:val="false"/>
              <w:suppressLineNumbers/>
              <w:bidi w:val="0"/>
              <w:jc w:val="left"/>
              <w:rPr/>
            </w:pPr>
            <w:r>
              <w:rPr/>
              <w:t>other departures' exposed plans</w:t>
            </w:r>
          </w:p>
        </w:tc>
      </w:tr>
      <w:tr>
        <w:trPr/>
        <w:tc>
          <w:tcPr>
            <w:tcW w:w="1593" w:type="dxa"/>
            <w:tcBorders/>
            <w:vAlign w:val="center"/>
          </w:tcPr>
          <w:p>
            <w:pPr>
              <w:pStyle w:val="TableContents"/>
              <w:widowControl w:val="false"/>
              <w:suppressLineNumbers/>
              <w:bidi w:val="0"/>
              <w:jc w:val="left"/>
              <w:rPr/>
            </w:pPr>
            <w:r>
              <w:rPr/>
              <w:t>configuration</w:t>
            </w:r>
          </w:p>
        </w:tc>
        <w:tc>
          <w:tcPr>
            <w:tcW w:w="4282" w:type="dxa"/>
            <w:tcBorders/>
            <w:vAlign w:val="center"/>
          </w:tcPr>
          <w:p>
            <w:pPr>
              <w:pStyle w:val="TableContents"/>
              <w:widowControl w:val="false"/>
              <w:suppressLineNumbers/>
              <w:bidi w:val="0"/>
              <w:jc w:val="left"/>
              <w:rPr/>
            </w:pPr>
            <w:r>
              <w:rPr>
                <w:rStyle w:val="SourceText"/>
              </w:rPr>
              <w:t>configuration</w:t>
            </w:r>
          </w:p>
        </w:tc>
        <w:tc>
          <w:tcPr>
            <w:tcW w:w="2646" w:type="dxa"/>
            <w:tcBorders/>
            <w:vAlign w:val="center"/>
          </w:tcPr>
          <w:p>
            <w:pPr>
              <w:pStyle w:val="TableContents"/>
              <w:widowControl w:val="false"/>
              <w:suppressLineNumbers/>
              <w:bidi w:val="0"/>
              <w:jc w:val="left"/>
              <w:rPr/>
            </w:pPr>
            <w:r>
              <w:rPr/>
              <w:t>the runways in use around the take-off</w:t>
            </w:r>
          </w:p>
        </w:tc>
        <w:tc>
          <w:tcPr>
            <w:tcW w:w="2018" w:type="dxa"/>
            <w:tcBorders/>
            <w:vAlign w:val="center"/>
          </w:tcPr>
          <w:p>
            <w:pPr>
              <w:pStyle w:val="TableContents"/>
              <w:widowControl w:val="false"/>
              <w:suppressLineNumbers/>
              <w:bidi w:val="0"/>
              <w:jc w:val="left"/>
              <w:rPr/>
            </w:pPr>
            <w:r>
              <w:rPr/>
              <w:t>other movements' exposed runways</w:t>
            </w:r>
          </w:p>
        </w:tc>
      </w:tr>
      <w:tr>
        <w:trPr/>
        <w:tc>
          <w:tcPr>
            <w:tcW w:w="1593" w:type="dxa"/>
            <w:tcBorders/>
            <w:vAlign w:val="center"/>
          </w:tcPr>
          <w:p>
            <w:pPr>
              <w:pStyle w:val="TableContents"/>
              <w:widowControl w:val="false"/>
              <w:suppressLineNumbers/>
              <w:bidi w:val="0"/>
              <w:jc w:val="left"/>
              <w:rPr/>
            </w:pPr>
            <w:r>
              <w:rPr/>
              <w:t>shared corridor</w:t>
            </w:r>
          </w:p>
        </w:tc>
        <w:tc>
          <w:tcPr>
            <w:tcW w:w="4282" w:type="dxa"/>
            <w:tcBorders/>
            <w:vAlign w:val="center"/>
          </w:tcPr>
          <w:p>
            <w:pPr>
              <w:pStyle w:val="TableContents"/>
              <w:widowControl w:val="false"/>
              <w:suppressLineNumbers/>
              <w:bidi w:val="0"/>
              <w:jc w:val="left"/>
              <w:rPr/>
            </w:pPr>
            <w:r>
              <w:rPr>
                <w:rStyle w:val="SourceText"/>
              </w:rPr>
              <w:t>corridor</w:t>
            </w:r>
          </w:p>
        </w:tc>
        <w:tc>
          <w:tcPr>
            <w:tcW w:w="2646" w:type="dxa"/>
            <w:tcBorders/>
            <w:vAlign w:val="center"/>
          </w:tcPr>
          <w:p>
            <w:pPr>
              <w:pStyle w:val="TableContents"/>
              <w:widowControl w:val="false"/>
              <w:suppressLineNumbers/>
              <w:bidi w:val="0"/>
              <w:jc w:val="left"/>
              <w:rPr/>
            </w:pPr>
            <w:r>
              <w:rPr/>
              <w:t>other movements weighted by the share of the subject's own route they use</w:t>
            </w:r>
          </w:p>
        </w:tc>
        <w:tc>
          <w:tcPr>
            <w:tcW w:w="2018" w:type="dxa"/>
            <w:tcBorders/>
            <w:vAlign w:val="center"/>
          </w:tcPr>
          <w:p>
            <w:pPr>
              <w:pStyle w:val="TableContents"/>
              <w:widowControl w:val="false"/>
              <w:suppressLineNumbers/>
              <w:bidi w:val="0"/>
              <w:jc w:val="left"/>
              <w:rPr/>
            </w:pPr>
            <w:r>
              <w:rPr/>
              <w:t>the routes of §5 and other movements' exposed fields</w:t>
            </w:r>
          </w:p>
        </w:tc>
      </w:tr>
      <w:tr>
        <w:trPr/>
        <w:tc>
          <w:tcPr>
            <w:tcW w:w="1593" w:type="dxa"/>
            <w:tcBorders/>
            <w:vAlign w:val="center"/>
          </w:tcPr>
          <w:p>
            <w:pPr>
              <w:pStyle w:val="TableContents"/>
              <w:widowControl w:val="false"/>
              <w:suppressLineNumbers/>
              <w:bidi w:val="0"/>
              <w:jc w:val="left"/>
              <w:rPr/>
            </w:pPr>
            <w:r>
              <w:rPr/>
              <w:t>weather</w:t>
            </w:r>
          </w:p>
        </w:tc>
        <w:tc>
          <w:tcPr>
            <w:tcW w:w="4282" w:type="dxa"/>
            <w:tcBorders/>
            <w:vAlign w:val="center"/>
          </w:tcPr>
          <w:p>
            <w:pPr>
              <w:pStyle w:val="TableContents"/>
              <w:widowControl w:val="false"/>
              <w:suppressLineNumbers/>
              <w:bidi w:val="0"/>
              <w:jc w:val="left"/>
              <w:rPr/>
            </w:pPr>
            <w:r>
              <w:rPr>
                <w:rStyle w:val="SourceText"/>
              </w:rPr>
              <w:t>weather</w:t>
            </w:r>
          </w:p>
        </w:tc>
        <w:tc>
          <w:tcPr>
            <w:tcW w:w="2646" w:type="dxa"/>
            <w:tcBorders/>
            <w:vAlign w:val="center"/>
          </w:tcPr>
          <w:p>
            <w:pPr>
              <w:pStyle w:val="TableContents"/>
              <w:widowControl w:val="false"/>
              <w:suppressLineNumbers/>
              <w:bidi w:val="0"/>
              <w:jc w:val="left"/>
              <w:rPr/>
            </w:pPr>
            <w:r>
              <w:rPr/>
              <w:t>three regime flags per airport-hour: freezing, low visibility, precipitation</w:t>
            </w:r>
          </w:p>
        </w:tc>
        <w:tc>
          <w:tcPr>
            <w:tcW w:w="2018" w:type="dxa"/>
            <w:tcBorders/>
            <w:vAlign w:val="center"/>
          </w:tcPr>
          <w:p>
            <w:pPr>
              <w:pStyle w:val="TableContents"/>
              <w:widowControl w:val="false"/>
              <w:suppressLineNumbers/>
              <w:bidi w:val="0"/>
              <w:jc w:val="left"/>
              <w:rPr/>
            </w:pPr>
            <w:r>
              <w:rPr/>
              <w:t>Iowa Environmental Mesonet METAR</w:t>
            </w:r>
          </w:p>
        </w:tc>
      </w:tr>
      <w:tr>
        <w:trPr/>
        <w:tc>
          <w:tcPr>
            <w:tcW w:w="1593" w:type="dxa"/>
            <w:tcBorders/>
            <w:vAlign w:val="center"/>
          </w:tcPr>
          <w:p>
            <w:pPr>
              <w:pStyle w:val="TableContents"/>
              <w:widowControl w:val="false"/>
              <w:suppressLineNumbers/>
              <w:bidi w:val="0"/>
              <w:jc w:val="left"/>
              <w:rPr/>
            </w:pPr>
            <w:r>
              <w:rPr/>
              <w:t>shrunk encoding, replacing the stand</w:t>
            </w:r>
          </w:p>
        </w:tc>
        <w:tc>
          <w:tcPr>
            <w:tcW w:w="4282" w:type="dxa"/>
            <w:tcBorders/>
            <w:vAlign w:val="center"/>
          </w:tcPr>
          <w:p>
            <w:pPr>
              <w:pStyle w:val="TableContents"/>
              <w:widowControl w:val="false"/>
              <w:suppressLineNumbers/>
              <w:bidi w:val="0"/>
              <w:jc w:val="left"/>
              <w:rPr/>
            </w:pPr>
            <w:r>
              <w:rPr>
                <w:rStyle w:val="SourceText"/>
              </w:rPr>
              <w:t>encoding-for-stand</w:t>
            </w:r>
          </w:p>
        </w:tc>
        <w:tc>
          <w:tcPr>
            <w:tcW w:w="2646" w:type="dxa"/>
            <w:tcBorders/>
            <w:vAlign w:val="center"/>
          </w:tcPr>
          <w:p>
            <w:pPr>
              <w:pStyle w:val="TableContents"/>
              <w:widowControl w:val="false"/>
              <w:suppressLineNumbers/>
              <w:bidi w:val="0"/>
              <w:jc w:val="left"/>
              <w:rPr/>
            </w:pPr>
            <w:r>
              <w:rPr/>
              <w:t>the pair's training mean shrunk toward the geometry, in place of the stand categorical</w:t>
            </w:r>
          </w:p>
        </w:tc>
        <w:tc>
          <w:tcPr>
            <w:tcW w:w="2018" w:type="dxa"/>
            <w:tcBorders/>
            <w:vAlign w:val="center"/>
          </w:tcPr>
          <w:p>
            <w:pPr>
              <w:pStyle w:val="TableContents"/>
              <w:widowControl w:val="false"/>
              <w:suppressLineNumbers/>
              <w:bidi w:val="0"/>
              <w:jc w:val="left"/>
              <w:rPr/>
            </w:pPr>
            <w:r>
              <w:rPr/>
              <w:t>the fitting rows (§7.4)</w:t>
            </w:r>
          </w:p>
        </w:tc>
      </w:tr>
      <w:tr>
        <w:trPr/>
        <w:tc>
          <w:tcPr>
            <w:tcW w:w="1593" w:type="dxa"/>
            <w:tcBorders/>
            <w:vAlign w:val="center"/>
          </w:tcPr>
          <w:p>
            <w:pPr>
              <w:pStyle w:val="TableContents"/>
              <w:widowControl w:val="false"/>
              <w:suppressLineNumbers/>
              <w:bidi w:val="0"/>
              <w:jc w:val="left"/>
              <w:rPr/>
            </w:pPr>
            <w:r>
              <w:rPr/>
              <w:t>stand occupancy</w:t>
            </w:r>
          </w:p>
        </w:tc>
        <w:tc>
          <w:tcPr>
            <w:tcW w:w="4282" w:type="dxa"/>
            <w:tcBorders/>
            <w:vAlign w:val="center"/>
          </w:tcPr>
          <w:p>
            <w:pPr>
              <w:pStyle w:val="TableContents"/>
              <w:widowControl w:val="false"/>
              <w:suppressLineNumbers/>
              <w:bidi w:val="0"/>
              <w:jc w:val="left"/>
              <w:rPr/>
            </w:pPr>
            <w:r>
              <w:rPr>
                <w:rStyle w:val="SourceText"/>
              </w:rPr>
              <w:t>occupancy</w:t>
            </w:r>
          </w:p>
        </w:tc>
        <w:tc>
          <w:tcPr>
            <w:tcW w:w="2646" w:type="dxa"/>
            <w:tcBorders/>
            <w:vAlign w:val="center"/>
          </w:tcPr>
          <w:p>
            <w:pPr>
              <w:pStyle w:val="TableContents"/>
              <w:widowControl w:val="false"/>
              <w:suppressLineNumbers/>
              <w:bidi w:val="0"/>
              <w:jc w:val="left"/>
              <w:rPr/>
            </w:pPr>
            <w:r>
              <w:rPr/>
              <w:t>the last arrival at the subject's stand: the gap to its on-block, its lateness and taxi-in, its type and operator; the previous departure off the stand</w:t>
            </w:r>
          </w:p>
        </w:tc>
        <w:tc>
          <w:tcPr>
            <w:tcW w:w="2018" w:type="dxa"/>
            <w:tcBorders/>
            <w:vAlign w:val="center"/>
          </w:tcPr>
          <w:p>
            <w:pPr>
              <w:pStyle w:val="TableContents"/>
              <w:widowControl w:val="false"/>
              <w:suppressLineNumbers/>
              <w:bidi w:val="0"/>
              <w:jc w:val="left"/>
              <w:rPr/>
            </w:pPr>
            <w:r>
              <w:rPr/>
              <w:t>arrivals' exposed fields (§6.5)</w:t>
            </w:r>
          </w:p>
        </w:tc>
      </w:tr>
      <w:tr>
        <w:trPr/>
        <w:tc>
          <w:tcPr>
            <w:tcW w:w="1593" w:type="dxa"/>
            <w:tcBorders/>
            <w:vAlign w:val="center"/>
          </w:tcPr>
          <w:p>
            <w:pPr>
              <w:pStyle w:val="TableContents"/>
              <w:widowControl w:val="false"/>
              <w:suppressLineNumbers/>
              <w:bidi w:val="0"/>
              <w:jc w:val="left"/>
              <w:rPr/>
            </w:pPr>
            <w:r>
              <w:rPr/>
              <w:t>callsign prefix</w:t>
            </w:r>
          </w:p>
        </w:tc>
        <w:tc>
          <w:tcPr>
            <w:tcW w:w="4282" w:type="dxa"/>
            <w:tcBorders/>
            <w:vAlign w:val="center"/>
          </w:tcPr>
          <w:p>
            <w:pPr>
              <w:pStyle w:val="TableContents"/>
              <w:widowControl w:val="false"/>
              <w:suppressLineNumbers/>
              <w:bidi w:val="0"/>
              <w:jc w:val="left"/>
              <w:rPr/>
            </w:pPr>
            <w:r>
              <w:rPr>
                <w:rStyle w:val="SourceText"/>
              </w:rPr>
              <w:t>callsign</w:t>
            </w:r>
          </w:p>
        </w:tc>
        <w:tc>
          <w:tcPr>
            <w:tcW w:w="2646" w:type="dxa"/>
            <w:tcBorders/>
            <w:vAlign w:val="center"/>
          </w:tcPr>
          <w:p>
            <w:pPr>
              <w:pStyle w:val="TableContents"/>
              <w:widowControl w:val="false"/>
              <w:suppressLineNumbers/>
              <w:bidi w:val="0"/>
              <w:jc w:val="left"/>
              <w:rPr/>
            </w:pPr>
            <w:r>
              <w:rPr/>
              <w:t>the operator, read as the callsign's prefix</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destination and holidays</w:t>
            </w:r>
          </w:p>
        </w:tc>
        <w:tc>
          <w:tcPr>
            <w:tcW w:w="4282" w:type="dxa"/>
            <w:tcBorders/>
            <w:vAlign w:val="center"/>
          </w:tcPr>
          <w:p>
            <w:pPr>
              <w:pStyle w:val="TableContents"/>
              <w:widowControl w:val="false"/>
              <w:suppressLineNumbers/>
              <w:bidi w:val="0"/>
              <w:jc w:val="left"/>
              <w:rPr/>
            </w:pPr>
            <w:r>
              <w:rPr>
                <w:rStyle w:val="SourceText"/>
              </w:rPr>
              <w:t>destination</w:t>
            </w:r>
          </w:p>
        </w:tc>
        <w:tc>
          <w:tcPr>
            <w:tcW w:w="2646" w:type="dxa"/>
            <w:tcBorders/>
            <w:vAlign w:val="center"/>
          </w:tcPr>
          <w:p>
            <w:pPr>
              <w:pStyle w:val="TableContents"/>
              <w:widowControl w:val="false"/>
              <w:suppressLineNumbers/>
              <w:bidi w:val="0"/>
              <w:jc w:val="left"/>
              <w:rPr/>
            </w:pPr>
            <w:r>
              <w:rPr/>
              <w:t>the destination's bearing and distance; the public-holiday calendar</w:t>
            </w:r>
          </w:p>
        </w:tc>
        <w:tc>
          <w:tcPr>
            <w:tcW w:w="2018" w:type="dxa"/>
            <w:tcBorders/>
            <w:vAlign w:val="center"/>
          </w:tcPr>
          <w:p>
            <w:pPr>
              <w:pStyle w:val="TableContents"/>
              <w:widowControl w:val="false"/>
              <w:suppressLineNumbers/>
              <w:bidi w:val="0"/>
              <w:jc w:val="left"/>
              <w:rPr/>
            </w:pPr>
            <w:r>
              <w:rPr/>
              <w:t>OurAirports; the holiday tables</w:t>
            </w:r>
          </w:p>
        </w:tc>
      </w:tr>
      <w:tr>
        <w:trPr/>
        <w:tc>
          <w:tcPr>
            <w:tcW w:w="1593" w:type="dxa"/>
            <w:tcBorders/>
            <w:vAlign w:val="center"/>
          </w:tcPr>
          <w:p>
            <w:pPr>
              <w:pStyle w:val="TableContents"/>
              <w:widowControl w:val="false"/>
              <w:suppressLineNumbers/>
              <w:bidi w:val="0"/>
              <w:jc w:val="left"/>
              <w:rPr/>
            </w:pPr>
            <w:r>
              <w:rPr/>
              <w:t>plan differences (ships)</w:t>
            </w:r>
          </w:p>
        </w:tc>
        <w:tc>
          <w:tcPr>
            <w:tcW w:w="4282" w:type="dxa"/>
            <w:tcBorders/>
            <w:vAlign w:val="center"/>
          </w:tcPr>
          <w:p>
            <w:pPr>
              <w:pStyle w:val="TableContents"/>
              <w:widowControl w:val="false"/>
              <w:suppressLineNumbers/>
              <w:bidi w:val="0"/>
              <w:jc w:val="left"/>
              <w:rPr/>
            </w:pPr>
            <w:r>
              <w:rPr>
                <w:rStyle w:val="SourceText"/>
              </w:rPr>
              <w:t>plan-diffs</w:t>
            </w:r>
          </w:p>
        </w:tc>
        <w:tc>
          <w:tcPr>
            <w:tcW w:w="2646" w:type="dxa"/>
            <w:tcBorders/>
            <w:vAlign w:val="center"/>
          </w:tcPr>
          <w:p>
            <w:pPr>
              <w:pStyle w:val="TableContents"/>
              <w:widowControl w:val="false"/>
              <w:suppressLineNumbers/>
              <w:bidi w:val="0"/>
              <w:jc w:val="left"/>
              <w:rPr/>
            </w:pPr>
            <w:r>
              <w:rPr/>
              <w:t>the plan's own off-block values against each other</w:t>
            </w:r>
          </w:p>
        </w:tc>
        <w:tc>
          <w:tcPr>
            <w:tcW w:w="2018" w:type="dxa"/>
            <w:tcBorders/>
            <w:vAlign w:val="center"/>
          </w:tcPr>
          <w:p>
            <w:pPr>
              <w:pStyle w:val="TableContents"/>
              <w:widowControl w:val="false"/>
              <w:suppressLineNumbers/>
              <w:bidi w:val="0"/>
              <w:jc w:val="left"/>
              <w:rPr/>
            </w:pPr>
            <w:r>
              <w:rPr/>
              <w:t>the Network Manager record, exposed</w:t>
            </w:r>
          </w:p>
        </w:tc>
      </w:tr>
    </w:tbl>
    <w:p>
      <w:pPr>
        <w:pStyle w:val="BodyText"/>
        <w:bidi w:val="0"/>
        <w:jc w:val="left"/>
        <w:rPr/>
      </w:pPr>
      <w:r>
        <w:rPr/>
        <w:t>The ladder also carries rungs the submission is not fitted from: two reference rungs that fit no booster (the airport mean, and the unimpeded-time reference of EUROCONTROL's Performance Review Unit), the geometric unimpeded term alone and with the wake class, two further versions of the shrunk identifier encoding of §7.4, a runway-saturation block, a schedule-anchored reading of the stand-occupancy block, and the congestion chain fitted without the plan lags. §7.2 and Annex A read them.</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and </w:t>
      </w:r>
      <w:r>
        <w:rPr>
          <w:rStyle w:val="Emphasis"/>
        </w:rPr>
        <w:t>The ablation ladder</w:t>
      </w:r>
      <w:r>
        <w:rPr/>
        <w:t xml:space="preserve">; </w:t>
      </w:r>
      <w:r>
        <w:rPr>
          <w:rStyle w:val="SourceText"/>
        </w:rPr>
        <w:t>reports/congestion.md</w:t>
      </w:r>
      <w:r>
        <w:rPr/>
        <w:t xml:space="preserve">, </w:t>
      </w:r>
      <w:r>
        <w:rPr>
          <w:rStyle w:val="Emphasis"/>
        </w:rPr>
        <w:t>The leakage audit</w:t>
      </w:r>
      <w:r>
        <w:rPr/>
        <w:t xml:space="preserve">; </w:t>
      </w:r>
      <w:r>
        <w:rPr>
          <w:rStyle w:val="SourceText"/>
        </w:rPr>
        <w:t>src/taxiout/models.py</w:t>
      </w:r>
      <w:r>
        <w:rPr/>
        <w:t>, the rung table.</w:t>
      </w:r>
    </w:p>
    <w:p>
      <w:pPr>
        <w:pStyle w:val="Heading3"/>
        <w:bidi w:val="0"/>
        <w:jc w:val="left"/>
        <w:rPr/>
      </w:pPr>
      <w:r>
        <w:rPr/>
        <w:t>3.3 Two terms that bypass the booster</w:t>
      </w:r>
    </w:p>
    <w:p>
      <w:pPr>
        <w:pStyle w:val="BodyText"/>
        <w:bidi w:val="0"/>
        <w:jc w:val="left"/>
        <w:rPr/>
      </w:pPr>
      <w:r>
        <w:rPr/>
        <w:t xml:space="preserve">The record-quality term and the plan-shift rule are rules, not fitted models: each has the form </w:t>
      </w:r>
      <w:r>
        <w:rPr>
          <w:rStyle w:val="SourceText"/>
        </w:rPr>
        <w:t>share × lag + (1 − share) × rest_mean</w:t>
      </w:r>
      <w:r>
        <w:rPr/>
        <w:t>, where the lag is a planning value the ranking set exposes and the rest mean is the airport's ordinary taxi-out. The term reaches 383 of the 344,841 ranking rows, all at one airport; the plan-shift rule reaches one. §4 gives the mechanism, the evidence and the basis of adoption for each. §8 reports every pooled figure with and without the rows they cover, so that a reader who disagrees with either rule can subtract it.</w:t>
      </w:r>
    </w:p>
    <w:p>
      <w:pPr>
        <w:pStyle w:val="BodyText"/>
        <w:bidi w:val="0"/>
        <w:jc w:val="left"/>
        <w:rPr/>
      </w:pPr>
      <w:r>
        <w:rPr/>
        <w:t xml:space="preserve">Sources: </w:t>
      </w:r>
      <w:r>
        <w:rPr>
          <w:rStyle w:val="SourceText"/>
        </w:rPr>
        <w:t>reports/tails.md</w:t>
      </w:r>
      <w:r>
        <w:rPr/>
        <w:t xml:space="preserve">, </w:t>
      </w:r>
      <w:r>
        <w:rPr>
          <w:rStyle w:val="Emphasis"/>
        </w:rPr>
        <w:t>What it touches in the ranking set</w:t>
      </w:r>
      <w:r>
        <w:rPr/>
        <w:t xml:space="preserve"> and </w:t>
      </w:r>
      <w:r>
        <w:rPr>
          <w:rStyle w:val="Emphasis"/>
        </w:rPr>
        <w:t>The plan-shifted departures</w:t>
      </w:r>
      <w:r>
        <w:rPr/>
        <w:t>.</w:t>
      </w:r>
    </w:p>
    <w:p>
      <w:pPr>
        <w:pStyle w:val="Heading3"/>
        <w:bidi w:val="0"/>
        <w:jc w:val="left"/>
        <w:rPr/>
      </w:pPr>
      <w:r>
        <w:rPr/>
        <w:t>3.4 The booster, its parameters, and the seed average</w:t>
      </w:r>
    </w:p>
    <w:p>
      <w:pPr>
        <w:pStyle w:val="BodyText"/>
        <w:bidi w:val="0"/>
        <w:jc w:val="left"/>
        <w:rPr/>
      </w:pPr>
      <w:r>
        <w:rPr/>
        <w:t xml:space="preserve">The booster is LightGBM with </w:t>
      </w:r>
      <w:r>
        <w:rPr>
          <w:rStyle w:val="SourceText"/>
        </w:rPr>
        <w:t>objective</w:t>
      </w:r>
      <w:r>
        <w:rPr/>
        <w:t xml:space="preserve"> regression: 6,000 trees at a learning rate of 0.03, 127 leaves, a minimum child sample of 20, a column sample of 0.9 and a row sample of 0.8 per tree, and categorical splits capped at 64 thresholds with a smoothing of 20.0. It uses no early stopping, since stopping on the set being reported is tuning on it. It runs in LightGBM's deterministic mode with column-wise histograms at eight threads, so that a fit repeats to the bit (§10). The four parameters that were searched were tuned on October 2025, a month no rung of the ladder scores, under a rule fixed before the search. When the best setting fell on the edge of the searched grid, the grid was widened after that result was seen; §7.1.2 gives the account. The base configuration is the rung </w:t>
      </w:r>
      <w:r>
        <w:rPr>
          <w:rStyle w:val="SourceText"/>
        </w:rPr>
        <w:t>+ plan differences</w:t>
      </w:r>
      <w:r>
        <w:rPr/>
        <w:t xml:space="preserve"> fitted five times under consecutive seeds and averaged, adopted under a rule that compares its gain with the seed floor (§7.1.2). On the December forward split the average lowers the error by 1.11 s against the single seed the ladder uses, where the seed floor is 0.23; on July it lowers it by 1.46 s against a floor of 0.54.</w:t>
      </w:r>
    </w:p>
    <w:p>
      <w:pPr>
        <w:pStyle w:val="BodyText"/>
        <w:bidi w:val="0"/>
        <w:jc w:val="left"/>
        <w:rPr/>
      </w:pPr>
      <w:r>
        <w:rPr/>
        <w:t xml:space="preserve">Sources: </w:t>
      </w:r>
      <w:r>
        <w:rPr>
          <w:rStyle w:val="SourceText"/>
        </w:rPr>
        <w:t>src/taxiout/models.py</w:t>
      </w:r>
      <w:r>
        <w:rPr/>
        <w:t xml:space="preserve">, </w:t>
      </w:r>
      <w:r>
        <w:rPr>
          <w:rStyle w:val="SourceText"/>
        </w:rPr>
        <w:t>BOOSTER_PARAMS</w:t>
      </w:r>
      <w:r>
        <w:rPr/>
        <w:t xml:space="preserve">, </w:t>
      </w:r>
      <w:r>
        <w:rPr>
          <w:rStyle w:val="SourceText"/>
        </w:rPr>
        <w:t>BAGGING_SEEDS</w:t>
      </w:r>
      <w:r>
        <w:rPr/>
        <w:t xml:space="preserve"> and </w:t>
      </w:r>
      <w:r>
        <w:rPr>
          <w:rStyle w:val="SourceText"/>
        </w:rPr>
        <w:t>SEED_AVERAGE_ADOPTED</w:t>
      </w:r>
      <w:r>
        <w:rPr/>
        <w:t xml:space="preserve">; </w:t>
      </w:r>
      <w:r>
        <w:rPr>
          <w:rStyle w:val="SourceText"/>
        </w:rPr>
        <w:t>reports/baseline.md</w:t>
      </w:r>
      <w:r>
        <w:rPr/>
        <w:t xml:space="preserve">, </w:t>
      </w:r>
      <w:r>
        <w:rPr>
          <w:rStyle w:val="Emphasis"/>
        </w:rPr>
        <w:t>What is fitted, and on what</w:t>
      </w:r>
      <w:r>
        <w:rPr/>
        <w:t xml:space="preserve"> and </w:t>
      </w:r>
      <w:r>
        <w:rPr>
          <w:rStyle w:val="Emphasis"/>
        </w:rPr>
        <w:t>Seed averaging</w:t>
      </w:r>
      <w:r>
        <w:rPr/>
        <w:t>.</w:t>
      </w:r>
    </w:p>
    <w:p>
      <w:pPr>
        <w:pStyle w:val="Heading3"/>
        <w:bidi w:val="0"/>
        <w:jc w:val="left"/>
        <w:rPr/>
      </w:pPr>
      <w:r>
        <w:rPr/>
        <w:t>3.5 The validation design</w:t>
      </w:r>
    </w:p>
    <w:p>
      <w:pPr>
        <w:pStyle w:val="BodyText"/>
        <w:bidi w:val="0"/>
        <w:jc w:val="left"/>
        <w:rPr/>
      </w:pPr>
      <w:r>
        <w:rPr/>
        <w:t>The design has six readings: three fixed before anything was fitted, and three added later and declared as such. None is a random K-fold on rows, because congestion is autocorrelated over hours.</w:t>
      </w:r>
    </w:p>
    <w:tbl>
      <w:tblPr>
        <w:tblW w:w="10539" w:type="dxa"/>
        <w:jc w:val="left"/>
        <w:tblInd w:w="28" w:type="dxa"/>
        <w:tblLayout w:type="fixed"/>
        <w:tblCellMar>
          <w:top w:w="28" w:type="dxa"/>
          <w:left w:w="28" w:type="dxa"/>
          <w:bottom w:w="28" w:type="dxa"/>
          <w:right w:w="28" w:type="dxa"/>
        </w:tblCellMar>
      </w:tblPr>
      <w:tblGrid>
        <w:gridCol w:w="1319"/>
        <w:gridCol w:w="2531"/>
        <w:gridCol w:w="2484"/>
        <w:gridCol w:w="3214"/>
        <w:gridCol w:w="991"/>
      </w:tblGrid>
      <w:tr>
        <w:trPr>
          <w:tblHeader w:val="true"/>
        </w:trPr>
        <w:tc>
          <w:tcPr>
            <w:tcW w:w="1319" w:type="dxa"/>
            <w:tcBorders/>
            <w:vAlign w:val="center"/>
          </w:tcPr>
          <w:p>
            <w:pPr>
              <w:pStyle w:val="TableHeading"/>
              <w:suppressLineNumbers/>
              <w:bidi w:val="0"/>
              <w:jc w:val="center"/>
              <w:rPr/>
            </w:pPr>
            <w:r>
              <w:rPr/>
              <w:t>reading</w:t>
            </w:r>
          </w:p>
        </w:tc>
        <w:tc>
          <w:tcPr>
            <w:tcW w:w="2531" w:type="dxa"/>
            <w:tcBorders/>
            <w:vAlign w:val="center"/>
          </w:tcPr>
          <w:p>
            <w:pPr>
              <w:pStyle w:val="TableHeading"/>
              <w:bidi w:val="0"/>
              <w:jc w:val="right"/>
              <w:rPr/>
            </w:pPr>
            <w:r>
              <w:rPr/>
              <w:t>training rows</w:t>
            </w:r>
          </w:p>
        </w:tc>
        <w:tc>
          <w:tcPr>
            <w:tcW w:w="2484" w:type="dxa"/>
            <w:tcBorders/>
            <w:vAlign w:val="center"/>
          </w:tcPr>
          <w:p>
            <w:pPr>
              <w:pStyle w:val="TableHeading"/>
              <w:bidi w:val="0"/>
              <w:jc w:val="right"/>
              <w:rPr/>
            </w:pPr>
            <w:r>
              <w:rPr/>
              <w:t>scored rows</w:t>
            </w:r>
          </w:p>
        </w:tc>
        <w:tc>
          <w:tcPr>
            <w:tcW w:w="3214" w:type="dxa"/>
            <w:tcBorders/>
            <w:vAlign w:val="center"/>
          </w:tcPr>
          <w:p>
            <w:pPr>
              <w:pStyle w:val="TableHeading"/>
              <w:suppressLineNumbers/>
              <w:bidi w:val="0"/>
              <w:jc w:val="center"/>
              <w:rPr/>
            </w:pPr>
            <w:r>
              <w:rPr/>
              <w:t>stands in for, or asks</w:t>
            </w:r>
          </w:p>
        </w:tc>
        <w:tc>
          <w:tcPr>
            <w:tcW w:w="991" w:type="dxa"/>
            <w:tcBorders/>
            <w:vAlign w:val="center"/>
          </w:tcPr>
          <w:p>
            <w:pPr>
              <w:pStyle w:val="TableHeading"/>
              <w:suppressLineNumbers/>
              <w:bidi w:val="0"/>
              <w:jc w:val="center"/>
              <w:rPr/>
            </w:pPr>
            <w:r>
              <w:rPr/>
              <w:t>fixed</w:t>
            </w:r>
          </w:p>
        </w:tc>
      </w:tr>
      <w:tr>
        <w:trPr/>
        <w:tc>
          <w:tcPr>
            <w:tcW w:w="1319" w:type="dxa"/>
            <w:tcBorders/>
            <w:vAlign w:val="center"/>
          </w:tcPr>
          <w:p>
            <w:pPr>
              <w:pStyle w:val="TableContents"/>
              <w:widowControl w:val="false"/>
              <w:suppressLineNumbers/>
              <w:bidi w:val="0"/>
              <w:jc w:val="left"/>
              <w:rPr/>
            </w:pPr>
            <w:r>
              <w:rPr/>
              <w:t>December forward split</w:t>
            </w:r>
          </w:p>
        </w:tc>
        <w:tc>
          <w:tcPr>
            <w:tcW w:w="2531" w:type="dxa"/>
            <w:tcBorders/>
            <w:vAlign w:val="center"/>
          </w:tcPr>
          <w:p>
            <w:pPr>
              <w:pStyle w:val="TableContents"/>
              <w:bidi w:val="0"/>
              <w:jc w:val="right"/>
              <w:rPr/>
            </w:pPr>
            <w:r>
              <w:rPr/>
              <w:t>January to November 2025, 1,919,370</w:t>
            </w:r>
          </w:p>
        </w:tc>
        <w:tc>
          <w:tcPr>
            <w:tcW w:w="2484" w:type="dxa"/>
            <w:tcBorders/>
            <w:vAlign w:val="center"/>
          </w:tcPr>
          <w:p>
            <w:pPr>
              <w:pStyle w:val="TableContents"/>
              <w:bidi w:val="0"/>
              <w:jc w:val="right"/>
              <w:rPr/>
            </w:pPr>
            <w:r>
              <w:rPr/>
              <w:t>December 2025, all ten airports, 165,677</w:t>
            </w:r>
          </w:p>
        </w:tc>
        <w:tc>
          <w:tcPr>
            <w:tcW w:w="3214" w:type="dxa"/>
            <w:tcBorders/>
            <w:vAlign w:val="center"/>
          </w:tcPr>
          <w:p>
            <w:pPr>
              <w:pStyle w:val="TableContents"/>
              <w:widowControl w:val="false"/>
              <w:suppressLineNumbers/>
              <w:bidi w:val="0"/>
              <w:jc w:val="left"/>
              <w:rPr/>
            </w:pPr>
            <w:r>
              <w:rPr/>
              <w:t>January 2026</w:t>
            </w:r>
          </w:p>
        </w:tc>
        <w:tc>
          <w:tcPr>
            <w:tcW w:w="991" w:type="dxa"/>
            <w:tcBorders/>
            <w:vAlign w:val="center"/>
          </w:tcPr>
          <w:p>
            <w:pPr>
              <w:pStyle w:val="TableContents"/>
              <w:widowControl w:val="false"/>
              <w:suppressLineNumbers/>
              <w:bidi w:val="0"/>
              <w:jc w:val="left"/>
              <w:rPr/>
            </w:pPr>
            <w:r>
              <w:rPr/>
              <w:t>before any fit</w:t>
            </w:r>
          </w:p>
        </w:tc>
      </w:tr>
      <w:tr>
        <w:trPr/>
        <w:tc>
          <w:tcPr>
            <w:tcW w:w="1319" w:type="dxa"/>
            <w:tcBorders/>
            <w:vAlign w:val="center"/>
          </w:tcPr>
          <w:p>
            <w:pPr>
              <w:pStyle w:val="TableContents"/>
              <w:widowControl w:val="false"/>
              <w:suppressLineNumbers/>
              <w:bidi w:val="0"/>
              <w:jc w:val="left"/>
              <w:rPr/>
            </w:pPr>
            <w:r>
              <w:rPr/>
              <w:t>July forward split</w:t>
            </w:r>
          </w:p>
        </w:tc>
        <w:tc>
          <w:tcPr>
            <w:tcW w:w="2531" w:type="dxa"/>
            <w:tcBorders/>
            <w:vAlign w:val="center"/>
          </w:tcPr>
          <w:p>
            <w:pPr>
              <w:pStyle w:val="TableContents"/>
              <w:bidi w:val="0"/>
              <w:jc w:val="right"/>
              <w:rPr/>
            </w:pPr>
            <w:r>
              <w:rPr/>
              <w:t>January to June 2025, 1,005,519</w:t>
            </w:r>
          </w:p>
        </w:tc>
        <w:tc>
          <w:tcPr>
            <w:tcW w:w="2484" w:type="dxa"/>
            <w:tcBorders/>
            <w:vAlign w:val="center"/>
          </w:tcPr>
          <w:p>
            <w:pPr>
              <w:pStyle w:val="TableContents"/>
              <w:bidi w:val="0"/>
              <w:jc w:val="right"/>
              <w:rPr/>
            </w:pPr>
            <w:r>
              <w:rPr/>
              <w:t xml:space="preserve">July 2025, all ten, 190,713; </w:t>
            </w:r>
            <w:r>
              <w:rPr>
                <w:rStyle w:val="Emphasis"/>
              </w:rPr>
              <w:t>the three</w:t>
            </w:r>
            <w:r>
              <w:rPr/>
              <w:t xml:space="preserve"> (Frankfurt, Heathrow, Schiphol) read on their own as well</w:t>
            </w:r>
          </w:p>
        </w:tc>
        <w:tc>
          <w:tcPr>
            <w:tcW w:w="3214" w:type="dxa"/>
            <w:tcBorders/>
            <w:vAlign w:val="center"/>
          </w:tcPr>
          <w:p>
            <w:pPr>
              <w:pStyle w:val="TableContents"/>
              <w:widowControl w:val="false"/>
              <w:suppressLineNumbers/>
              <w:bidi w:val="0"/>
              <w:jc w:val="left"/>
              <w:rPr/>
            </w:pPr>
            <w:r>
              <w:rPr/>
              <w:t>July 2026</w:t>
            </w:r>
          </w:p>
        </w:tc>
        <w:tc>
          <w:tcPr>
            <w:tcW w:w="991" w:type="dxa"/>
            <w:tcBorders/>
            <w:vAlign w:val="center"/>
          </w:tcPr>
          <w:p>
            <w:pPr>
              <w:pStyle w:val="TableContents"/>
              <w:widowControl w:val="false"/>
              <w:suppressLineNumbers/>
              <w:bidi w:val="0"/>
              <w:jc w:val="left"/>
              <w:rPr/>
            </w:pPr>
            <w:r>
              <w:rPr/>
              <w:t>before any fit</w:t>
            </w:r>
          </w:p>
        </w:tc>
      </w:tr>
      <w:tr>
        <w:trPr/>
        <w:tc>
          <w:tcPr>
            <w:tcW w:w="1319" w:type="dxa"/>
            <w:tcBorders/>
            <w:vAlign w:val="center"/>
          </w:tcPr>
          <w:p>
            <w:pPr>
              <w:pStyle w:val="TableContents"/>
              <w:widowControl w:val="false"/>
              <w:suppressLineNumbers/>
              <w:bidi w:val="0"/>
              <w:jc w:val="left"/>
              <w:rPr/>
            </w:pPr>
            <w:r>
              <w:rPr/>
              <w:t>held-out pairs</w:t>
            </w:r>
          </w:p>
        </w:tc>
        <w:tc>
          <w:tcPr>
            <w:tcW w:w="2531" w:type="dxa"/>
            <w:tcBorders/>
            <w:vAlign w:val="center"/>
          </w:tcPr>
          <w:p>
            <w:pPr>
              <w:pStyle w:val="TableContents"/>
              <w:bidi w:val="0"/>
              <w:jc w:val="right"/>
              <w:rPr/>
            </w:pPr>
            <w:r>
              <w:rPr/>
              <w:t>the year minus a third of every airport's (stand, runway) pairs, three folds of 1,303,727 to 1,338,046</w:t>
            </w:r>
          </w:p>
        </w:tc>
        <w:tc>
          <w:tcPr>
            <w:tcW w:w="2484" w:type="dxa"/>
            <w:tcBorders/>
            <w:vAlign w:val="center"/>
          </w:tcPr>
          <w:p>
            <w:pPr>
              <w:pStyle w:val="TableContents"/>
              <w:bidi w:val="0"/>
              <w:jc w:val="right"/>
              <w:rPr/>
            </w:pPr>
            <w:r>
              <w:rPr/>
              <w:t>the held-out pairs, 676,400 to 712,627 per fold, beside a 5% sample of seen-pair rows</w:t>
            </w:r>
          </w:p>
        </w:tc>
        <w:tc>
          <w:tcPr>
            <w:tcW w:w="3214" w:type="dxa"/>
            <w:tcBorders/>
            <w:vAlign w:val="center"/>
          </w:tcPr>
          <w:p>
            <w:pPr>
              <w:pStyle w:val="TableContents"/>
              <w:widowControl w:val="false"/>
              <w:suppressLineNumbers/>
              <w:bidi w:val="0"/>
              <w:jc w:val="left"/>
              <w:rPr/>
            </w:pPr>
            <w:r>
              <w:rPr/>
              <w:t>whether a block carries over to a pair never seen; the claim of §7.2</w:t>
            </w:r>
          </w:p>
        </w:tc>
        <w:tc>
          <w:tcPr>
            <w:tcW w:w="991" w:type="dxa"/>
            <w:tcBorders/>
            <w:vAlign w:val="center"/>
          </w:tcPr>
          <w:p>
            <w:pPr>
              <w:pStyle w:val="TableContents"/>
              <w:widowControl w:val="false"/>
              <w:suppressLineNumbers/>
              <w:bidi w:val="0"/>
              <w:jc w:val="left"/>
              <w:rPr/>
            </w:pPr>
            <w:r>
              <w:rPr/>
              <w:t>before any fit</w:t>
            </w:r>
          </w:p>
        </w:tc>
      </w:tr>
      <w:tr>
        <w:trPr/>
        <w:tc>
          <w:tcPr>
            <w:tcW w:w="1319" w:type="dxa"/>
            <w:tcBorders/>
            <w:vAlign w:val="center"/>
          </w:tcPr>
          <w:p>
            <w:pPr>
              <w:pStyle w:val="TableContents"/>
              <w:widowControl w:val="false"/>
              <w:suppressLineNumbers/>
              <w:bidi w:val="0"/>
              <w:jc w:val="left"/>
              <w:rPr/>
            </w:pPr>
            <w:r>
              <w:rPr/>
              <w:t>October</w:t>
            </w:r>
          </w:p>
        </w:tc>
        <w:tc>
          <w:tcPr>
            <w:tcW w:w="2531" w:type="dxa"/>
            <w:tcBorders/>
            <w:vAlign w:val="center"/>
          </w:tcPr>
          <w:p>
            <w:pPr>
              <w:pStyle w:val="TableContents"/>
              <w:bidi w:val="0"/>
              <w:jc w:val="right"/>
              <w:rPr/>
            </w:pPr>
            <w:r>
              <w:rPr/>
              <w:t>January to September 2025</w:t>
            </w:r>
          </w:p>
        </w:tc>
        <w:tc>
          <w:tcPr>
            <w:tcW w:w="2484" w:type="dxa"/>
            <w:tcBorders/>
            <w:vAlign w:val="center"/>
          </w:tcPr>
          <w:p>
            <w:pPr>
              <w:pStyle w:val="TableContents"/>
              <w:bidi w:val="0"/>
              <w:jc w:val="right"/>
              <w:rPr/>
            </w:pPr>
            <w:r>
              <w:rPr/>
              <w:t>October 2025, all ten</w:t>
            </w:r>
          </w:p>
        </w:tc>
        <w:tc>
          <w:tcPr>
            <w:tcW w:w="3214" w:type="dxa"/>
            <w:tcBorders/>
            <w:vAlign w:val="center"/>
          </w:tcPr>
          <w:p>
            <w:pPr>
              <w:pStyle w:val="TableContents"/>
              <w:widowControl w:val="false"/>
              <w:suppressLineNumbers/>
              <w:bidi w:val="0"/>
              <w:jc w:val="left"/>
              <w:rPr/>
            </w:pPr>
            <w:r>
              <w:rPr/>
              <w:t>the leg the booster's parameters were tuned on, scored by no rung of the ladder</w:t>
            </w:r>
          </w:p>
        </w:tc>
        <w:tc>
          <w:tcPr>
            <w:tcW w:w="991" w:type="dxa"/>
            <w:tcBorders/>
            <w:vAlign w:val="center"/>
          </w:tcPr>
          <w:p>
            <w:pPr>
              <w:pStyle w:val="TableContents"/>
              <w:widowControl w:val="false"/>
              <w:suppressLineNumbers/>
              <w:bidi w:val="0"/>
              <w:jc w:val="left"/>
              <w:rPr/>
            </w:pPr>
            <w:r>
              <w:rPr/>
              <w:t>added later, declared</w:t>
            </w:r>
          </w:p>
        </w:tc>
      </w:tr>
      <w:tr>
        <w:trPr/>
        <w:tc>
          <w:tcPr>
            <w:tcW w:w="1319" w:type="dxa"/>
            <w:tcBorders/>
            <w:vAlign w:val="center"/>
          </w:tcPr>
          <w:p>
            <w:pPr>
              <w:pStyle w:val="TableContents"/>
              <w:widowControl w:val="false"/>
              <w:suppressLineNumbers/>
              <w:bidi w:val="0"/>
              <w:jc w:val="left"/>
              <w:rPr/>
            </w:pPr>
            <w:r>
              <w:rPr/>
              <w:t>the gap leg</w:t>
            </w:r>
          </w:p>
        </w:tc>
        <w:tc>
          <w:tcPr>
            <w:tcW w:w="2531" w:type="dxa"/>
            <w:tcBorders/>
            <w:vAlign w:val="center"/>
          </w:tcPr>
          <w:p>
            <w:pPr>
              <w:pStyle w:val="TableContents"/>
              <w:bidi w:val="0"/>
              <w:jc w:val="right"/>
              <w:rPr/>
            </w:pPr>
            <w:r>
              <w:rPr/>
              <w:t>January to June 2025</w:t>
            </w:r>
          </w:p>
        </w:tc>
        <w:tc>
          <w:tcPr>
            <w:tcW w:w="2484" w:type="dxa"/>
            <w:tcBorders/>
            <w:vAlign w:val="center"/>
          </w:tcPr>
          <w:p>
            <w:pPr>
              <w:pStyle w:val="TableContents"/>
              <w:bidi w:val="0"/>
              <w:jc w:val="right"/>
              <w:rPr/>
            </w:pPr>
            <w:r>
              <w:rPr/>
              <w:t>December 2025</w:t>
            </w:r>
          </w:p>
        </w:tc>
        <w:tc>
          <w:tcPr>
            <w:tcW w:w="3214" w:type="dxa"/>
            <w:tcBorders/>
            <w:vAlign w:val="center"/>
          </w:tcPr>
          <w:p>
            <w:pPr>
              <w:pStyle w:val="TableContents"/>
              <w:widowControl w:val="false"/>
              <w:suppressLineNumbers/>
              <w:bidi w:val="0"/>
              <w:jc w:val="left"/>
              <w:rPr/>
            </w:pPr>
            <w:r>
              <w:rPr/>
              <w:t>whether a recent month or the same season matters more, for the July 2026 rows whose nearest training month is seasonally opposite (§7.1.1)</w:t>
            </w:r>
          </w:p>
        </w:tc>
        <w:tc>
          <w:tcPr>
            <w:tcW w:w="991" w:type="dxa"/>
            <w:tcBorders/>
            <w:vAlign w:val="center"/>
          </w:tcPr>
          <w:p>
            <w:pPr>
              <w:pStyle w:val="TableContents"/>
              <w:widowControl w:val="false"/>
              <w:suppressLineNumbers/>
              <w:bidi w:val="0"/>
              <w:jc w:val="left"/>
              <w:rPr/>
            </w:pPr>
            <w:r>
              <w:rPr/>
              <w:t>added later, declared</w:t>
            </w:r>
          </w:p>
        </w:tc>
      </w:tr>
      <w:tr>
        <w:trPr/>
        <w:tc>
          <w:tcPr>
            <w:tcW w:w="1319" w:type="dxa"/>
            <w:tcBorders/>
            <w:vAlign w:val="center"/>
          </w:tcPr>
          <w:p>
            <w:pPr>
              <w:pStyle w:val="TableContents"/>
              <w:widowControl w:val="false"/>
              <w:suppressLineNumbers/>
              <w:bidi w:val="0"/>
              <w:jc w:val="left"/>
              <w:rPr/>
            </w:pPr>
            <w:r>
              <w:rPr/>
              <w:t>every month held out</w:t>
            </w:r>
          </w:p>
        </w:tc>
        <w:tc>
          <w:tcPr>
            <w:tcW w:w="2531" w:type="dxa"/>
            <w:tcBorders/>
            <w:vAlign w:val="center"/>
          </w:tcPr>
          <w:p>
            <w:pPr>
              <w:pStyle w:val="TableContents"/>
              <w:bidi w:val="0"/>
              <w:jc w:val="right"/>
              <w:rPr/>
            </w:pPr>
            <w:r>
              <w:rPr/>
              <w:t>the other eleven months of 2025</w:t>
            </w:r>
          </w:p>
        </w:tc>
        <w:tc>
          <w:tcPr>
            <w:tcW w:w="2484" w:type="dxa"/>
            <w:tcBorders/>
            <w:vAlign w:val="center"/>
          </w:tcPr>
          <w:p>
            <w:pPr>
              <w:pStyle w:val="TableContents"/>
              <w:bidi w:val="0"/>
              <w:jc w:val="right"/>
              <w:rPr/>
            </w:pPr>
            <w:r>
              <w:rPr/>
              <w:t>each month of 2025 in turn, 143,732 to 191,182 rows</w:t>
            </w:r>
          </w:p>
        </w:tc>
        <w:tc>
          <w:tcPr>
            <w:tcW w:w="3214" w:type="dxa"/>
            <w:tcBorders/>
            <w:vAlign w:val="center"/>
          </w:tcPr>
          <w:p>
            <w:pPr>
              <w:pStyle w:val="TableContents"/>
              <w:widowControl w:val="false"/>
              <w:suppressLineNumbers/>
              <w:bidi w:val="0"/>
              <w:jc w:val="left"/>
              <w:rPr/>
            </w:pPr>
            <w:r>
              <w:rPr/>
              <w:t>how the figures and each block's worth are distributed over the year. Not forward in time, and a diagnostic</w:t>
            </w:r>
          </w:p>
        </w:tc>
        <w:tc>
          <w:tcPr>
            <w:tcW w:w="991" w:type="dxa"/>
            <w:tcBorders/>
            <w:vAlign w:val="center"/>
          </w:tcPr>
          <w:p>
            <w:pPr>
              <w:pStyle w:val="TableContents"/>
              <w:widowControl w:val="false"/>
              <w:suppressLineNumbers/>
              <w:bidi w:val="0"/>
              <w:jc w:val="left"/>
              <w:rPr/>
            </w:pPr>
            <w:r>
              <w:rPr/>
              <w:t>added later, declared</w:t>
            </w:r>
          </w:p>
        </w:tc>
      </w:tr>
    </w:tbl>
    <w:p>
      <w:pPr>
        <w:pStyle w:val="BodyText"/>
        <w:bidi w:val="0"/>
        <w:jc w:val="left"/>
        <w:rPr/>
      </w:pPr>
      <w:r>
        <w:rPr/>
        <w:t xml:space="preserve">The held-out unit of the pair folds is the </w:t>
      </w:r>
      <w:r>
        <w:rPr>
          <w:rStyle w:val="Strong"/>
        </w:rPr>
        <w:t>pair</w:t>
      </w:r>
      <w:r>
        <w:rPr/>
        <w:t>, not the stand. Every stand and runway is still seen in other pairs, so the folds bound what the geometry buys on a new combination and not what it would buy on a new stand, which no split of this data can measure. The held-out months train on months after the one scored as well as before, so they cannot replace the forward splits as proxies for the test months. What they add is twelve readings of every figure instead of two, and every month of the year the claim can be read in.</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w:t>
      </w:r>
      <w:r>
        <w:rPr>
          <w:rStyle w:val="Emphasis"/>
        </w:rPr>
        <w:t>Held-out pairs</w:t>
      </w:r>
      <w:r>
        <w:rPr/>
        <w:t xml:space="preserve"> and </w:t>
      </w:r>
      <w:r>
        <w:rPr>
          <w:rStyle w:val="Emphasis"/>
        </w:rPr>
        <w:t>Seed averaging</w:t>
      </w:r>
      <w:r>
        <w:rPr/>
        <w:t xml:space="preserve">; </w:t>
      </w:r>
      <w:r>
        <w:rPr>
          <w:rStyle w:val="SourceText"/>
        </w:rPr>
        <w:t>reports/monthly_ladder.md</w:t>
      </w:r>
      <w:r>
        <w:rPr/>
        <w:t xml:space="preserve">, </w:t>
      </w:r>
      <w:r>
        <w:rPr>
          <w:rStyle w:val="Emphasis"/>
        </w:rPr>
        <w:t>What this is</w:t>
      </w:r>
      <w:r>
        <w:rPr/>
        <w:t xml:space="preserve"> and </w:t>
      </w:r>
      <w:r>
        <w:rPr>
          <w:rStyle w:val="Emphasis"/>
        </w:rPr>
        <w:t>The harness is the ladder's</w:t>
      </w:r>
      <w:r>
        <w:rPr/>
        <w:t xml:space="preserve">; </w:t>
      </w:r>
      <w:r>
        <w:rPr>
          <w:rStyle w:val="SourceText"/>
        </w:rPr>
        <w:t>reports/preregistered-2026-09-20.md</w:t>
      </w:r>
      <w:r>
        <w:rPr/>
        <w:t>, a dated record, for the gap leg.</w:t>
      </w:r>
    </w:p>
    <w:p>
      <w:pPr>
        <w:pStyle w:val="Heading3"/>
        <w:bidi w:val="0"/>
        <w:jc w:val="left"/>
        <w:rPr/>
      </w:pPr>
      <w:r>
        <w:rPr/>
        <w:t>3.6 The instruments</w:t>
      </w:r>
    </w:p>
    <w:p>
      <w:pPr>
        <w:pStyle w:val="BodyText"/>
        <w:bidi w:val="0"/>
        <w:jc w:val="left"/>
        <w:rPr/>
      </w:pPr>
      <w:r>
        <w:rPr/>
        <w:t>The paper uses three instruments, and wherever a figure is called real or called noise, it says which one speaks.</w:t>
      </w:r>
    </w:p>
    <w:p>
      <w:pPr>
        <w:pStyle w:val="BodyText"/>
        <w:numPr>
          <w:ilvl w:val="0"/>
          <w:numId w:val="2"/>
        </w:numPr>
        <w:tabs>
          <w:tab w:val="clear" w:pos="709"/>
          <w:tab w:val="left" w:pos="709" w:leader="none"/>
        </w:tabs>
        <w:bidi w:val="0"/>
        <w:spacing w:before="0" w:after="0"/>
        <w:ind w:hanging="283" w:left="709"/>
        <w:jc w:val="left"/>
        <w:rPr/>
      </w:pPr>
      <w:r>
        <w:rPr>
          <w:rStyle w:val="Strong"/>
        </w:rPr>
        <w:t>The seed floor</w:t>
      </w:r>
      <w:r>
        <w:rPr/>
        <w:t xml:space="preserve">, root two times the standard deviation of five single-seed fits of one rung on one leg: how far a figure moves when nothing but the random seed does. Under the parameters that ship it is 0.23 s on December, 0.54 on July over all ten airports, 1.02 on the three and 0.21 on October; over the twelve held-out months it runs from 0.07 s in April to 1.56 s in February, and is 0.16 s over the year pooled. A difference inside the floor is within what changing the seed alone produces. The floor is measured on the shipped rung and applied to every block's change, an approximation the reports state. </w:t>
      </w:r>
    </w:p>
    <w:p>
      <w:pPr>
        <w:pStyle w:val="BodyText"/>
        <w:numPr>
          <w:ilvl w:val="0"/>
          <w:numId w:val="2"/>
        </w:numPr>
        <w:tabs>
          <w:tab w:val="clear" w:pos="709"/>
          <w:tab w:val="left" w:pos="709" w:leader="none"/>
        </w:tabs>
        <w:bidi w:val="0"/>
        <w:spacing w:before="0" w:after="0"/>
        <w:ind w:hanging="283" w:left="709"/>
        <w:jc w:val="left"/>
        <w:rPr/>
      </w:pPr>
      <w:r>
        <w:rPr>
          <w:rStyle w:val="Strong"/>
        </w:rPr>
        <w:t>The day-clustered interval</w:t>
      </w:r>
      <w:r>
        <w:rPr/>
        <w:t xml:space="preserve">, a 95% percentile bootstrap over the evaluation set with days as the clusters and the same draw for both arms: how far a figure would move on another sample of days. The interval and the floor measure different things and have disagreed (§7.1.1, §7.1.2). </w:t>
      </w:r>
    </w:p>
    <w:p>
      <w:pPr>
        <w:pStyle w:val="BodyText"/>
        <w:numPr>
          <w:ilvl w:val="0"/>
          <w:numId w:val="2"/>
        </w:numPr>
        <w:tabs>
          <w:tab w:val="clear" w:pos="709"/>
          <w:tab w:val="left" w:pos="709" w:leader="none"/>
        </w:tabs>
        <w:bidi w:val="0"/>
        <w:ind w:hanging="283" w:left="709"/>
        <w:jc w:val="left"/>
        <w:rPr/>
      </w:pPr>
      <w:r>
        <w:rPr>
          <w:rStyle w:val="Strong"/>
        </w:rPr>
        <w:t>The pair-clustered interval</w:t>
      </w:r>
      <w:r>
        <w:rPr/>
        <w:t xml:space="preserve"> of the held-out-pair claim, 1,000 draws resampling whole pairs from the stored residuals: no model is refitted. </w:t>
      </w:r>
    </w:p>
    <w:p>
      <w:pPr>
        <w:pStyle w:val="BodyText"/>
        <w:bidi w:val="0"/>
        <w:jc w:val="left"/>
        <w:rPr/>
      </w:pPr>
      <w:r>
        <w:rPr/>
        <w:t>Printed precision is a tenth of a second, finer than every floor, so a pass or fail test that compares figures rounded to that precision can trip on seed noise alone, and once did (§7.1.1). Changes are signed as §1.4 states: negative means the error went down.</w:t>
      </w:r>
    </w:p>
    <w:p>
      <w:pPr>
        <w:pStyle w:val="BodyText"/>
        <w:bidi w:val="0"/>
        <w:jc w:val="left"/>
        <w:rPr/>
      </w:pPr>
      <w:r>
        <w:rPr/>
        <w:t xml:space="preserve">Sources: </w:t>
      </w:r>
      <w:r>
        <w:rPr>
          <w:rStyle w:val="SourceText"/>
        </w:rPr>
        <w:t>reports/baseline.md</w:t>
      </w:r>
      <w:r>
        <w:rPr/>
        <w:t xml:space="preserve">, </w:t>
      </w:r>
      <w:r>
        <w:rPr>
          <w:rStyle w:val="Emphasis"/>
        </w:rPr>
        <w:t>The noise floor</w:t>
      </w:r>
      <w:r>
        <w:rPr/>
        <w:t xml:space="preserve"> and </w:t>
      </w:r>
      <w:r>
        <w:rPr>
          <w:rStyle w:val="Emphasis"/>
        </w:rPr>
        <w:t>Held-out pairs</w:t>
      </w:r>
      <w:r>
        <w:rPr/>
        <w:t xml:space="preserve">; </w:t>
      </w:r>
      <w:r>
        <w:rPr>
          <w:rStyle w:val="SourceText"/>
        </w:rPr>
        <w:t>reports/monthly_seeds.md</w:t>
      </w:r>
      <w:r>
        <w:rPr/>
        <w:t xml:space="preserve">, </w:t>
      </w:r>
      <w:r>
        <w:rPr>
          <w:rStyle w:val="Emphasis"/>
        </w:rPr>
        <w:t>Per month and over the year</w:t>
      </w:r>
      <w:r>
        <w:rPr/>
        <w:t>.</w:t>
      </w:r>
    </w:p>
    <w:p>
      <w:pPr>
        <w:pStyle w:val="Heading3"/>
        <w:bidi w:val="0"/>
        <w:jc w:val="left"/>
        <w:rPr/>
      </w:pPr>
      <w:r>
        <w:rPr/>
        <w:t>3.7 What was fixed before the numbers</w:t>
      </w:r>
    </w:p>
    <w:p>
      <w:pPr>
        <w:pStyle w:val="BodyText"/>
        <w:bidi w:val="0"/>
        <w:jc w:val="left"/>
        <w:rPr/>
      </w:pPr>
      <w:r>
        <w:rPr/>
        <w:t>Every rule the paper's figures are read against was written down before the figure it governs existed, with four exceptions that §9.3 lists with what was fixed, what was measured and what was decided after. The table gives, for each approach, the question it asks and how that bears on the central hypothesis, what was fixed before the figures, and what followed.</w:t>
      </w:r>
    </w:p>
    <w:tbl>
      <w:tblPr>
        <w:tblW w:w="10539" w:type="dxa"/>
        <w:jc w:val="left"/>
        <w:tblInd w:w="28" w:type="dxa"/>
        <w:tblLayout w:type="fixed"/>
        <w:tblCellMar>
          <w:top w:w="28" w:type="dxa"/>
          <w:left w:w="28" w:type="dxa"/>
          <w:bottom w:w="28" w:type="dxa"/>
          <w:right w:w="28" w:type="dxa"/>
        </w:tblCellMar>
      </w:tblPr>
      <w:tblGrid>
        <w:gridCol w:w="2094"/>
        <w:gridCol w:w="3133"/>
        <w:gridCol w:w="3005"/>
        <w:gridCol w:w="2307"/>
      </w:tblGrid>
      <w:tr>
        <w:trPr>
          <w:tblHeader w:val="true"/>
        </w:trPr>
        <w:tc>
          <w:tcPr>
            <w:tcW w:w="2094" w:type="dxa"/>
            <w:tcBorders/>
            <w:vAlign w:val="center"/>
          </w:tcPr>
          <w:p>
            <w:pPr>
              <w:pStyle w:val="TableHeading"/>
              <w:suppressLineNumbers/>
              <w:bidi w:val="0"/>
              <w:jc w:val="center"/>
              <w:rPr/>
            </w:pPr>
            <w:r>
              <w:rPr/>
              <w:t>approach</w:t>
            </w:r>
          </w:p>
        </w:tc>
        <w:tc>
          <w:tcPr>
            <w:tcW w:w="3133" w:type="dxa"/>
            <w:tcBorders/>
            <w:vAlign w:val="center"/>
          </w:tcPr>
          <w:p>
            <w:pPr>
              <w:pStyle w:val="TableHeading"/>
              <w:suppressLineNumbers/>
              <w:bidi w:val="0"/>
              <w:jc w:val="center"/>
              <w:rPr/>
            </w:pPr>
            <w:r>
              <w:rPr/>
              <w:t>what it asks, and how it bears on the hypothesis</w:t>
            </w:r>
          </w:p>
        </w:tc>
        <w:tc>
          <w:tcPr>
            <w:tcW w:w="3005" w:type="dxa"/>
            <w:tcBorders/>
            <w:vAlign w:val="center"/>
          </w:tcPr>
          <w:p>
            <w:pPr>
              <w:pStyle w:val="TableHeading"/>
              <w:suppressLineNumbers/>
              <w:bidi w:val="0"/>
              <w:jc w:val="center"/>
              <w:rPr/>
            </w:pPr>
            <w:r>
              <w:rPr/>
              <w:t>fixed before the figures</w:t>
            </w:r>
          </w:p>
        </w:tc>
        <w:tc>
          <w:tcPr>
            <w:tcW w:w="2307" w:type="dxa"/>
            <w:tcBorders/>
            <w:vAlign w:val="center"/>
          </w:tcPr>
          <w:p>
            <w:pPr>
              <w:pStyle w:val="TableHeading"/>
              <w:suppressLineNumbers/>
              <w:bidi w:val="0"/>
              <w:jc w:val="center"/>
              <w:rPr/>
            </w:pPr>
            <w:r>
              <w:rPr/>
              <w:t>outcome</w:t>
            </w:r>
          </w:p>
        </w:tc>
      </w:tr>
      <w:tr>
        <w:trPr/>
        <w:tc>
          <w:tcPr>
            <w:tcW w:w="2094" w:type="dxa"/>
            <w:tcBorders/>
            <w:vAlign w:val="center"/>
          </w:tcPr>
          <w:p>
            <w:pPr>
              <w:pStyle w:val="TableContents"/>
              <w:widowControl w:val="false"/>
              <w:suppressLineNumbers/>
              <w:bidi w:val="0"/>
              <w:jc w:val="left"/>
              <w:rPr/>
            </w:pPr>
            <w:r>
              <w:rPr/>
              <w:t>seed averaging, recency weighting, season columns</w:t>
            </w:r>
          </w:p>
        </w:tc>
        <w:tc>
          <w:tcPr>
            <w:tcW w:w="3133" w:type="dxa"/>
            <w:tcBorders/>
            <w:vAlign w:val="center"/>
          </w:tcPr>
          <w:p>
            <w:pPr>
              <w:pStyle w:val="TableContents"/>
              <w:widowControl w:val="false"/>
              <w:suppressLineNumbers/>
              <w:bidi w:val="0"/>
              <w:jc w:val="left"/>
              <w:rPr/>
            </w:pPr>
            <w:r>
              <w:rPr/>
              <w:t>whether the forward legs mislead on time and seed choices; none changes the claim, each bounds how the legs are read</w:t>
            </w:r>
          </w:p>
        </w:tc>
        <w:tc>
          <w:tcPr>
            <w:tcW w:w="3005" w:type="dxa"/>
            <w:tcBorders/>
            <w:vAlign w:val="center"/>
          </w:tcPr>
          <w:p>
            <w:pPr>
              <w:pStyle w:val="TableContents"/>
              <w:widowControl w:val="false"/>
              <w:suppressLineNumbers/>
              <w:bidi w:val="0"/>
              <w:jc w:val="left"/>
              <w:rPr/>
            </w:pPr>
            <w:r>
              <w:rPr/>
              <w:t>the adoption rule for seed averaging; the pass or fail tests for recency and the season columns</w:t>
            </w:r>
          </w:p>
        </w:tc>
        <w:tc>
          <w:tcPr>
            <w:tcW w:w="2307" w:type="dxa"/>
            <w:tcBorders/>
            <w:vAlign w:val="center"/>
          </w:tcPr>
          <w:p>
            <w:pPr>
              <w:pStyle w:val="TableContents"/>
              <w:widowControl w:val="false"/>
              <w:suppressLineNumbers/>
              <w:bidi w:val="0"/>
              <w:jc w:val="left"/>
              <w:rPr/>
            </w:pPr>
            <w:r>
              <w:rPr/>
              <w:t>seed averaging adopted; the other two not (§7.1.1, §7.1.2)</w:t>
            </w:r>
          </w:p>
        </w:tc>
      </w:tr>
      <w:tr>
        <w:trPr/>
        <w:tc>
          <w:tcPr>
            <w:tcW w:w="2094" w:type="dxa"/>
            <w:tcBorders/>
            <w:vAlign w:val="center"/>
          </w:tcPr>
          <w:p>
            <w:pPr>
              <w:pStyle w:val="TableContents"/>
              <w:widowControl w:val="false"/>
              <w:suppressLineNumbers/>
              <w:bidi w:val="0"/>
              <w:jc w:val="left"/>
              <w:rPr/>
            </w:pPr>
            <w:r>
              <w:rPr/>
              <w:t>the booster's parameters</w:t>
            </w:r>
          </w:p>
        </w:tc>
        <w:tc>
          <w:tcPr>
            <w:tcW w:w="3133" w:type="dxa"/>
            <w:tcBorders/>
            <w:vAlign w:val="center"/>
          </w:tcPr>
          <w:p>
            <w:pPr>
              <w:pStyle w:val="TableContents"/>
              <w:widowControl w:val="false"/>
              <w:suppressLineNumbers/>
              <w:bidi w:val="0"/>
              <w:jc w:val="left"/>
              <w:rPr/>
            </w:pPr>
            <w:r>
              <w:rPr/>
              <w:t>whether the setting can be chosen without tuning on a month that is reported</w:t>
            </w:r>
          </w:p>
        </w:tc>
        <w:tc>
          <w:tcPr>
            <w:tcW w:w="3005" w:type="dxa"/>
            <w:tcBorders/>
            <w:vAlign w:val="center"/>
          </w:tcPr>
          <w:p>
            <w:pPr>
              <w:pStyle w:val="TableContents"/>
              <w:widowControl w:val="false"/>
              <w:suppressLineNumbers/>
              <w:bidi w:val="0"/>
              <w:jc w:val="left"/>
              <w:rPr/>
            </w:pPr>
            <w:r>
              <w:rPr/>
              <w:t>the second sweep's grid and rule; the extension's criteria, before any figure past the grid's edge existed</w:t>
            </w:r>
          </w:p>
        </w:tc>
        <w:tc>
          <w:tcPr>
            <w:tcW w:w="2307" w:type="dxa"/>
            <w:tcBorders/>
            <w:vAlign w:val="center"/>
          </w:tcPr>
          <w:p>
            <w:pPr>
              <w:pStyle w:val="TableContents"/>
              <w:widowControl w:val="false"/>
              <w:suppressLineNumbers/>
              <w:bidi w:val="0"/>
              <w:jc w:val="left"/>
              <w:rPr/>
            </w:pPr>
            <w:r>
              <w:rPr/>
              <w:t>a cheaper cell taken over a better one the instrument could not separate (§7.1.2)</w:t>
            </w:r>
          </w:p>
        </w:tc>
      </w:tr>
      <w:tr>
        <w:trPr/>
        <w:tc>
          <w:tcPr>
            <w:tcW w:w="2094" w:type="dxa"/>
            <w:tcBorders/>
            <w:vAlign w:val="center"/>
          </w:tcPr>
          <w:p>
            <w:pPr>
              <w:pStyle w:val="TableContents"/>
              <w:widowControl w:val="false"/>
              <w:suppressLineNumbers/>
              <w:bidi w:val="0"/>
              <w:jc w:val="left"/>
              <w:rPr/>
            </w:pPr>
            <w:r>
              <w:rPr/>
              <w:t>the record-quality term and the plan-shift rule</w:t>
            </w:r>
          </w:p>
        </w:tc>
        <w:tc>
          <w:tcPr>
            <w:tcW w:w="3133" w:type="dxa"/>
            <w:tcBorders/>
            <w:vAlign w:val="center"/>
          </w:tcPr>
          <w:p>
            <w:pPr>
              <w:pStyle w:val="TableContents"/>
              <w:widowControl w:val="false"/>
              <w:suppressLineNumbers/>
              <w:bidi w:val="0"/>
              <w:jc w:val="left"/>
              <w:rPr/>
            </w:pPr>
            <w:r>
              <w:rPr/>
              <w:t>whether rows whose recorded value no aircraft produced can be handled by a stated rule</w:t>
            </w:r>
          </w:p>
        </w:tc>
        <w:tc>
          <w:tcPr>
            <w:tcW w:w="3005" w:type="dxa"/>
            <w:tcBorders/>
            <w:vAlign w:val="center"/>
          </w:tcPr>
          <w:p>
            <w:pPr>
              <w:pStyle w:val="TableContents"/>
              <w:widowControl w:val="false"/>
              <w:suppressLineNumbers/>
              <w:bidi w:val="0"/>
              <w:jc w:val="left"/>
              <w:rPr/>
            </w:pPr>
            <w:r>
              <w:rPr/>
              <w:t>the term's form; the rule's form, before it was evaluated on any fold</w:t>
            </w:r>
          </w:p>
        </w:tc>
        <w:tc>
          <w:tcPr>
            <w:tcW w:w="2307" w:type="dxa"/>
            <w:tcBorders/>
            <w:vAlign w:val="center"/>
          </w:tcPr>
          <w:p>
            <w:pPr>
              <w:pStyle w:val="TableContents"/>
              <w:widowControl w:val="false"/>
              <w:suppressLineNumbers/>
              <w:bidi w:val="0"/>
              <w:jc w:val="left"/>
              <w:rPr/>
            </w:pPr>
            <w:r>
              <w:rPr/>
              <w:t>adopted (§4)</w:t>
            </w:r>
          </w:p>
        </w:tc>
      </w:tr>
      <w:tr>
        <w:trPr/>
        <w:tc>
          <w:tcPr>
            <w:tcW w:w="2094" w:type="dxa"/>
            <w:tcBorders/>
            <w:vAlign w:val="center"/>
          </w:tcPr>
          <w:p>
            <w:pPr>
              <w:pStyle w:val="TableContents"/>
              <w:widowControl w:val="false"/>
              <w:suppressLineNumbers/>
              <w:bidi w:val="0"/>
              <w:jc w:val="left"/>
              <w:rPr/>
            </w:pPr>
            <w:r>
              <w:rPr/>
              <w:t>three model changes left untested at the freeze</w:t>
            </w:r>
          </w:p>
        </w:tc>
        <w:tc>
          <w:tcPr>
            <w:tcW w:w="3133" w:type="dxa"/>
            <w:tcBorders/>
            <w:vAlign w:val="center"/>
          </w:tcPr>
          <w:p>
            <w:pPr>
              <w:pStyle w:val="TableContents"/>
              <w:widowControl w:val="false"/>
              <w:suppressLineNumbers/>
              <w:bidi w:val="0"/>
              <w:jc w:val="left"/>
              <w:rPr/>
            </w:pPr>
            <w:r>
              <w:rPr/>
              <w:t>whether any improves the base configuration</w:t>
            </w:r>
          </w:p>
        </w:tc>
        <w:tc>
          <w:tcPr>
            <w:tcW w:w="3005" w:type="dxa"/>
            <w:tcBorders/>
            <w:vAlign w:val="center"/>
          </w:tcPr>
          <w:p>
            <w:pPr>
              <w:pStyle w:val="TableContents"/>
              <w:widowControl w:val="false"/>
              <w:suppressLineNumbers/>
              <w:bidi w:val="0"/>
              <w:jc w:val="left"/>
              <w:rPr/>
            </w:pPr>
            <w:r>
              <w:rPr/>
              <w:t>the rule for measuring them on top of it</w:t>
            </w:r>
          </w:p>
        </w:tc>
        <w:tc>
          <w:tcPr>
            <w:tcW w:w="2307" w:type="dxa"/>
            <w:tcBorders/>
            <w:vAlign w:val="center"/>
          </w:tcPr>
          <w:p>
            <w:pPr>
              <w:pStyle w:val="TableContents"/>
              <w:widowControl w:val="false"/>
              <w:suppressLineNumbers/>
              <w:bidi w:val="0"/>
              <w:jc w:val="left"/>
              <w:rPr/>
            </w:pPr>
            <w:r>
              <w:rPr/>
              <w:t>none adopted (Annex J)</w:t>
            </w:r>
          </w:p>
        </w:tc>
      </w:tr>
      <w:tr>
        <w:trPr/>
        <w:tc>
          <w:tcPr>
            <w:tcW w:w="2094" w:type="dxa"/>
            <w:tcBorders/>
            <w:vAlign w:val="center"/>
          </w:tcPr>
          <w:p>
            <w:pPr>
              <w:pStyle w:val="TableContents"/>
              <w:widowControl w:val="false"/>
              <w:suppressLineNumbers/>
              <w:bidi w:val="0"/>
              <w:jc w:val="left"/>
              <w:rPr/>
            </w:pPr>
            <w:r>
              <w:rPr/>
              <w:t>changes after the first challenge score</w:t>
            </w:r>
          </w:p>
        </w:tc>
        <w:tc>
          <w:tcPr>
            <w:tcW w:w="3133" w:type="dxa"/>
            <w:tcBorders/>
            <w:vAlign w:val="center"/>
          </w:tcPr>
          <w:p>
            <w:pPr>
              <w:pStyle w:val="TableContents"/>
              <w:widowControl w:val="false"/>
              <w:suppressLineNumbers/>
              <w:bidi w:val="0"/>
              <w:jc w:val="left"/>
              <w:rPr/>
            </w:pPr>
            <w:r>
              <w:rPr/>
              <w:t>whether each improves the base configuration on the training year</w:t>
            </w:r>
          </w:p>
        </w:tc>
        <w:tc>
          <w:tcPr>
            <w:tcW w:w="3005" w:type="dxa"/>
            <w:tcBorders/>
            <w:vAlign w:val="center"/>
          </w:tcPr>
          <w:p>
            <w:pPr>
              <w:pStyle w:val="TableContents"/>
              <w:widowControl w:val="false"/>
              <w:suppressLineNumbers/>
              <w:bidi w:val="0"/>
              <w:jc w:val="left"/>
              <w:rPr/>
            </w:pPr>
            <w:r>
              <w:rPr/>
              <w:t>a written pre-registration for each change</w:t>
            </w:r>
          </w:p>
        </w:tc>
        <w:tc>
          <w:tcPr>
            <w:tcW w:w="2307" w:type="dxa"/>
            <w:tcBorders/>
            <w:vAlign w:val="center"/>
          </w:tcPr>
          <w:p>
            <w:pPr>
              <w:pStyle w:val="TableContents"/>
              <w:widowControl w:val="false"/>
              <w:suppressLineNumbers/>
              <w:bidi w:val="0"/>
              <w:jc w:val="left"/>
              <w:rPr/>
            </w:pPr>
            <w:r>
              <w:rPr/>
              <w:t>adopted in part (§8.7, §8.8)</w:t>
            </w:r>
          </w:p>
        </w:tc>
      </w:tr>
    </w:tbl>
    <w:p>
      <w:pPr>
        <w:pStyle w:val="BodyText"/>
        <w:bidi w:val="0"/>
        <w:jc w:val="left"/>
        <w:rPr/>
      </w:pPr>
      <w:r>
        <w:rPr/>
        <w:t xml:space="preserve">Sources: </w:t>
      </w:r>
      <w:r>
        <w:rPr>
          <w:rStyle w:val="SourceText"/>
        </w:rPr>
        <w:t>reports/preregistered-2026-09-20.md</w:t>
      </w:r>
      <w:r>
        <w:rPr/>
        <w:t xml:space="preserve">, </w:t>
      </w:r>
      <w:r>
        <w:rPr>
          <w:rStyle w:val="SourceText"/>
        </w:rPr>
        <w:t>reports/preregistered-2026-09-28.md</w:t>
      </w:r>
      <w:r>
        <w:rPr/>
        <w:t xml:space="preserve">, </w:t>
      </w:r>
      <w:r>
        <w:rPr>
          <w:rStyle w:val="SourceText"/>
        </w:rPr>
        <w:t>reports/preregistered-2026-10-02.md</w:t>
      </w:r>
      <w:r>
        <w:rPr/>
        <w:t xml:space="preserve">, and </w:t>
      </w:r>
      <w:r>
        <w:rPr>
          <w:rStyle w:val="SourceText"/>
        </w:rPr>
        <w:t>reports/preregistered-2026-10-03.md</w:t>
      </w:r>
      <w:r>
        <w:rPr/>
        <w:t>, dated records.</w:t>
      </w:r>
    </w:p>
    <w:p>
      <w:pPr>
        <w:pStyle w:val="Heading2"/>
        <w:bidi w:val="0"/>
        <w:jc w:val="left"/>
        <w:rPr/>
      </w:pPr>
      <w:r>
        <w:rPr/>
        <w:t>4. The tail, and what the scoring rule makes optimal</w:t>
      </w:r>
    </w:p>
    <w:p>
      <w:pPr>
        <w:pStyle w:val="BodyText"/>
        <w:bidi w:val="0"/>
        <w:jc w:val="left"/>
        <w:rPr/>
      </w:pPr>
      <w:r>
        <w:rPr>
          <w:rStyle w:val="Emphasis"/>
        </w:rPr>
        <w:t>This section comes early and stands alone because the record-quality term is the part of the method most open to misreading. It is a rule for rows whose recorded value no aircraft produced, and it is not a fitted model.</w:t>
      </w:r>
    </w:p>
    <w:p>
      <w:pPr>
        <w:pStyle w:val="BodyText"/>
        <w:bidi w:val="0"/>
        <w:jc w:val="left"/>
        <w:rPr/>
      </w:pPr>
      <w:r>
        <w:rPr/>
        <w:t xml:space="preserve">Rows whose error under the airport mean exceeds an hour are 0.086% of training departures and carry 50.9% of that predictor's squared error. The data review read them as records shifted by a whole day. Building the term found the mechanism behind most of it instead: at one airport, a departure with no flight-plan record and a take-off hours after schedule has, nine times in ten, a recorded off-block time within a minute of the </w:t>
      </w:r>
      <w:r>
        <w:rPr>
          <w:rStyle w:val="Emphasis"/>
        </w:rPr>
        <w:t>schedule</w:t>
      </w:r>
      <w:r>
        <w:rPr/>
        <w:t>. The block time was defaulted, so the recorded "taxi-out" is the schedule lag, which every ranking departure exposes. The day-shift is real but small.</w:t>
      </w:r>
    </w:p>
    <w:p>
      <w:pPr>
        <w:pStyle w:val="BodyText"/>
        <w:bidi w:val="0"/>
        <w:jc w:val="left"/>
        <w:rPr/>
      </w:pPr>
      <w:r>
        <w:rPr/>
        <w:t xml:space="preserve">The term is the conditional mean per (airport, record, lag-band) cell, computed knowing that mechanism: </w:t>
      </w:r>
      <w:r>
        <w:rPr>
          <w:rStyle w:val="SourceText"/>
        </w:rPr>
        <w:t>share × lag + (1 − share) × rest_mean</w:t>
      </w:r>
      <w:r>
        <w:rPr/>
        <w:t xml:space="preserve">. Three cells qualify, all at one airport; they hold 383 of the 344,841 ranking rows, 107 in January and 276 in July. It is </w:t>
      </w:r>
      <w:r>
        <w:rPr>
          <w:rStyle w:val="Strong"/>
        </w:rPr>
        <w:t>the RMSE-optimal prediction under the stated scoring rule for rows whose recorded value no aircraft produced</w:t>
      </w:r>
      <w:r>
        <w:rPr/>
        <w:t>, and nothing else. Every RMSE in this paper is reported with and without the rows it covers.</w:t>
      </w:r>
    </w:p>
    <w:p>
      <w:pPr>
        <w:pStyle w:val="BodyText"/>
        <w:bidi w:val="0"/>
        <w:jc w:val="left"/>
        <w:rPr/>
      </w:pPr>
      <w:r>
        <w:rPr>
          <w:rStyle w:val="Strong"/>
        </w:rPr>
        <w:t>Why an uncovered airport is left to the physical model, and what measures that.</w:t>
      </w:r>
      <w:r>
        <w:rPr/>
        <w:t xml:space="preserve"> A cell counts as covered only where enough of its rows carry the mechanism, and an airport with no covered cell is left to the physical model entirely. The alternative considered when the term was designed was to pool cells across airports. On the 2025 validation legs a pooled design is worse than the adopted per-airport term on all three readings: 390 s against 341 on December, 586 against 461 on July pooled, and 385 against 339 on the three. That comparison is the arithmetic of the choice and not the whole of the answer. It sets a differently shaped design against the term, and the case that presses the question is not a validation leg. At Amsterdam the ranking set lists six consecutive days in January 2026 with the defaulted-record pattern, and the training year holds no such day at that airport; the longest run anywhere in 2025 is two days, at Madrid.</w:t>
      </w:r>
    </w:p>
    <w:p>
      <w:pPr>
        <w:pStyle w:val="BodyText"/>
        <w:bidi w:val="0"/>
        <w:jc w:val="left"/>
        <w:rPr/>
      </w:pPr>
      <w:r>
        <w:rPr/>
        <w:t>What settles the question is an instrument already in the data, and it measures the premise pooling rests on. That premise is that a bucket's defaulted share is a property of the defaulting mechanism rather than of the airport, so that a cell learned where the mechanism is visible may be carried to an airport where it is not. The fitted cell table measures that premise per airport and per bucket, on training rows, with no fit and no booster. It says the mechanism is at one airport: of the 432 training rows the term's own test picks out, 99.1% are at Fiumicino, and only three of the ten airports carry any at all. In the two buckets a pooled cell would serve, every other airport reads 0.0% on every leg, at row counts small enough that a single defaulted row would show. The arithmetic test sets each airport's share against two standard errors of the pooled share at that airport's own row count. On that test the premise fails in both of those buckets in each of the three training sets the legs use. Where an airport passes, it passes on the width of its interval and not on its share: in the larger bucket over the full year three airports sit inside, each at 0.0%, because at 10 to 14 rows the interval reaches down to zero. The July leg is the thin one, with 187 and 26 rows pooled in the two buckets, and the premise fails there too. Amsterdam's zero is a measurement and not a gap. Its cells hold 77 and 14 rows, well above the five-row minimum, so one defaulted row would show as 1.3% or 7.1%, and a share of zero means no defaulted row in a full year. Pooled, those cells would have predicted 4,512 s against a recorded mean of 824 s and 32,761 s against 1,212 s on Amsterdam's own 2025 rows. The pooled rule is therefore not adopted. The model version that would have tested it was not fitted, because its premise failed, and the reason is measured rather than asserted.</w:t>
      </w:r>
    </w:p>
    <w:p>
      <w:pPr>
        <w:pStyle w:val="BodyText"/>
        <w:bidi w:val="0"/>
        <w:jc w:val="left"/>
        <w:rPr/>
      </w:pPr>
      <w:r>
        <w:rPr/>
        <w:t>One limit remains, narrower than the decision it used to carry. Whether an uncovered airport's 2026 rows are themselves defaulted block times is a question about the two fields the ranking set hides, and no instrument reaches them. §7.3 states the exposure that leaves.</w:t>
      </w:r>
    </w:p>
    <w:p>
      <w:pPr>
        <w:pStyle w:val="BodyText"/>
        <w:bidi w:val="0"/>
        <w:jc w:val="left"/>
        <w:rPr/>
      </w:pPr>
      <w:r>
        <w:rPr>
          <w:rStyle w:val="Strong"/>
        </w:rPr>
        <w:t>The plan-shifted departures, added after the freeze.</w:t>
      </w:r>
      <w:r>
        <w:rPr/>
        <w:t xml:space="preserve"> One class of departure lies outside the cells' reach: a take-off more than four hours after both of the flight plan's off-block estimates, </w:t>
      </w:r>
      <w:r>
        <w:rPr>
          <w:rStyle w:val="SourceText"/>
        </w:rPr>
        <w:t>EOBT_1_flt</w:t>
      </w:r>
      <w:r>
        <w:rPr/>
        <w:t xml:space="preserve"> and </w:t>
      </w:r>
      <w:r>
        <w:rPr>
          <w:rStyle w:val="SourceText"/>
        </w:rPr>
        <w:t>LOBT_flt</w:t>
      </w:r>
      <w:r>
        <w:rPr/>
        <w:t>. The cells key on the schedule lag and on the absence of a record, and these departures have a record. The class was seen in the ranking set's exposed fields, after the freeze, in the reading of the held-out-month ladder: one July 2026 departure at Fiumicino whose plan values all lie about a day before its take-off, which the base configuration predicted at 3,120 s. The training year holds three such departures, one at Paris and two at Fiumicino. Two of them recorded a taxi-out over four hours, 21,308 s and 87,002 s, each within minutes of take-off minus the plan's last off-block estimate; the third recorded 13,865 s, under the threshold. That is the whole of the evidence. The rule was written down and its digest recorded before it was evaluated on any fold or built into any file, so that nothing about it could be chosen on its effect.</w:t>
      </w:r>
    </w:p>
    <w:p>
      <w:pPr>
        <w:pStyle w:val="BodyText"/>
        <w:bidi w:val="0"/>
        <w:jc w:val="left"/>
        <w:rPr/>
      </w:pPr>
      <w:r>
        <w:rPr/>
        <w:t xml:space="preserve">The rule takes the term's own form. The share is the add-one estimate over the class, </w:t>
      </w:r>
      <w:r>
        <w:rPr>
          <w:rStyle w:val="SourceText"/>
        </w:rPr>
        <w:t>(long + 1) / (n + 2)</w:t>
      </w:r>
      <w:r>
        <w:rPr/>
        <w:t xml:space="preserve">, which on three rows with two long reads 0.6 rather than the two thirds that three rows cannot carry. The lag is take-off minus </w:t>
      </w:r>
      <w:r>
        <w:rPr>
          <w:rStyle w:val="SourceText"/>
        </w:rPr>
        <w:t>LOBT_flt</w:t>
      </w:r>
      <w:r>
        <w:rPr/>
        <w:t xml:space="preserve">. The rest mean is the airport's mean recorded taxi-out over departures with a record and a taxi-out of four hours or less, 1,144.2 s at Fiumicino. The rule reads nothing else, never </w:t>
      </w:r>
      <w:r>
        <w:rPr>
          <w:rStyle w:val="SourceText"/>
        </w:rPr>
        <w:t>AOBT_3_flt</w:t>
      </w:r>
      <w:r>
        <w:rPr/>
        <w:t>, and it moves nothing else: the booster, its rows and its seeds, and the term's cells, are what they were. Evaluated after it was fixed, on the twelve held-out months, it touches three validation rows and lowers the RMSE over every row, the term's included, from 276.6 s to 272.4 s. The pre-registration itself says this is a statement of the arithmetic on three rows and not independent evidence that the rule is right (Annex I).</w:t>
      </w:r>
    </w:p>
    <w:p>
      <w:pPr>
        <w:pStyle w:val="BodyText"/>
        <w:bidi w:val="0"/>
        <w:jc w:val="left"/>
        <w:rPr/>
      </w:pPr>
      <w:r>
        <w:rPr/>
        <w:t>On the one ranking row the rule predicts 52,550 s, against 3,120 s before. Its effect on the RMSE over the 344,841 ranking rows depends on what the row recorded, taken on an assumed base of 300 s. If it recorded the lag, 86,820 s, the RMSE would fall from 332.1 s to 305.6 s. If it recorded an ordinary taxi-out, the airport's rest mean, the RMSE would rise from 300.0 s to 312.5. The rule gives up the best case to avoid the worst, and the share it rests on says six in ten. No data available to this work can settle which outcome the row has. The base of 300 s is an assumption and not a measurement, and the two cases are the row's two readings, not a distribution over them.</w:t>
      </w:r>
    </w:p>
    <w:p>
      <w:pPr>
        <w:pStyle w:val="BodyText"/>
        <w:bidi w:val="0"/>
        <w:jc w:val="left"/>
        <w:rPr/>
      </w:pPr>
      <w:r>
        <w:rPr/>
        <w:t xml:space="preserve">Sources: </w:t>
      </w:r>
      <w:r>
        <w:rPr>
          <w:rStyle w:val="SourceText"/>
        </w:rPr>
        <w:t>reports/tails.md</w:t>
      </w:r>
      <w:r>
        <w:rPr/>
        <w:t xml:space="preserve">, </w:t>
      </w:r>
      <w:r>
        <w:rPr>
          <w:rStyle w:val="Emphasis"/>
        </w:rPr>
        <w:t>What the tail is made of</w:t>
      </w:r>
      <w:r>
        <w:rPr/>
        <w:t xml:space="preserve">, </w:t>
      </w:r>
      <w:r>
        <w:rPr>
          <w:rStyle w:val="Emphasis"/>
        </w:rPr>
        <w:t>The cells</w:t>
      </w:r>
      <w:r>
        <w:rPr/>
        <w:t xml:space="preserve">, </w:t>
      </w:r>
      <w:r>
        <w:rPr>
          <w:rStyle w:val="Emphasis"/>
        </w:rPr>
        <w:t>Why this form, and not the others</w:t>
      </w:r>
      <w:r>
        <w:rPr/>
        <w:t xml:space="preserve">, </w:t>
      </w:r>
      <w:r>
        <w:rPr>
          <w:rStyle w:val="Emphasis"/>
        </w:rPr>
        <w:t>What it touches in the ranking set</w:t>
      </w:r>
      <w:r>
        <w:rPr/>
        <w:t xml:space="preserve">, </w:t>
      </w:r>
      <w:r>
        <w:rPr>
          <w:rStyle w:val="Emphasis"/>
        </w:rPr>
        <w:t>The plan-shifted departures</w:t>
      </w:r>
      <w:r>
        <w:rPr/>
        <w:t xml:space="preserve"> and </w:t>
      </w:r>
      <w:r>
        <w:rPr>
          <w:rStyle w:val="Emphasis"/>
        </w:rPr>
        <w:t>The pooled record-quality rule, measured</w:t>
      </w:r>
      <w:r>
        <w:rPr/>
        <w:t xml:space="preserve">; </w:t>
      </w:r>
      <w:r>
        <w:rPr>
          <w:rStyle w:val="SourceText"/>
        </w:rPr>
        <w:t>reports/planshift.md</w:t>
      </w:r>
      <w:r>
        <w:rPr/>
        <w:t xml:space="preserve">, </w:t>
      </w:r>
      <w:r>
        <w:rPr>
          <w:rStyle w:val="Emphasis"/>
        </w:rPr>
        <w:t>The class in the training year</w:t>
      </w:r>
      <w:r>
        <w:rPr/>
        <w:t xml:space="preserve">, </w:t>
      </w:r>
      <w:r>
        <w:rPr>
          <w:rStyle w:val="Emphasis"/>
        </w:rPr>
        <w:t>The rule fitted on the full year</w:t>
      </w:r>
      <w:r>
        <w:rPr/>
        <w:t xml:space="preserve">, </w:t>
      </w:r>
      <w:r>
        <w:rPr>
          <w:rStyle w:val="Emphasis"/>
        </w:rPr>
        <w:t>The one ranking departure</w:t>
      </w:r>
      <w:r>
        <w:rPr/>
        <w:t xml:space="preserve"> and </w:t>
      </w:r>
      <w:r>
        <w:rPr>
          <w:rStyle w:val="Emphasis"/>
        </w:rPr>
        <w:t>Per held-out month and on the two forward legs</w:t>
      </w:r>
      <w:r>
        <w:rPr/>
        <w:t xml:space="preserve">; </w:t>
      </w:r>
      <w:r>
        <w:rPr>
          <w:rStyle w:val="SourceText"/>
        </w:rPr>
        <w:t>reports/data_review.md</w:t>
      </w:r>
      <w:r>
        <w:rPr/>
        <w:t xml:space="preserve">, </w:t>
      </w:r>
      <w:r>
        <w:rPr>
          <w:rStyle w:val="Emphasis"/>
        </w:rPr>
        <w:t>The tail owns the metric</w:t>
      </w:r>
      <w:r>
        <w:rPr/>
        <w:t xml:space="preserve">, </w:t>
      </w:r>
      <w:r>
        <w:rPr>
          <w:rStyle w:val="Emphasis"/>
        </w:rPr>
        <w:t>Days in the ranking set that look like disruptions</w:t>
      </w:r>
      <w:r>
        <w:rPr/>
        <w:t xml:space="preserve"> and </w:t>
      </w:r>
      <w:r>
        <w:rPr>
          <w:rStyle w:val="Emphasis"/>
        </w:rPr>
        <w:t>The same days in the training year</w:t>
      </w:r>
      <w:r>
        <w:rPr/>
        <w:t>.</w:t>
      </w:r>
    </w:p>
    <w:p>
      <w:pPr>
        <w:pStyle w:val="Heading2"/>
        <w:bidi w:val="0"/>
        <w:jc w:val="left"/>
        <w:rPr/>
      </w:pPr>
      <w:r>
        <w:rPr/>
        <w:t>5. The unimpeded term</w:t>
      </w:r>
    </w:p>
    <w:p>
      <w:pPr>
        <w:pStyle w:val="Heading3"/>
        <w:bidi w:val="0"/>
        <w:jc w:val="left"/>
        <w:rPr/>
      </w:pPr>
      <w:r>
        <w:rPr/>
        <w:t>5.1 From OSM to a routable surface</w:t>
      </w:r>
    </w:p>
    <w:p>
      <w:pPr>
        <w:pStyle w:val="BodyText"/>
        <w:bidi w:val="0"/>
        <w:jc w:val="left"/>
        <w:rPr/>
      </w:pPr>
      <w:r>
        <w:rPr/>
        <w:t>Three defects are repaired to a fixed point: coincident-but-unshared nodes, nodes lying on edges they are not joined to, and ways that cross with no shared vertex. Stands are attached to the repaired graph, with the snap distance recorded per stand. Each route is described by several descriptors rather than one number: distance, turn angle on a Douglas–Peucker simplification, junction-free running and backtrack.</w:t>
      </w:r>
    </w:p>
    <w:p>
      <w:pPr>
        <w:pStyle w:val="BodyText"/>
        <w:bidi w:val="0"/>
        <w:jc w:val="left"/>
        <w:rPr/>
      </w:pPr>
      <w:r>
        <w:rPr/>
        <w:t xml:space="preserve">Sources: </w:t>
      </w:r>
      <w:r>
        <w:rPr>
          <w:rStyle w:val="SourceText"/>
        </w:rPr>
        <w:t>reports/taxi_routing.md</w:t>
      </w:r>
      <w:r>
        <w:rPr/>
        <w:t xml:space="preserve">; </w:t>
      </w:r>
      <w:r>
        <w:rPr>
          <w:rStyle w:val="SourceText"/>
        </w:rPr>
        <w:t>reports/penalty_sensitivity.md</w:t>
      </w:r>
      <w:r>
        <w:rPr/>
        <w:t xml:space="preserve">; </w:t>
      </w:r>
      <w:r>
        <w:rPr>
          <w:rStyle w:val="SourceText"/>
        </w:rPr>
        <w:t>reports/runway_crosscheck.md</w:t>
      </w:r>
      <w:r>
        <w:rPr/>
        <w:t xml:space="preserve">; </w:t>
      </w:r>
      <w:r>
        <w:rPr>
          <w:rStyle w:val="SourceText"/>
        </w:rPr>
        <w:t>docs/modelling_notes.md</w:t>
      </w:r>
      <w:r>
        <w:rPr/>
        <w:t xml:space="preserve">, </w:t>
      </w:r>
      <w:r>
        <w:rPr>
          <w:rStyle w:val="Emphasis"/>
        </w:rPr>
        <w:t>Graph construction</w:t>
      </w:r>
      <w:r>
        <w:rPr/>
        <w:t>.</w:t>
      </w:r>
    </w:p>
    <w:p>
      <w:pPr>
        <w:pStyle w:val="Heading3"/>
        <w:bidi w:val="0"/>
        <w:jc w:val="left"/>
        <w:rPr/>
      </w:pPr>
      <w:r>
        <w:rPr/>
        <w:t>5.2 A worked airport: where every number is known</w:t>
      </w:r>
    </w:p>
    <w:p>
      <w:pPr>
        <w:pStyle w:val="BodyText"/>
        <w:bidi w:val="0"/>
        <w:jc w:val="left"/>
        <w:rPr/>
      </w:pPr>
      <w:r>
        <w:rPr/>
        <w:t>A fictional field, on which every distance, turn and repair is hand-derived, is pushed through the pipeline unchanged. All 32 matrix cells agree to 11 mm and 0.10°, and the integer descriptors are exact; the runway-penalty crossovers fall where the arithmetic puts them. The field found three things in the pipeline, each below its working tolerance and each measured: overshoot and undershoot select different repairs; a merged node takes the last way's coordinates; and a two-feature stand's representative is decided by floating-point rounding. The field also carries worked traffic in the challenge's own schema, so the whole pipeline runs end to end in continuous integration without the challenge data. The worked field is how the geometry is known to be right without asking a reader to trust matrices that cannot be checked by hand.</w:t>
      </w:r>
    </w:p>
    <w:p>
      <w:pPr>
        <w:pStyle w:val="BodyText"/>
        <w:bidi w:val="0"/>
        <w:jc w:val="left"/>
        <w:rPr/>
      </w:pPr>
      <w:r>
        <w:rPr/>
        <w:drawing>
          <wp:inline distT="0" distB="0" distL="0" distR="0">
            <wp:extent cx="720090" cy="360045"/>
            <wp:effectExtent l="0" t="0" r="0" b="0"/>
            <wp:docPr id="1" name="Image1" descr="The worked air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The worked airport"/>
                    <pic:cNvPicPr>
                      <a:picLocks noChangeAspect="1" noChangeArrowheads="1"/>
                    </pic:cNvPicPr>
                  </pic:nvPicPr>
                  <pic:blipFill>
                    <a:blip r:link="rId3"/>
                    <a:stretch>
                      <a:fillRect/>
                    </a:stretch>
                  </pic:blipFill>
                  <pic:spPr bwMode="auto">
                    <a:xfrm>
                      <a:off x="0" y="0"/>
                      <a:ext cx="720090" cy="360045"/>
                    </a:xfrm>
                    <a:prstGeom prst="rect">
                      <a:avLst/>
                    </a:prstGeom>
                    <a:noFill/>
                  </pic:spPr>
                </pic:pic>
              </a:graphicData>
            </a:graphic>
          </wp:inline>
        </w:drawing>
      </w:r>
    </w:p>
    <w:p>
      <w:pPr>
        <w:pStyle w:val="BodyText"/>
        <w:bidi w:val="0"/>
        <w:jc w:val="left"/>
        <w:rPr/>
      </w:pPr>
      <w:r>
        <w:rPr>
          <w:rStyle w:val="Strong"/>
        </w:rPr>
        <w:t>Figure 1.</w:t>
      </w:r>
      <w:r>
        <w:rPr/>
        <w:t xml:space="preserve"> The worked airport. Runways are gray and taxiways blue; the two worked routes, stand 1 to runway 09 and stand 12 to runway 36, are dashed, and the circles mark the repairs the pipeline makes: a merge, a split and a crossing. Stand 11, in red, does not attach to the network. Every distance in the field is derived by hand before the pipeline runs.</w:t>
      </w:r>
    </w:p>
    <w:p>
      <w:pPr>
        <w:pStyle w:val="BodyText"/>
        <w:bidi w:val="0"/>
        <w:jc w:val="left"/>
        <w:rPr/>
      </w:pPr>
      <w:r>
        <w:rPr/>
        <w:t xml:space="preserve">Source: </w:t>
      </w:r>
      <w:r>
        <w:rPr>
          <w:rStyle w:val="SourceText"/>
        </w:rPr>
        <w:t>reports/synthetic_airport.md</w:t>
      </w:r>
      <w:r>
        <w:rPr/>
        <w:t xml:space="preserve">, </w:t>
      </w:r>
      <w:r>
        <w:rPr>
          <w:rStyle w:val="Emphasis"/>
        </w:rPr>
        <w:t>In one paragraph</w:t>
      </w:r>
      <w:r>
        <w:rPr/>
        <w:t xml:space="preserve">, </w:t>
      </w:r>
      <w:r>
        <w:rPr>
          <w:rStyle w:val="Emphasis"/>
        </w:rPr>
        <w:t>What the field found</w:t>
      </w:r>
      <w:r>
        <w:rPr/>
        <w:t xml:space="preserve"> and </w:t>
      </w:r>
      <w:r>
        <w:rPr>
          <w:rStyle w:val="Emphasis"/>
        </w:rPr>
        <w:t>Worked traffic</w:t>
      </w:r>
      <w:r>
        <w:rPr/>
        <w:t>, and its figure.</w:t>
      </w:r>
    </w:p>
    <w:p>
      <w:pPr>
        <w:pStyle w:val="Heading3"/>
        <w:bidi w:val="0"/>
        <w:jc w:val="left"/>
        <w:rPr/>
      </w:pPr>
      <w:r>
        <w:rPr/>
        <w:t>5.3 What the geometry recovers, and what it does not</w:t>
      </w:r>
    </w:p>
    <w:p>
      <w:pPr>
        <w:pStyle w:val="BodyText"/>
        <w:bidi w:val="0"/>
        <w:jc w:val="left"/>
        <w:rPr/>
      </w:pPr>
      <w:r>
        <w:rPr/>
        <w:t>Per airport, a pair's fastest decile follows its routed distance with a residual of 85–190 s and an intercept of 313–740 s that no distance explains. The largest structured effect on that decile is wake category: mediums are 35–281 s faster than heavies at the same stand and runway, uniformly across designators. That pattern is a fixed pushback-to-line-up difference and not intersection use. Intersection departures proper leave a signature of at most 96 s per designator, constant, and absorbed by any model knowing the designator. Which stands use which entry is unobservable without surface tracks.</w:t>
      </w:r>
    </w:p>
    <w:p>
      <w:pPr>
        <w:pStyle w:val="BodyText"/>
        <w:bidi w:val="0"/>
        <w:jc w:val="left"/>
        <w:rPr/>
      </w:pPr>
      <w:r>
        <w:rPr/>
        <w:t xml:space="preserve">Source: </w:t>
      </w:r>
      <w:r>
        <w:rPr>
          <w:rStyle w:val="SourceText"/>
        </w:rPr>
        <w:t>reports/geometry_gaps.md</w:t>
      </w:r>
      <w:r>
        <w:rPr/>
        <w:t xml:space="preserve">, </w:t>
      </w:r>
      <w:r>
        <w:rPr>
          <w:rStyle w:val="Emphasis"/>
        </w:rPr>
        <w:t>In one paragraph</w:t>
      </w:r>
      <w:r>
        <w:rPr/>
        <w:t xml:space="preserve">, </w:t>
      </w:r>
      <w:r>
        <w:rPr>
          <w:rStyle w:val="Emphasis"/>
        </w:rPr>
        <w:t>The fit</w:t>
      </w:r>
      <w:r>
        <w:rPr/>
        <w:t xml:space="preserve">, </w:t>
      </w:r>
      <w:r>
        <w:rPr>
          <w:rStyle w:val="Emphasis"/>
        </w:rPr>
        <w:t>The fastest decile by wake category</w:t>
      </w:r>
      <w:r>
        <w:rPr/>
        <w:t xml:space="preserve"> and </w:t>
      </w:r>
      <w:r>
        <w:rPr>
          <w:rStyle w:val="Emphasis"/>
        </w:rPr>
        <w:t>The intersection signature, per designator</w:t>
      </w:r>
      <w:r>
        <w:rPr/>
        <w:t>.</w:t>
      </w:r>
    </w:p>
    <w:p>
      <w:pPr>
        <w:pStyle w:val="Heading3"/>
        <w:bidi w:val="0"/>
        <w:jc w:val="left"/>
        <w:rPr/>
      </w:pPr>
      <w:r>
        <w:rPr/>
        <w:t>5.4 Where memorization runs out, and what replaces it</w:t>
      </w:r>
    </w:p>
    <w:p>
      <w:pPr>
        <w:pStyle w:val="BodyText"/>
        <w:bidi w:val="0"/>
        <w:jc w:val="left"/>
        <w:rPr/>
      </w:pPr>
      <w:r>
        <w:rPr>
          <w:rStyle w:val="Strong"/>
        </w:rPr>
        <w:t>How much of the test set is thin.</w:t>
      </w:r>
      <w:r>
        <w:rPr/>
        <w:t xml:space="preserve"> Of the 344,841 ranking departures, 0.72% sit on a (stand, runway) pair the training year never saw, 1.20% on a pair seen ten times or fewer, and 9.08% on a pair seen between eleven and a hundred times: </w:t>
      </w:r>
      <w:r>
        <w:rPr>
          <w:rStyle w:val="Strong"/>
        </w:rPr>
        <w:t>11.0% in total</w:t>
      </w:r>
      <w:r>
        <w:rPr/>
        <w:t>. The share is uneven across airports. Paris has 20.48% of its rows on thin pairs (seen a hundred times or fewer), 19.07% on pairs seen eleven to a hundred times alone, and Madrid 15.57%. Frankfurt has 2.37% never-seen and 4.05% at ten or fewer, and Munich 4.57% never-seen. Heathrow has 0.18% and 0.28%, and 2.08% thin in all. July has 1.20% never-seen against January's 0.13%. Across the ten airports, 46 stands appear in 2026 that appear in no 2025 departure. They are at nine of the ten and carry 1,589 ranking rows. Zurich contributes eleven of them and Munich ten, but Munich's ten carry 1,182 of the 1,589 rows and Frankfurt's six another 300. One runway designator is new, on two rows. The never-seen bucket, 2,496 rows, splits into 1,589 on a new stand, two on the new designator, and 905 on a stand and a runway the training year saw separately and never together. The last kind is what the held-out-pair split measures; the first is the case no split of the training data can pose.</w:t>
      </w:r>
    </w:p>
    <w:p>
      <w:pPr>
        <w:pStyle w:val="BodyText"/>
        <w:bidi w:val="0"/>
        <w:jc w:val="left"/>
        <w:rPr/>
      </w:pPr>
      <w:r>
        <w:rPr>
          <w:rStyle w:val="Strong"/>
        </w:rPr>
        <w:t>A pair's own mean is worse than ignoring the pair where it is thin.</w:t>
      </w:r>
      <w:r>
        <w:rPr/>
        <w:t xml:space="preserve"> On the December forward split, predicting a pair by its training mean scores 571.9 s on pairs seen one to ten times, worse than ignoring the pair and predicting the airport mean, 519.0 s. On July the same comparison is 543.1 against 498.3. A mean over a handful of draws from a distribution several hundred seconds wide is noise that passes for knowledge of the pair.</w:t>
      </w:r>
    </w:p>
    <w:p>
      <w:pPr>
        <w:pStyle w:val="BodyText"/>
        <w:bidi w:val="0"/>
        <w:jc w:val="left"/>
        <w:rPr/>
      </w:pPr>
      <w:r>
        <w:rPr>
          <w:rStyle w:val="Strong"/>
        </w:rPr>
        <w:t>The geometry is the better prior, and by more than the usual one.</w:t>
      </w:r>
      <w:r>
        <w:rPr/>
        <w:t xml:space="preserve"> The textbook remedy, shrinking the pair mean toward an estimate, depends on what it is shrunk toward. Toward the airport mean, the standard choice, the December bucket improves to 454.5 s. Toward the geometric prediction for that specific pair, with the shrinkage weight estimated per airport by the same construction the encoding of §7.4 uses, it improves to </w:t>
      </w:r>
      <w:r>
        <w:rPr>
          <w:rStyle w:val="Strong"/>
        </w:rPr>
        <w:t>433.3 s</w:t>
      </w:r>
      <w:r>
        <w:rPr/>
        <w:t>. The geometric prior is worth 21.1 s more than the group prior on that bucket in December and 20.7 s in July. On the never-seen bucket, where the two priors stand bare with no pair mean to shrink, the margin is 19.7 and 22.9 s. On pairs seen more than a hundred times every version of the pair mean agrees to a second, because the count swamps the weight. Where memorization works, the prior does not matter; where it runs out, which prior it runs out to is the whole question. Per airport, the geometry explains 4% to 61% of the between-pair variance the airport mean leaves, which is why a pair's handful of draws is weighed less against it.</w:t>
      </w:r>
    </w:p>
    <w:p>
      <w:pPr>
        <w:pStyle w:val="BodyText"/>
        <w:bidi w:val="0"/>
        <w:jc w:val="left"/>
        <w:rPr/>
      </w:pPr>
      <w:r>
        <w:rPr>
          <w:rStyle w:val="Strong"/>
        </w:rPr>
        <w:t>The relation transfers between airports.</w:t>
      </w:r>
      <w:r>
        <w:rPr/>
        <w:t xml:space="preserve"> Fitted on nine airports and applied to the tenth, with no stand, pair or airport-level quantity of the tenth available, the transfer model beats the only baseline available without it, the grand mean of the other nine, at </w:t>
      </w:r>
      <w:r>
        <w:rPr>
          <w:rStyle w:val="Strong"/>
        </w:rPr>
        <w:t>ten airports out of ten</w:t>
      </w:r>
      <w:r>
        <w:rPr/>
        <w:t xml:space="preserve">. It wins by a median of 23.6% and by as much as 43.4% at Heathrow. The transfer model is the geometry plus the clock, the aircraft, the plan lags, the traffic in the window and the weather, with every identifier removed. The geometric term </w:t>
      </w:r>
      <w:r>
        <w:rPr>
          <w:rStyle w:val="Emphasis"/>
        </w:rPr>
        <w:t>alone</w:t>
      </w:r>
      <w:r>
        <w:rPr/>
        <w:t>, two fitted numbers (a speed and an intercept) and five adjustments shared across airports, beats that mean at eight of ten and loses at Munich and Heathrow, by 4.1% and 1.5%. The speed the ten leave-one-out fits recover runs from 11.8 to 13.2 m/s, a 12% spread about 12.42 m/s, with the intercept at 434 to 500 s and the offset at 251 to 276 s. That stability is the finding. The relation behaves as a transferable physical quantity rather than a per-airport adjustment, and it is the one thing in this work that an identifier model cannot reproduce even in principle, because at an unseen airport such a model has nothing to encode.</w:t>
      </w:r>
    </w:p>
    <w:p>
      <w:pPr>
        <w:pStyle w:val="BodyText"/>
        <w:bidi w:val="0"/>
        <w:jc w:val="left"/>
        <w:rPr/>
      </w:pPr>
      <w:r>
        <w:rPr/>
        <w:t xml:space="preserve">Sources: </w:t>
      </w:r>
      <w:r>
        <w:rPr>
          <w:rStyle w:val="SourceText"/>
        </w:rPr>
        <w:t>reports/geometry_gaps.md</w:t>
      </w:r>
      <w:r>
        <w:rPr/>
        <w:t xml:space="preserve">, </w:t>
      </w:r>
      <w:r>
        <w:rPr>
          <w:rStyle w:val="Emphasis"/>
        </w:rPr>
        <w:t>Where memorization runs out</w:t>
      </w:r>
      <w:r>
        <w:rPr/>
        <w:t xml:space="preserve">, which carries the per-airport and per-month tables, the new-stand table with the shape of each identifier, both forward splits by bucket, and the shrinkage weights, none of them restated here; </w:t>
      </w:r>
      <w:r>
        <w:rPr>
          <w:rStyle w:val="SourceText"/>
        </w:rPr>
        <w:t>reports/transfer.md</w:t>
      </w:r>
      <w:r>
        <w:rPr/>
        <w:t xml:space="preserve">, </w:t>
      </w:r>
      <w:r>
        <w:rPr>
          <w:rStyle w:val="Emphasis"/>
        </w:rPr>
        <w:t>The speed, ten times over</w:t>
      </w:r>
      <w:r>
        <w:rPr/>
        <w:t xml:space="preserve"> and </w:t>
      </w:r>
      <w:r>
        <w:rPr>
          <w:rStyle w:val="Emphasis"/>
        </w:rPr>
        <w:t>RMSE, per held-out airport</w:t>
      </w:r>
      <w:r>
        <w:rPr/>
        <w:t>, for the per-airport transfer table, likewise.</w:t>
      </w:r>
    </w:p>
    <w:p>
      <w:pPr>
        <w:pStyle w:val="Heading3"/>
        <w:bidi w:val="0"/>
        <w:jc w:val="left"/>
        <w:rPr/>
      </w:pPr>
      <w:r>
        <w:rPr/>
        <w:t>5.5 Taking the model to a new airport</w:t>
      </w:r>
    </w:p>
    <w:p>
      <w:pPr>
        <w:pStyle w:val="BodyText"/>
        <w:bidi w:val="0"/>
        <w:jc w:val="left"/>
        <w:rPr/>
      </w:pPr>
      <w:r>
        <w:rPr/>
        <w:t>The model needs different amounts from a new airport depending on how much of it is used. The geometric term needs only a map. The transfer model of §5.4 needs the airport's traffic, flight plans and weather but no recorded taxi-out. The full model needs about a year of the airport's own history. The first two were measured by leaving each of the ten airports out in turn; the third was not measured at an unseen airport, and its evidence comes from the ten.</w:t>
      </w:r>
    </w:p>
    <w:p>
      <w:pPr>
        <w:pStyle w:val="BodyText"/>
        <w:bidi w:val="0"/>
        <w:jc w:val="left"/>
        <w:rPr/>
      </w:pPr>
      <w:r>
        <w:rPr>
          <w:rStyle w:val="Strong"/>
        </w:rPr>
        <w:t>What the airport has to supply.</w:t>
      </w:r>
    </w:p>
    <w:tbl>
      <w:tblPr>
        <w:tblW w:w="10539" w:type="dxa"/>
        <w:jc w:val="left"/>
        <w:tblInd w:w="28" w:type="dxa"/>
        <w:tblLayout w:type="fixed"/>
        <w:tblCellMar>
          <w:top w:w="28" w:type="dxa"/>
          <w:left w:w="28" w:type="dxa"/>
          <w:bottom w:w="28" w:type="dxa"/>
          <w:right w:w="28" w:type="dxa"/>
        </w:tblCellMar>
      </w:tblPr>
      <w:tblGrid>
        <w:gridCol w:w="3085"/>
        <w:gridCol w:w="2653"/>
        <w:gridCol w:w="2187"/>
        <w:gridCol w:w="2614"/>
      </w:tblGrid>
      <w:tr>
        <w:trPr>
          <w:tblHeader w:val="true"/>
        </w:trPr>
        <w:tc>
          <w:tcPr>
            <w:tcW w:w="3085" w:type="dxa"/>
            <w:tcBorders/>
            <w:vAlign w:val="center"/>
          </w:tcPr>
          <w:p>
            <w:pPr>
              <w:pStyle w:val="TableHeading"/>
              <w:suppressLineNumbers/>
              <w:bidi w:val="0"/>
              <w:jc w:val="center"/>
              <w:rPr/>
            </w:pPr>
            <w:r>
              <w:rPr/>
              <w:t>input</w:t>
            </w:r>
          </w:p>
        </w:tc>
        <w:tc>
          <w:tcPr>
            <w:tcW w:w="2653" w:type="dxa"/>
            <w:tcBorders/>
            <w:vAlign w:val="center"/>
          </w:tcPr>
          <w:p>
            <w:pPr>
              <w:pStyle w:val="TableHeading"/>
              <w:suppressLineNumbers/>
              <w:bidi w:val="0"/>
              <w:jc w:val="center"/>
              <w:rPr/>
            </w:pPr>
            <w:r>
              <w:rPr/>
              <w:t>used for</w:t>
            </w:r>
          </w:p>
        </w:tc>
        <w:tc>
          <w:tcPr>
            <w:tcW w:w="2187" w:type="dxa"/>
            <w:tcBorders/>
            <w:vAlign w:val="center"/>
          </w:tcPr>
          <w:p>
            <w:pPr>
              <w:pStyle w:val="TableHeading"/>
              <w:suppressLineNumbers/>
              <w:bidi w:val="0"/>
              <w:jc w:val="center"/>
              <w:rPr/>
            </w:pPr>
            <w:r>
              <w:rPr/>
              <w:t>where this work gets it</w:t>
            </w:r>
          </w:p>
        </w:tc>
        <w:tc>
          <w:tcPr>
            <w:tcW w:w="2614" w:type="dxa"/>
            <w:tcBorders/>
            <w:vAlign w:val="center"/>
          </w:tcPr>
          <w:p>
            <w:pPr>
              <w:pStyle w:val="TableHeading"/>
              <w:suppressLineNumbers/>
              <w:bidi w:val="0"/>
              <w:jc w:val="center"/>
              <w:rPr/>
            </w:pPr>
            <w:r>
              <w:rPr/>
              <w:t>without it</w:t>
            </w:r>
          </w:p>
        </w:tc>
      </w:tr>
      <w:tr>
        <w:trPr/>
        <w:tc>
          <w:tcPr>
            <w:tcW w:w="3085" w:type="dxa"/>
            <w:tcBorders/>
            <w:vAlign w:val="center"/>
          </w:tcPr>
          <w:p>
            <w:pPr>
              <w:pStyle w:val="TableContents"/>
              <w:widowControl w:val="false"/>
              <w:suppressLineNumbers/>
              <w:bidi w:val="0"/>
              <w:jc w:val="left"/>
              <w:rPr/>
            </w:pPr>
            <w:r>
              <w:rPr/>
              <w:t>the aerodrome reference point and a search radius that encloses the movement area</w:t>
            </w:r>
          </w:p>
        </w:tc>
        <w:tc>
          <w:tcPr>
            <w:tcW w:w="2653" w:type="dxa"/>
            <w:tcBorders/>
            <w:vAlign w:val="center"/>
          </w:tcPr>
          <w:p>
            <w:pPr>
              <w:pStyle w:val="TableContents"/>
              <w:widowControl w:val="false"/>
              <w:suppressLineNumbers/>
              <w:bidi w:val="0"/>
              <w:jc w:val="left"/>
              <w:rPr/>
            </w:pPr>
            <w:r>
              <w:rPr/>
              <w:t>the extent of the map extract</w:t>
            </w:r>
          </w:p>
        </w:tc>
        <w:tc>
          <w:tcPr>
            <w:tcW w:w="2187" w:type="dxa"/>
            <w:tcBorders/>
            <w:vAlign w:val="center"/>
          </w:tcPr>
          <w:p>
            <w:pPr>
              <w:pStyle w:val="TableContents"/>
              <w:widowControl w:val="false"/>
              <w:suppressLineNumbers/>
              <w:bidi w:val="0"/>
              <w:jc w:val="left"/>
              <w:rPr/>
            </w:pPr>
            <w:r>
              <w:rPr/>
              <w:t>published aerodrome reference points</w:t>
            </w:r>
          </w:p>
        </w:tc>
        <w:tc>
          <w:tcPr>
            <w:tcW w:w="2614" w:type="dxa"/>
            <w:tcBorders/>
            <w:vAlign w:val="center"/>
          </w:tcPr>
          <w:p>
            <w:pPr>
              <w:pStyle w:val="TableContents"/>
              <w:widowControl w:val="false"/>
              <w:suppressLineNumbers/>
              <w:bidi w:val="0"/>
              <w:jc w:val="left"/>
              <w:rPr/>
            </w:pPr>
            <w:r>
              <w:rPr/>
              <w:t>no map can be built</w:t>
            </w:r>
          </w:p>
        </w:tc>
      </w:tr>
      <w:tr>
        <w:trPr/>
        <w:tc>
          <w:tcPr>
            <w:tcW w:w="3085" w:type="dxa"/>
            <w:tcBorders/>
            <w:vAlign w:val="center"/>
          </w:tcPr>
          <w:p>
            <w:pPr>
              <w:pStyle w:val="TableContents"/>
              <w:widowControl w:val="false"/>
              <w:suppressLineNumbers/>
              <w:bidi w:val="0"/>
              <w:jc w:val="left"/>
              <w:rPr/>
            </w:pPr>
            <w:r>
              <w:rPr/>
              <w:t>OpenStreetMap aeroway features: taxiways, runways, aprons and parking positions</w:t>
            </w:r>
          </w:p>
        </w:tc>
        <w:tc>
          <w:tcPr>
            <w:tcW w:w="2653" w:type="dxa"/>
            <w:tcBorders/>
            <w:vAlign w:val="center"/>
          </w:tcPr>
          <w:p>
            <w:pPr>
              <w:pStyle w:val="TableContents"/>
              <w:widowControl w:val="false"/>
              <w:suppressLineNumbers/>
              <w:bidi w:val="0"/>
              <w:jc w:val="left"/>
              <w:rPr/>
            </w:pPr>
            <w:r>
              <w:rPr/>
              <w:t>the routable surface</w:t>
            </w:r>
          </w:p>
        </w:tc>
        <w:tc>
          <w:tcPr>
            <w:tcW w:w="2187" w:type="dxa"/>
            <w:tcBorders/>
            <w:vAlign w:val="center"/>
          </w:tcPr>
          <w:p>
            <w:pPr>
              <w:pStyle w:val="TableContents"/>
              <w:widowControl w:val="false"/>
              <w:suppressLineNumbers/>
              <w:bidi w:val="0"/>
              <w:jc w:val="left"/>
              <w:rPr/>
            </w:pPr>
            <w:r>
              <w:rPr/>
              <w:t>one cached Overpass extract, with its fetch time pinned</w:t>
            </w:r>
          </w:p>
        </w:tc>
        <w:tc>
          <w:tcPr>
            <w:tcW w:w="2614" w:type="dxa"/>
            <w:tcBorders/>
            <w:vAlign w:val="center"/>
          </w:tcPr>
          <w:p>
            <w:pPr>
              <w:pStyle w:val="TableContents"/>
              <w:widowControl w:val="false"/>
              <w:suppressLineNumbers/>
              <w:bidi w:val="0"/>
              <w:jc w:val="left"/>
              <w:rPr/>
            </w:pPr>
            <w:r>
              <w:rPr/>
              <w:t>no geometry</w:t>
            </w:r>
          </w:p>
        </w:tc>
      </w:tr>
      <w:tr>
        <w:trPr/>
        <w:tc>
          <w:tcPr>
            <w:tcW w:w="3085" w:type="dxa"/>
            <w:tcBorders/>
            <w:vAlign w:val="center"/>
          </w:tcPr>
          <w:p>
            <w:pPr>
              <w:pStyle w:val="TableContents"/>
              <w:widowControl w:val="false"/>
              <w:suppressLineNumbers/>
              <w:bidi w:val="0"/>
              <w:jc w:val="left"/>
              <w:rPr/>
            </w:pPr>
            <w:r>
              <w:rPr/>
              <w:t>the stand identifier on each mapped parking position, in the same code the operator's data uses</w:t>
            </w:r>
          </w:p>
        </w:tc>
        <w:tc>
          <w:tcPr>
            <w:tcW w:w="2653" w:type="dxa"/>
            <w:tcBorders/>
            <w:vAlign w:val="center"/>
          </w:tcPr>
          <w:p>
            <w:pPr>
              <w:pStyle w:val="TableContents"/>
              <w:widowControl w:val="false"/>
              <w:suppressLineNumbers/>
              <w:bidi w:val="0"/>
              <w:jc w:val="left"/>
              <w:rPr/>
            </w:pPr>
            <w:r>
              <w:rPr/>
              <w:t>joining a departure to its route</w:t>
            </w:r>
          </w:p>
        </w:tc>
        <w:tc>
          <w:tcPr>
            <w:tcW w:w="2187" w:type="dxa"/>
            <w:tcBorders/>
            <w:vAlign w:val="center"/>
          </w:tcPr>
          <w:p>
            <w:pPr>
              <w:pStyle w:val="TableContents"/>
              <w:widowControl w:val="false"/>
              <w:suppressLineNumbers/>
              <w:bidi w:val="0"/>
              <w:jc w:val="left"/>
              <w:rPr/>
            </w:pPr>
            <w:r>
              <w:rPr/>
              <w:t xml:space="preserve">the </w:t>
            </w:r>
            <w:r>
              <w:rPr>
                <w:rStyle w:val="SourceText"/>
              </w:rPr>
              <w:t>ref</w:t>
            </w:r>
            <w:r>
              <w:rPr/>
              <w:t xml:space="preserve">, </w:t>
            </w:r>
            <w:r>
              <w:rPr>
                <w:rStyle w:val="SourceText"/>
              </w:rPr>
              <w:t>aeroway:ref</w:t>
            </w:r>
            <w:r>
              <w:rPr/>
              <w:t xml:space="preserve">, </w:t>
            </w:r>
            <w:r>
              <w:rPr>
                <w:rStyle w:val="SourceText"/>
              </w:rPr>
              <w:t>local_ref</w:t>
            </w:r>
            <w:r>
              <w:rPr/>
              <w:t xml:space="preserve"> and </w:t>
            </w:r>
            <w:r>
              <w:rPr>
                <w:rStyle w:val="SourceText"/>
              </w:rPr>
              <w:t>name</w:t>
            </w:r>
            <w:r>
              <w:rPr/>
              <w:t xml:space="preserve"> tags</w:t>
            </w:r>
          </w:p>
        </w:tc>
        <w:tc>
          <w:tcPr>
            <w:tcW w:w="2614" w:type="dxa"/>
            <w:tcBorders/>
            <w:vAlign w:val="center"/>
          </w:tcPr>
          <w:p>
            <w:pPr>
              <w:pStyle w:val="TableContents"/>
              <w:widowControl w:val="false"/>
              <w:suppressLineNumbers/>
              <w:bidi w:val="0"/>
              <w:jc w:val="left"/>
              <w:rPr/>
            </w:pPr>
            <w:r>
              <w:rPr/>
              <w:t>the stand's distance features fall back to airport-level constants; coverage is audited per airport</w:t>
            </w:r>
          </w:p>
        </w:tc>
      </w:tr>
      <w:tr>
        <w:trPr/>
        <w:tc>
          <w:tcPr>
            <w:tcW w:w="3085" w:type="dxa"/>
            <w:tcBorders/>
            <w:vAlign w:val="center"/>
          </w:tcPr>
          <w:p>
            <w:pPr>
              <w:pStyle w:val="TableContents"/>
              <w:widowControl w:val="false"/>
              <w:suppressLineNumbers/>
              <w:bidi w:val="0"/>
              <w:jc w:val="left"/>
              <w:rPr/>
            </w:pPr>
            <w:r>
              <w:rPr/>
              <w:t>the departure record: stand, runway, take-off time in UTC, aircraft type and wake class, operator, destination</w:t>
            </w:r>
          </w:p>
        </w:tc>
        <w:tc>
          <w:tcPr>
            <w:tcW w:w="2653" w:type="dxa"/>
            <w:tcBorders/>
            <w:vAlign w:val="center"/>
          </w:tcPr>
          <w:p>
            <w:pPr>
              <w:pStyle w:val="TableContents"/>
              <w:widowControl w:val="false"/>
              <w:suppressLineNumbers/>
              <w:bidi w:val="0"/>
              <w:jc w:val="left"/>
              <w:rPr/>
            </w:pPr>
            <w:r>
              <w:rPr/>
              <w:t>the identifier, time and aircraft blocks</w:t>
            </w:r>
          </w:p>
        </w:tc>
        <w:tc>
          <w:tcPr>
            <w:tcW w:w="2187" w:type="dxa"/>
            <w:tcBorders/>
            <w:vAlign w:val="center"/>
          </w:tcPr>
          <w:p>
            <w:pPr>
              <w:pStyle w:val="TableContents"/>
              <w:widowControl w:val="false"/>
              <w:suppressLineNumbers/>
              <w:bidi w:val="0"/>
              <w:jc w:val="left"/>
              <w:rPr/>
            </w:pPr>
            <w:r>
              <w:rPr/>
              <w:t>the operator's or the network's movement data</w:t>
            </w:r>
          </w:p>
        </w:tc>
        <w:tc>
          <w:tcPr>
            <w:tcW w:w="2614" w:type="dxa"/>
            <w:tcBorders/>
            <w:vAlign w:val="center"/>
          </w:tcPr>
          <w:p>
            <w:pPr>
              <w:pStyle w:val="TableContents"/>
              <w:widowControl w:val="false"/>
              <w:suppressLineNumbers/>
              <w:bidi w:val="0"/>
              <w:jc w:val="left"/>
              <w:rPr/>
            </w:pPr>
            <w:r>
              <w:rPr/>
              <w:t>the blocks that read it are absent</w:t>
            </w:r>
          </w:p>
        </w:tc>
      </w:tr>
      <w:tr>
        <w:trPr/>
        <w:tc>
          <w:tcPr>
            <w:tcW w:w="3085" w:type="dxa"/>
            <w:tcBorders/>
            <w:vAlign w:val="center"/>
          </w:tcPr>
          <w:p>
            <w:pPr>
              <w:pStyle w:val="TableContents"/>
              <w:widowControl w:val="false"/>
              <w:suppressLineNumbers/>
              <w:bidi w:val="0"/>
              <w:jc w:val="left"/>
              <w:rPr/>
            </w:pPr>
            <w:r>
              <w:rPr/>
              <w:t>the flight plan: scheduled time and the plan's off-block estimates</w:t>
            </w:r>
          </w:p>
        </w:tc>
        <w:tc>
          <w:tcPr>
            <w:tcW w:w="2653" w:type="dxa"/>
            <w:tcBorders/>
            <w:vAlign w:val="center"/>
          </w:tcPr>
          <w:p>
            <w:pPr>
              <w:pStyle w:val="TableContents"/>
              <w:widowControl w:val="false"/>
              <w:suppressLineNumbers/>
              <w:bidi w:val="0"/>
              <w:jc w:val="left"/>
              <w:rPr/>
            </w:pPr>
            <w:r>
              <w:rPr/>
              <w:t>the plan lags, the strongest single feature (62.9 s over the year, §8.4)</w:t>
            </w:r>
          </w:p>
        </w:tc>
        <w:tc>
          <w:tcPr>
            <w:tcW w:w="2187" w:type="dxa"/>
            <w:tcBorders/>
            <w:vAlign w:val="center"/>
          </w:tcPr>
          <w:p>
            <w:pPr>
              <w:pStyle w:val="TableContents"/>
              <w:widowControl w:val="false"/>
              <w:suppressLineNumbers/>
              <w:bidi w:val="0"/>
              <w:jc w:val="left"/>
              <w:rPr/>
            </w:pPr>
            <w:r>
              <w:rPr/>
              <w:t>the Network Manager record</w:t>
            </w:r>
          </w:p>
        </w:tc>
        <w:tc>
          <w:tcPr>
            <w:tcW w:w="2614" w:type="dxa"/>
            <w:tcBorders/>
            <w:vAlign w:val="center"/>
          </w:tcPr>
          <w:p>
            <w:pPr>
              <w:pStyle w:val="TableContents"/>
              <w:widowControl w:val="false"/>
              <w:suppressLineNumbers/>
              <w:bidi w:val="0"/>
              <w:jc w:val="left"/>
              <w:rPr/>
            </w:pPr>
            <w:r>
              <w:rPr/>
              <w:t>the model loses its strongest feature</w:t>
            </w:r>
          </w:p>
        </w:tc>
      </w:tr>
      <w:tr>
        <w:trPr/>
        <w:tc>
          <w:tcPr>
            <w:tcW w:w="3085" w:type="dxa"/>
            <w:tcBorders/>
            <w:vAlign w:val="center"/>
          </w:tcPr>
          <w:p>
            <w:pPr>
              <w:pStyle w:val="TableContents"/>
              <w:widowControl w:val="false"/>
              <w:suppressLineNumbers/>
              <w:bidi w:val="0"/>
              <w:jc w:val="left"/>
              <w:rPr/>
            </w:pPr>
            <w:r>
              <w:rPr/>
              <w:t>the other movements around each take-off: times, runways, arrivals and their on-block times</w:t>
            </w:r>
          </w:p>
        </w:tc>
        <w:tc>
          <w:tcPr>
            <w:tcW w:w="2653" w:type="dxa"/>
            <w:tcBorders/>
            <w:vAlign w:val="center"/>
          </w:tcPr>
          <w:p>
            <w:pPr>
              <w:pStyle w:val="TableContents"/>
              <w:widowControl w:val="false"/>
              <w:suppressLineNumbers/>
              <w:bidi w:val="0"/>
              <w:jc w:val="left"/>
              <w:rPr/>
            </w:pPr>
            <w:r>
              <w:rPr/>
              <w:t>the congestion, corridor and occupancy blocks</w:t>
            </w:r>
          </w:p>
        </w:tc>
        <w:tc>
          <w:tcPr>
            <w:tcW w:w="2187" w:type="dxa"/>
            <w:tcBorders/>
            <w:vAlign w:val="center"/>
          </w:tcPr>
          <w:p>
            <w:pPr>
              <w:pStyle w:val="TableContents"/>
              <w:widowControl w:val="false"/>
              <w:suppressLineNumbers/>
              <w:bidi w:val="0"/>
              <w:jc w:val="left"/>
              <w:rPr/>
            </w:pPr>
            <w:r>
              <w:rPr/>
              <w:t>the same movement data, every movement at the airport</w:t>
            </w:r>
          </w:p>
        </w:tc>
        <w:tc>
          <w:tcPr>
            <w:tcW w:w="2614" w:type="dxa"/>
            <w:tcBorders/>
            <w:vAlign w:val="center"/>
          </w:tcPr>
          <w:p>
            <w:pPr>
              <w:pStyle w:val="TableContents"/>
              <w:widowControl w:val="false"/>
              <w:suppressLineNumbers/>
              <w:bidi w:val="0"/>
              <w:jc w:val="left"/>
              <w:rPr/>
            </w:pPr>
            <w:r>
              <w:rPr/>
              <w:t>those blocks are absent; the plan lags carry most of the congestion signal (§8.4)</w:t>
            </w:r>
          </w:p>
        </w:tc>
      </w:tr>
      <w:tr>
        <w:trPr/>
        <w:tc>
          <w:tcPr>
            <w:tcW w:w="3085" w:type="dxa"/>
            <w:tcBorders/>
            <w:vAlign w:val="center"/>
          </w:tcPr>
          <w:p>
            <w:pPr>
              <w:pStyle w:val="TableContents"/>
              <w:widowControl w:val="false"/>
              <w:suppressLineNumbers/>
              <w:bidi w:val="0"/>
              <w:jc w:val="left"/>
              <w:rPr/>
            </w:pPr>
            <w:r>
              <w:rPr/>
              <w:t>a METAR archive for the airport's station</w:t>
            </w:r>
          </w:p>
        </w:tc>
        <w:tc>
          <w:tcPr>
            <w:tcW w:w="2653" w:type="dxa"/>
            <w:tcBorders/>
            <w:vAlign w:val="center"/>
          </w:tcPr>
          <w:p>
            <w:pPr>
              <w:pStyle w:val="TableContents"/>
              <w:widowControl w:val="false"/>
              <w:suppressLineNumbers/>
              <w:bidi w:val="0"/>
              <w:jc w:val="left"/>
              <w:rPr/>
            </w:pPr>
            <w:r>
              <w:rPr/>
              <w:t>the three weather regime flags</w:t>
            </w:r>
          </w:p>
        </w:tc>
        <w:tc>
          <w:tcPr>
            <w:tcW w:w="2187" w:type="dxa"/>
            <w:tcBorders/>
            <w:vAlign w:val="center"/>
          </w:tcPr>
          <w:p>
            <w:pPr>
              <w:pStyle w:val="TableContents"/>
              <w:widowControl w:val="false"/>
              <w:suppressLineNumbers/>
              <w:bidi w:val="0"/>
              <w:jc w:val="left"/>
              <w:rPr/>
            </w:pPr>
            <w:r>
              <w:rPr/>
              <w:t>the Iowa Environmental Mesonet archive, public domain</w:t>
            </w:r>
          </w:p>
        </w:tc>
        <w:tc>
          <w:tcPr>
            <w:tcW w:w="2614" w:type="dxa"/>
            <w:tcBorders/>
            <w:vAlign w:val="center"/>
          </w:tcPr>
          <w:p>
            <w:pPr>
              <w:pStyle w:val="TableContents"/>
              <w:widowControl w:val="false"/>
              <w:suppressLineNumbers/>
              <w:bidi w:val="0"/>
              <w:jc w:val="left"/>
              <w:rPr/>
            </w:pPr>
            <w:r>
              <w:rPr/>
              <w:t>the weather block is absent</w:t>
            </w:r>
          </w:p>
        </w:tc>
      </w:tr>
      <w:tr>
        <w:trPr/>
        <w:tc>
          <w:tcPr>
            <w:tcW w:w="3085" w:type="dxa"/>
            <w:tcBorders/>
            <w:vAlign w:val="center"/>
          </w:tcPr>
          <w:p>
            <w:pPr>
              <w:pStyle w:val="TableContents"/>
              <w:widowControl w:val="false"/>
              <w:suppressLineNumbers/>
              <w:bidi w:val="0"/>
              <w:jc w:val="left"/>
              <w:rPr/>
            </w:pPr>
            <w:r>
              <w:rPr/>
              <w:t>the airport's country</w:t>
            </w:r>
          </w:p>
        </w:tc>
        <w:tc>
          <w:tcPr>
            <w:tcW w:w="2653" w:type="dxa"/>
            <w:tcBorders/>
            <w:vAlign w:val="center"/>
          </w:tcPr>
          <w:p>
            <w:pPr>
              <w:pStyle w:val="TableContents"/>
              <w:widowControl w:val="false"/>
              <w:suppressLineNumbers/>
              <w:bidi w:val="0"/>
              <w:jc w:val="left"/>
              <w:rPr/>
            </w:pPr>
            <w:r>
              <w:rPr/>
              <w:t>the holiday calendar</w:t>
            </w:r>
          </w:p>
        </w:tc>
        <w:tc>
          <w:tcPr>
            <w:tcW w:w="2187" w:type="dxa"/>
            <w:tcBorders/>
            <w:vAlign w:val="center"/>
          </w:tcPr>
          <w:p>
            <w:pPr>
              <w:pStyle w:val="TableContents"/>
              <w:widowControl w:val="false"/>
              <w:suppressLineNumbers/>
              <w:bidi w:val="0"/>
              <w:jc w:val="left"/>
              <w:rPr/>
            </w:pPr>
            <w:r>
              <w:rPr/>
              <w:t>a country code per airport</w:t>
            </w:r>
          </w:p>
        </w:tc>
        <w:tc>
          <w:tcPr>
            <w:tcW w:w="2614" w:type="dxa"/>
            <w:tcBorders/>
            <w:vAlign w:val="center"/>
          </w:tcPr>
          <w:p>
            <w:pPr>
              <w:pStyle w:val="TableContents"/>
              <w:widowControl w:val="false"/>
              <w:suppressLineNumbers/>
              <w:bidi w:val="0"/>
              <w:jc w:val="left"/>
              <w:rPr/>
            </w:pPr>
            <w:r>
              <w:rPr/>
              <w:t>the holiday columns read as missing, not as ordinary days, and the submission writer refuses</w:t>
            </w:r>
          </w:p>
        </w:tc>
      </w:tr>
      <w:tr>
        <w:trPr/>
        <w:tc>
          <w:tcPr>
            <w:tcW w:w="3085" w:type="dxa"/>
            <w:tcBorders/>
            <w:vAlign w:val="center"/>
          </w:tcPr>
          <w:p>
            <w:pPr>
              <w:pStyle w:val="TableContents"/>
              <w:widowControl w:val="false"/>
              <w:suppressLineNumbers/>
              <w:bidi w:val="0"/>
              <w:jc w:val="left"/>
              <w:rPr/>
            </w:pPr>
            <w:r>
              <w:rPr/>
              <w:t>the local time offset</w:t>
            </w:r>
          </w:p>
        </w:tc>
        <w:tc>
          <w:tcPr>
            <w:tcW w:w="2653" w:type="dxa"/>
            <w:tcBorders/>
            <w:vAlign w:val="center"/>
          </w:tcPr>
          <w:p>
            <w:pPr>
              <w:pStyle w:val="TableContents"/>
              <w:widowControl w:val="false"/>
              <w:suppressLineNumbers/>
              <w:bidi w:val="0"/>
              <w:jc w:val="left"/>
              <w:rPr/>
            </w:pPr>
            <w:r>
              <w:rPr/>
              <w:t>the daily cycle</w:t>
            </w:r>
          </w:p>
        </w:tc>
        <w:tc>
          <w:tcPr>
            <w:tcW w:w="2187" w:type="dxa"/>
            <w:tcBorders/>
            <w:vAlign w:val="center"/>
          </w:tcPr>
          <w:p>
            <w:pPr>
              <w:pStyle w:val="TableContents"/>
              <w:widowControl w:val="false"/>
              <w:suppressLineNumbers/>
              <w:bidi w:val="0"/>
              <w:jc w:val="left"/>
              <w:rPr/>
            </w:pPr>
            <w:r>
              <w:rPr/>
              <w:t>not carried; the airport identifier absorbs it</w:t>
            </w:r>
          </w:p>
        </w:tc>
        <w:tc>
          <w:tcPr>
            <w:tcW w:w="2614" w:type="dxa"/>
            <w:tcBorders/>
            <w:vAlign w:val="center"/>
          </w:tcPr>
          <w:p>
            <w:pPr>
              <w:pStyle w:val="TableContents"/>
              <w:widowControl w:val="false"/>
              <w:suppressLineNumbers/>
              <w:bidi w:val="0"/>
              <w:jc w:val="left"/>
              <w:rPr/>
            </w:pPr>
            <w:r>
              <w:rPr/>
              <w:t>at a new airport the UTC clock misplaces the daily cycle by the offset; supplying it is untested</w:t>
            </w:r>
          </w:p>
        </w:tc>
      </w:tr>
      <w:tr>
        <w:trPr/>
        <w:tc>
          <w:tcPr>
            <w:tcW w:w="3085" w:type="dxa"/>
            <w:tcBorders/>
            <w:vAlign w:val="center"/>
          </w:tcPr>
          <w:p>
            <w:pPr>
              <w:pStyle w:val="TableContents"/>
              <w:widowControl w:val="false"/>
              <w:suppressLineNumbers/>
              <w:bidi w:val="0"/>
              <w:jc w:val="left"/>
              <w:rPr/>
            </w:pPr>
            <w:r>
              <w:rPr/>
              <w:t>about a year of recorded taxi-outs</w:t>
            </w:r>
          </w:p>
        </w:tc>
        <w:tc>
          <w:tcPr>
            <w:tcW w:w="2653" w:type="dxa"/>
            <w:tcBorders/>
            <w:vAlign w:val="center"/>
          </w:tcPr>
          <w:p>
            <w:pPr>
              <w:pStyle w:val="TableContents"/>
              <w:widowControl w:val="false"/>
              <w:suppressLineNumbers/>
              <w:bidi w:val="0"/>
              <w:jc w:val="left"/>
              <w:rPr/>
            </w:pPr>
            <w:r>
              <w:rPr/>
              <w:t>the shrunk encoding, the record-quality cells, the per-airport choices</w:t>
            </w:r>
          </w:p>
        </w:tc>
        <w:tc>
          <w:tcPr>
            <w:tcW w:w="2187" w:type="dxa"/>
            <w:tcBorders/>
            <w:vAlign w:val="center"/>
          </w:tcPr>
          <w:p>
            <w:pPr>
              <w:pStyle w:val="TableContents"/>
              <w:widowControl w:val="false"/>
              <w:suppressLineNumbers/>
              <w:bidi w:val="0"/>
              <w:jc w:val="left"/>
              <w:rPr/>
            </w:pPr>
            <w:r>
              <w:rPr/>
              <w:t>the operator's history</w:t>
            </w:r>
          </w:p>
        </w:tc>
        <w:tc>
          <w:tcPr>
            <w:tcW w:w="2614" w:type="dxa"/>
            <w:tcBorders/>
            <w:vAlign w:val="center"/>
          </w:tcPr>
          <w:p>
            <w:pPr>
              <w:pStyle w:val="TableContents"/>
              <w:widowControl w:val="false"/>
              <w:suppressLineNumbers/>
              <w:bidi w:val="0"/>
              <w:jc w:val="left"/>
              <w:rPr/>
            </w:pPr>
            <w:r>
              <w:rPr/>
              <w:t>not needed for the first two tiers</w:t>
            </w:r>
          </w:p>
        </w:tc>
      </w:tr>
      <w:tr>
        <w:trPr/>
        <w:tc>
          <w:tcPr>
            <w:tcW w:w="3085" w:type="dxa"/>
            <w:tcBorders/>
            <w:vAlign w:val="center"/>
          </w:tcPr>
          <w:p>
            <w:pPr>
              <w:pStyle w:val="TableContents"/>
              <w:widowControl w:val="false"/>
              <w:suppressLineNumbers/>
              <w:bidi w:val="0"/>
              <w:jc w:val="left"/>
              <w:rPr/>
            </w:pPr>
            <w:r>
              <w:rPr/>
              <w:t>receiver coverage of ground movements, and the airport's reference point</w:t>
            </w:r>
          </w:p>
        </w:tc>
        <w:tc>
          <w:tcPr>
            <w:tcW w:w="2653" w:type="dxa"/>
            <w:tcBorders/>
            <w:vAlign w:val="center"/>
          </w:tcPr>
          <w:p>
            <w:pPr>
              <w:pStyle w:val="TableContents"/>
              <w:widowControl w:val="false"/>
              <w:suppressLineNumbers/>
              <w:bidi w:val="0"/>
              <w:jc w:val="left"/>
              <w:rPr/>
            </w:pPr>
            <w:r>
              <w:rPr/>
              <w:t>the ground-movement correction</w:t>
            </w:r>
          </w:p>
        </w:tc>
        <w:tc>
          <w:tcPr>
            <w:tcW w:w="2187" w:type="dxa"/>
            <w:tcBorders/>
            <w:vAlign w:val="center"/>
          </w:tcPr>
          <w:p>
            <w:pPr>
              <w:pStyle w:val="TableContents"/>
              <w:widowControl w:val="false"/>
              <w:suppressLineNumbers/>
              <w:bidi w:val="0"/>
              <w:jc w:val="left"/>
              <w:rPr/>
            </w:pPr>
            <w:r>
              <w:rPr/>
              <w:t>adsb.lol and OPDI, open data</w:t>
            </w:r>
          </w:p>
        </w:tc>
        <w:tc>
          <w:tcPr>
            <w:tcW w:w="2614" w:type="dxa"/>
            <w:tcBorders/>
            <w:vAlign w:val="center"/>
          </w:tcPr>
          <w:p>
            <w:pPr>
              <w:pStyle w:val="TableContents"/>
              <w:widowControl w:val="false"/>
              <w:suppressLineNumbers/>
              <w:bidi w:val="0"/>
              <w:jc w:val="left"/>
              <w:rPr/>
            </w:pPr>
            <w:r>
              <w:rPr/>
              <w:t>the correction is not applied</w:t>
            </w:r>
          </w:p>
        </w:tc>
      </w:tr>
    </w:tbl>
    <w:p>
      <w:pPr>
        <w:pStyle w:val="BodyText"/>
        <w:bidi w:val="0"/>
        <w:jc w:val="left"/>
        <w:rPr/>
      </w:pPr>
      <w:r>
        <w:rPr>
          <w:rStyle w:val="Strong"/>
        </w:rPr>
        <w:t>The steps, in order.</w:t>
      </w:r>
      <w:r>
        <w:rPr/>
        <w:t xml:space="preserve"> Each step has its own check, so a failure shows where it happened.</w:t>
      </w:r>
    </w:p>
    <w:tbl>
      <w:tblPr>
        <w:tblW w:w="10539" w:type="dxa"/>
        <w:jc w:val="left"/>
        <w:tblInd w:w="28" w:type="dxa"/>
        <w:tblLayout w:type="fixed"/>
        <w:tblCellMar>
          <w:top w:w="28" w:type="dxa"/>
          <w:left w:w="28" w:type="dxa"/>
          <w:bottom w:w="28" w:type="dxa"/>
          <w:right w:w="28" w:type="dxa"/>
        </w:tblCellMar>
      </w:tblPr>
      <w:tblGrid>
        <w:gridCol w:w="534"/>
        <w:gridCol w:w="6354"/>
        <w:gridCol w:w="3651"/>
      </w:tblGrid>
      <w:tr>
        <w:trPr>
          <w:tblHeader w:val="true"/>
        </w:trPr>
        <w:tc>
          <w:tcPr>
            <w:tcW w:w="534" w:type="dxa"/>
            <w:tcBorders/>
            <w:vAlign w:val="center"/>
          </w:tcPr>
          <w:p>
            <w:pPr>
              <w:pStyle w:val="TableHeading"/>
              <w:suppressLineNumbers/>
              <w:bidi w:val="0"/>
              <w:jc w:val="center"/>
              <w:rPr/>
            </w:pPr>
            <w:r>
              <w:rPr/>
              <w:t>step</w:t>
            </w:r>
          </w:p>
        </w:tc>
        <w:tc>
          <w:tcPr>
            <w:tcW w:w="6354" w:type="dxa"/>
            <w:tcBorders/>
            <w:vAlign w:val="center"/>
          </w:tcPr>
          <w:p>
            <w:pPr>
              <w:pStyle w:val="TableHeading"/>
              <w:suppressLineNumbers/>
              <w:bidi w:val="0"/>
              <w:jc w:val="center"/>
              <w:rPr/>
            </w:pPr>
            <w:r>
              <w:rPr/>
              <w:t>what is done</w:t>
            </w:r>
          </w:p>
        </w:tc>
        <w:tc>
          <w:tcPr>
            <w:tcW w:w="3651" w:type="dxa"/>
            <w:tcBorders/>
            <w:vAlign w:val="center"/>
          </w:tcPr>
          <w:p>
            <w:pPr>
              <w:pStyle w:val="TableHeading"/>
              <w:suppressLineNumbers/>
              <w:bidi w:val="0"/>
              <w:jc w:val="center"/>
              <w:rPr/>
            </w:pPr>
            <w:r>
              <w:rPr/>
              <w:t>what it checks</w:t>
            </w:r>
          </w:p>
        </w:tc>
      </w:tr>
      <w:tr>
        <w:trPr/>
        <w:tc>
          <w:tcPr>
            <w:tcW w:w="534" w:type="dxa"/>
            <w:tcBorders/>
            <w:vAlign w:val="center"/>
          </w:tcPr>
          <w:p>
            <w:pPr>
              <w:pStyle w:val="TableContents"/>
              <w:widowControl w:val="false"/>
              <w:suppressLineNumbers/>
              <w:bidi w:val="0"/>
              <w:jc w:val="left"/>
              <w:rPr/>
            </w:pPr>
            <w:r>
              <w:rPr/>
              <w:t>1</w:t>
            </w:r>
          </w:p>
        </w:tc>
        <w:tc>
          <w:tcPr>
            <w:tcW w:w="6354" w:type="dxa"/>
            <w:tcBorders/>
            <w:vAlign w:val="center"/>
          </w:tcPr>
          <w:p>
            <w:pPr>
              <w:pStyle w:val="TableContents"/>
              <w:widowControl w:val="false"/>
              <w:suppressLineNumbers/>
              <w:bidi w:val="0"/>
              <w:jc w:val="left"/>
              <w:rPr/>
            </w:pPr>
            <w:r>
              <w:rPr/>
              <w:t>Add the airport's record (ICAO, IATA, name, reference point, radius) to the airport list.</w:t>
            </w:r>
          </w:p>
        </w:tc>
        <w:tc>
          <w:tcPr>
            <w:tcW w:w="3651" w:type="dxa"/>
            <w:tcBorders/>
            <w:vAlign w:val="center"/>
          </w:tcPr>
          <w:p>
            <w:pPr>
              <w:pStyle w:val="TableContents"/>
              <w:widowControl w:val="false"/>
              <w:suppressLineNumbers/>
              <w:bidi w:val="0"/>
              <w:jc w:val="left"/>
              <w:rPr/>
            </w:pPr>
            <w:r>
              <w:rPr/>
              <w:t>the licence and provenance checks, which read the list</w:t>
            </w:r>
          </w:p>
        </w:tc>
      </w:tr>
      <w:tr>
        <w:trPr/>
        <w:tc>
          <w:tcPr>
            <w:tcW w:w="534" w:type="dxa"/>
            <w:tcBorders/>
            <w:vAlign w:val="center"/>
          </w:tcPr>
          <w:p>
            <w:pPr>
              <w:pStyle w:val="TableContents"/>
              <w:widowControl w:val="false"/>
              <w:suppressLineNumbers/>
              <w:bidi w:val="0"/>
              <w:jc w:val="left"/>
              <w:rPr/>
            </w:pPr>
            <w:r>
              <w:rPr/>
              <w:t>2</w:t>
            </w:r>
          </w:p>
        </w:tc>
        <w:tc>
          <w:tcPr>
            <w:tcW w:w="6354" w:type="dxa"/>
            <w:tcBorders/>
            <w:vAlign w:val="center"/>
          </w:tcPr>
          <w:p>
            <w:pPr>
              <w:pStyle w:val="TableContents"/>
              <w:widowControl w:val="false"/>
              <w:suppressLineNumbers/>
              <w:bidi w:val="0"/>
              <w:jc w:val="left"/>
              <w:rPr/>
            </w:pPr>
            <w:r>
              <w:rPr/>
              <w:t>Fetch the OpenStreetMap extract, cache it, and pin its fetch time as the other airports' are.</w:t>
            </w:r>
          </w:p>
        </w:tc>
        <w:tc>
          <w:tcPr>
            <w:tcW w:w="3651" w:type="dxa"/>
            <w:tcBorders/>
            <w:vAlign w:val="center"/>
          </w:tcPr>
          <w:p>
            <w:pPr>
              <w:pStyle w:val="TableContents"/>
              <w:widowControl w:val="false"/>
              <w:suppressLineNumbers/>
              <w:bidi w:val="0"/>
              <w:jc w:val="left"/>
              <w:rPr/>
            </w:pPr>
            <w:r>
              <w:rPr/>
              <w:t>the pin check</w:t>
            </w:r>
          </w:p>
        </w:tc>
      </w:tr>
      <w:tr>
        <w:trPr/>
        <w:tc>
          <w:tcPr>
            <w:tcW w:w="534" w:type="dxa"/>
            <w:tcBorders/>
            <w:vAlign w:val="center"/>
          </w:tcPr>
          <w:p>
            <w:pPr>
              <w:pStyle w:val="TableContents"/>
              <w:widowControl w:val="false"/>
              <w:suppressLineNumbers/>
              <w:bidi w:val="0"/>
              <w:jc w:val="left"/>
              <w:rPr/>
            </w:pPr>
            <w:r>
              <w:rPr/>
              <w:t>3</w:t>
            </w:r>
          </w:p>
        </w:tc>
        <w:tc>
          <w:tcPr>
            <w:tcW w:w="6354" w:type="dxa"/>
            <w:tcBorders/>
            <w:vAlign w:val="center"/>
          </w:tcPr>
          <w:p>
            <w:pPr>
              <w:pStyle w:val="TableContents"/>
              <w:widowControl w:val="false"/>
              <w:suppressLineNumbers/>
              <w:bidi w:val="0"/>
              <w:jc w:val="left"/>
              <w:rPr/>
            </w:pPr>
            <w:r>
              <w:rPr/>
              <w:t>Build the graph and the stand-to-runway matrix. The three defects of §5.1 are repaired to a fixed point.</w:t>
            </w:r>
          </w:p>
        </w:tc>
        <w:tc>
          <w:tcPr>
            <w:tcW w:w="3651" w:type="dxa"/>
            <w:tcBorders/>
            <w:vAlign w:val="center"/>
          </w:tcPr>
          <w:p>
            <w:pPr>
              <w:pStyle w:val="TableContents"/>
              <w:widowControl w:val="false"/>
              <w:suppressLineNumbers/>
              <w:bidi w:val="0"/>
              <w:jc w:val="left"/>
              <w:rPr/>
            </w:pPr>
            <w:r>
              <w:rPr/>
              <w:t>the routing report states what resolved and what did not</w:t>
            </w:r>
          </w:p>
        </w:tc>
      </w:tr>
      <w:tr>
        <w:trPr/>
        <w:tc>
          <w:tcPr>
            <w:tcW w:w="534" w:type="dxa"/>
            <w:tcBorders/>
            <w:vAlign w:val="center"/>
          </w:tcPr>
          <w:p>
            <w:pPr>
              <w:pStyle w:val="TableContents"/>
              <w:widowControl w:val="false"/>
              <w:suppressLineNumbers/>
              <w:bidi w:val="0"/>
              <w:jc w:val="left"/>
              <w:rPr/>
            </w:pPr>
            <w:r>
              <w:rPr/>
              <w:t>4</w:t>
            </w:r>
          </w:p>
        </w:tc>
        <w:tc>
          <w:tcPr>
            <w:tcW w:w="6354" w:type="dxa"/>
            <w:tcBorders/>
            <w:vAlign w:val="center"/>
          </w:tcPr>
          <w:p>
            <w:pPr>
              <w:pStyle w:val="TableContents"/>
              <w:widowControl w:val="false"/>
              <w:suppressLineNumbers/>
              <w:bidi w:val="0"/>
              <w:jc w:val="left"/>
              <w:rPr/>
            </w:pPr>
            <w:r>
              <w:rPr/>
              <w:t>Audit stand coverage and the physical runways, and check the runway penalty's sensitivity.</w:t>
            </w:r>
          </w:p>
        </w:tc>
        <w:tc>
          <w:tcPr>
            <w:tcW w:w="3651" w:type="dxa"/>
            <w:tcBorders/>
            <w:vAlign w:val="center"/>
          </w:tcPr>
          <w:p>
            <w:pPr>
              <w:pStyle w:val="TableContents"/>
              <w:widowControl w:val="false"/>
              <w:suppressLineNumbers/>
              <w:bidi w:val="0"/>
              <w:jc w:val="left"/>
              <w:rPr/>
            </w:pPr>
            <w:r>
              <w:rPr/>
              <w:t>the share of the airport's stands that resolve; the runway thresholds against OurAirports</w:t>
            </w:r>
          </w:p>
        </w:tc>
      </w:tr>
      <w:tr>
        <w:trPr/>
        <w:tc>
          <w:tcPr>
            <w:tcW w:w="534" w:type="dxa"/>
            <w:tcBorders/>
            <w:vAlign w:val="center"/>
          </w:tcPr>
          <w:p>
            <w:pPr>
              <w:pStyle w:val="TableContents"/>
              <w:widowControl w:val="false"/>
              <w:suppressLineNumbers/>
              <w:bidi w:val="0"/>
              <w:jc w:val="left"/>
              <w:rPr/>
            </w:pPr>
            <w:r>
              <w:rPr/>
              <w:t>5</w:t>
            </w:r>
          </w:p>
        </w:tc>
        <w:tc>
          <w:tcPr>
            <w:tcW w:w="6354" w:type="dxa"/>
            <w:tcBorders/>
            <w:vAlign w:val="center"/>
          </w:tcPr>
          <w:p>
            <w:pPr>
              <w:pStyle w:val="TableContents"/>
              <w:widowControl w:val="false"/>
              <w:suppressLineNumbers/>
              <w:bidi w:val="0"/>
              <w:jc w:val="left"/>
              <w:rPr/>
            </w:pPr>
            <w:r>
              <w:rPr/>
              <w:t>Add the country; fetch the METAR archive for the station.</w:t>
            </w:r>
          </w:p>
        </w:tc>
        <w:tc>
          <w:tcPr>
            <w:tcW w:w="3651" w:type="dxa"/>
            <w:tcBorders/>
            <w:vAlign w:val="center"/>
          </w:tcPr>
          <w:p>
            <w:pPr>
              <w:pStyle w:val="TableContents"/>
              <w:widowControl w:val="false"/>
              <w:suppressLineNumbers/>
              <w:bidi w:val="0"/>
              <w:jc w:val="left"/>
              <w:rPr/>
            </w:pPr>
            <w:r>
              <w:rPr/>
              <w:t>the calendar and weather blocks read as present, not missing</w:t>
            </w:r>
          </w:p>
        </w:tc>
      </w:tr>
      <w:tr>
        <w:trPr/>
        <w:tc>
          <w:tcPr>
            <w:tcW w:w="534" w:type="dxa"/>
            <w:tcBorders/>
            <w:vAlign w:val="center"/>
          </w:tcPr>
          <w:p>
            <w:pPr>
              <w:pStyle w:val="TableContents"/>
              <w:widowControl w:val="false"/>
              <w:suppressLineNumbers/>
              <w:bidi w:val="0"/>
              <w:jc w:val="left"/>
              <w:rPr/>
            </w:pPr>
            <w:r>
              <w:rPr/>
              <w:t>6</w:t>
            </w:r>
          </w:p>
        </w:tc>
        <w:tc>
          <w:tcPr>
            <w:tcW w:w="6354" w:type="dxa"/>
            <w:tcBorders/>
            <w:vAlign w:val="center"/>
          </w:tcPr>
          <w:p>
            <w:pPr>
              <w:pStyle w:val="TableContents"/>
              <w:widowControl w:val="false"/>
              <w:suppressLineNumbers/>
              <w:bidi w:val="0"/>
              <w:jc w:val="left"/>
              <w:rPr/>
            </w:pPr>
            <w:r>
              <w:rPr/>
              <w:t>Predict with the transfer model. The same code builds the airport's rows as builds the training rows.</w:t>
            </w:r>
          </w:p>
        </w:tc>
        <w:tc>
          <w:tcPr>
            <w:tcW w:w="3651" w:type="dxa"/>
            <w:tcBorders/>
            <w:vAlign w:val="center"/>
          </w:tcPr>
          <w:p>
            <w:pPr>
              <w:pStyle w:val="TableContents"/>
              <w:widowControl w:val="false"/>
              <w:suppressLineNumbers/>
              <w:bidi w:val="0"/>
              <w:jc w:val="left"/>
              <w:rPr/>
            </w:pPr>
            <w:r>
              <w:rPr/>
              <w:t>the geometric term alone is the floor to quote, as in §5.4</w:t>
            </w:r>
          </w:p>
        </w:tc>
      </w:tr>
      <w:tr>
        <w:trPr/>
        <w:tc>
          <w:tcPr>
            <w:tcW w:w="534" w:type="dxa"/>
            <w:tcBorders/>
            <w:vAlign w:val="center"/>
          </w:tcPr>
          <w:p>
            <w:pPr>
              <w:pStyle w:val="TableContents"/>
              <w:widowControl w:val="false"/>
              <w:suppressLineNumbers/>
              <w:bidi w:val="0"/>
              <w:jc w:val="left"/>
              <w:rPr/>
            </w:pPr>
            <w:r>
              <w:rPr/>
              <w:t>7</w:t>
            </w:r>
          </w:p>
        </w:tc>
        <w:tc>
          <w:tcPr>
            <w:tcW w:w="6354" w:type="dxa"/>
            <w:tcBorders/>
            <w:vAlign w:val="center"/>
          </w:tcPr>
          <w:p>
            <w:pPr>
              <w:pStyle w:val="TableContents"/>
              <w:widowControl w:val="false"/>
              <w:suppressLineNumbers/>
              <w:bidi w:val="0"/>
              <w:jc w:val="left"/>
              <w:rPr/>
            </w:pPr>
            <w:r>
              <w:rPr/>
              <w:t>As movements accumulate, fit with the airport in training, and read it on its own held-out months.</w:t>
            </w:r>
          </w:p>
        </w:tc>
        <w:tc>
          <w:tcPr>
            <w:tcW w:w="3651" w:type="dxa"/>
            <w:tcBorders/>
            <w:vAlign w:val="center"/>
          </w:tcPr>
          <w:p>
            <w:pPr>
              <w:pStyle w:val="TableContents"/>
              <w:widowControl w:val="false"/>
              <w:suppressLineNumbers/>
              <w:bidi w:val="0"/>
              <w:jc w:val="left"/>
              <w:rPr/>
            </w:pPr>
            <w:r>
              <w:rPr/>
              <w:t>the pair-frequency buckets and the contrast of §7.2, for that airport</w:t>
            </w:r>
          </w:p>
        </w:tc>
      </w:tr>
      <w:tr>
        <w:trPr/>
        <w:tc>
          <w:tcPr>
            <w:tcW w:w="534" w:type="dxa"/>
            <w:tcBorders/>
            <w:vAlign w:val="center"/>
          </w:tcPr>
          <w:p>
            <w:pPr>
              <w:pStyle w:val="TableContents"/>
              <w:widowControl w:val="false"/>
              <w:suppressLineNumbers/>
              <w:bidi w:val="0"/>
              <w:jc w:val="left"/>
              <w:rPr/>
            </w:pPr>
            <w:r>
              <w:rPr/>
              <w:t>8</w:t>
            </w:r>
          </w:p>
        </w:tc>
        <w:tc>
          <w:tcPr>
            <w:tcW w:w="6354" w:type="dxa"/>
            <w:tcBorders/>
            <w:vAlign w:val="center"/>
          </w:tcPr>
          <w:p>
            <w:pPr>
              <w:pStyle w:val="TableContents"/>
              <w:widowControl w:val="false"/>
              <w:suppressLineNumbers/>
              <w:bidi w:val="0"/>
              <w:jc w:val="left"/>
              <w:rPr/>
            </w:pPr>
            <w:r>
              <w:rPr/>
              <w:t>Let the record-quality term test the airport: a cell is kept only where it holds at least five rows and a defaulted share of at least 5% (§4).</w:t>
            </w:r>
          </w:p>
        </w:tc>
        <w:tc>
          <w:tcPr>
            <w:tcW w:w="3651" w:type="dxa"/>
            <w:tcBorders/>
            <w:vAlign w:val="center"/>
          </w:tcPr>
          <w:p>
            <w:pPr>
              <w:pStyle w:val="TableContents"/>
              <w:widowControl w:val="false"/>
              <w:suppressLineNumbers/>
              <w:bidi w:val="0"/>
              <w:jc w:val="left"/>
              <w:rPr/>
            </w:pPr>
            <w:r>
              <w:rPr/>
              <w:t>the pooled-share test of §4</w:t>
            </w:r>
          </w:p>
        </w:tc>
      </w:tr>
      <w:tr>
        <w:trPr/>
        <w:tc>
          <w:tcPr>
            <w:tcW w:w="534" w:type="dxa"/>
            <w:tcBorders/>
            <w:vAlign w:val="center"/>
          </w:tcPr>
          <w:p>
            <w:pPr>
              <w:pStyle w:val="TableContents"/>
              <w:widowControl w:val="false"/>
              <w:suppressLineNumbers/>
              <w:bidi w:val="0"/>
              <w:jc w:val="left"/>
              <w:rPr/>
            </w:pPr>
            <w:r>
              <w:rPr/>
              <w:t>9</w:t>
            </w:r>
          </w:p>
        </w:tc>
        <w:tc>
          <w:tcPr>
            <w:tcW w:w="6354" w:type="dxa"/>
            <w:tcBorders/>
            <w:vAlign w:val="center"/>
          </w:tcPr>
          <w:p>
            <w:pPr>
              <w:pStyle w:val="TableContents"/>
              <w:widowControl w:val="false"/>
              <w:suppressLineNumbers/>
              <w:bidi w:val="0"/>
              <w:jc w:val="left"/>
              <w:rPr/>
            </w:pPr>
            <w:r>
              <w:rPr/>
              <w:t>Add the airport's reference point to the ground-movement tables. Fit and gate the correction from the airport's own out-of-fold evidence, and let the selector choose the blend.</w:t>
            </w:r>
          </w:p>
        </w:tc>
        <w:tc>
          <w:tcPr>
            <w:tcW w:w="3651" w:type="dxa"/>
            <w:tcBorders/>
            <w:vAlign w:val="center"/>
          </w:tcPr>
          <w:p>
            <w:pPr>
              <w:pStyle w:val="TableContents"/>
              <w:widowControl w:val="false"/>
              <w:suppressLineNumbers/>
              <w:bidi w:val="0"/>
              <w:jc w:val="left"/>
              <w:rPr/>
            </w:pPr>
            <w:r>
              <w:rPr/>
              <w:t>the airport gate and the selector's choice over the held-out months</w:t>
            </w:r>
          </w:p>
        </w:tc>
      </w:tr>
    </w:tbl>
    <w:p>
      <w:pPr>
        <w:pStyle w:val="BodyText"/>
        <w:bidi w:val="0"/>
        <w:jc w:val="left"/>
        <w:rPr/>
      </w:pPr>
      <w:r>
        <w:rPr>
          <w:rStyle w:val="Strong"/>
        </w:rPr>
        <w:t>Crosswalk 1: conventions that change between airports.</w:t>
      </w:r>
      <w:r>
        <w:rPr/>
        <w:t xml:space="preserve"> Each row is a convention this work fixed once for ten airports, what can differ at a new one, and what the difference would do to a claim.</w:t>
      </w:r>
    </w:p>
    <w:tbl>
      <w:tblPr>
        <w:tblW w:w="10539" w:type="dxa"/>
        <w:jc w:val="left"/>
        <w:tblInd w:w="28" w:type="dxa"/>
        <w:tblLayout w:type="fixed"/>
        <w:tblCellMar>
          <w:top w:w="28" w:type="dxa"/>
          <w:left w:w="28" w:type="dxa"/>
          <w:bottom w:w="28" w:type="dxa"/>
          <w:right w:w="28" w:type="dxa"/>
        </w:tblCellMar>
      </w:tblPr>
      <w:tblGrid>
        <w:gridCol w:w="2846"/>
        <w:gridCol w:w="2838"/>
        <w:gridCol w:w="2507"/>
        <w:gridCol w:w="2348"/>
      </w:tblGrid>
      <w:tr>
        <w:trPr>
          <w:tblHeader w:val="true"/>
        </w:trPr>
        <w:tc>
          <w:tcPr>
            <w:tcW w:w="2846" w:type="dxa"/>
            <w:tcBorders/>
            <w:vAlign w:val="center"/>
          </w:tcPr>
          <w:p>
            <w:pPr>
              <w:pStyle w:val="TableHeading"/>
              <w:suppressLineNumbers/>
              <w:bidi w:val="0"/>
              <w:jc w:val="center"/>
              <w:rPr/>
            </w:pPr>
            <w:r>
              <w:rPr/>
              <w:t>convention here</w:t>
            </w:r>
          </w:p>
        </w:tc>
        <w:tc>
          <w:tcPr>
            <w:tcW w:w="2838" w:type="dxa"/>
            <w:tcBorders/>
            <w:vAlign w:val="center"/>
          </w:tcPr>
          <w:p>
            <w:pPr>
              <w:pStyle w:val="TableHeading"/>
              <w:suppressLineNumbers/>
              <w:bidi w:val="0"/>
              <w:jc w:val="center"/>
              <w:rPr/>
            </w:pPr>
            <w:r>
              <w:rPr/>
              <w:t>what can differ at a new airport</w:t>
            </w:r>
          </w:p>
        </w:tc>
        <w:tc>
          <w:tcPr>
            <w:tcW w:w="2507" w:type="dxa"/>
            <w:tcBorders/>
            <w:vAlign w:val="center"/>
          </w:tcPr>
          <w:p>
            <w:pPr>
              <w:pStyle w:val="TableHeading"/>
              <w:suppressLineNumbers/>
              <w:bidi w:val="0"/>
              <w:jc w:val="center"/>
              <w:rPr/>
            </w:pPr>
            <w:r>
              <w:rPr/>
              <w:t>what to do</w:t>
            </w:r>
          </w:p>
        </w:tc>
        <w:tc>
          <w:tcPr>
            <w:tcW w:w="2348" w:type="dxa"/>
            <w:tcBorders/>
            <w:vAlign w:val="center"/>
          </w:tcPr>
          <w:p>
            <w:pPr>
              <w:pStyle w:val="TableHeading"/>
              <w:suppressLineNumbers/>
              <w:bidi w:val="0"/>
              <w:jc w:val="center"/>
              <w:rPr/>
            </w:pPr>
            <w:r>
              <w:rPr/>
              <w:t>what it puts at risk</w:t>
            </w:r>
          </w:p>
        </w:tc>
      </w:tr>
      <w:tr>
        <w:trPr/>
        <w:tc>
          <w:tcPr>
            <w:tcW w:w="2846" w:type="dxa"/>
            <w:tcBorders/>
            <w:vAlign w:val="center"/>
          </w:tcPr>
          <w:p>
            <w:pPr>
              <w:pStyle w:val="TableContents"/>
              <w:widowControl w:val="false"/>
              <w:suppressLineNumbers/>
              <w:bidi w:val="0"/>
              <w:jc w:val="left"/>
              <w:rPr/>
            </w:pPr>
            <w:r>
              <w:rPr/>
              <w:t>All times are UTC, and no timezone table is carried; the airport identifier absorbs the offset.</w:t>
            </w:r>
          </w:p>
        </w:tc>
        <w:tc>
          <w:tcPr>
            <w:tcW w:w="2838" w:type="dxa"/>
            <w:tcBorders/>
            <w:vAlign w:val="center"/>
          </w:tcPr>
          <w:p>
            <w:pPr>
              <w:pStyle w:val="TableContents"/>
              <w:widowControl w:val="false"/>
              <w:suppressLineNumbers/>
              <w:bidi w:val="0"/>
              <w:jc w:val="left"/>
              <w:rPr/>
            </w:pPr>
            <w:r>
              <w:rPr/>
              <w:t>The local offset, and whether the airport observes daylight saving. The ten span UTC+0 to UTC+3; Istanbul and Antalya are three hours ahead, so the first three hours of a local holiday fall on the previous UTC date.</w:t>
            </w:r>
          </w:p>
        </w:tc>
        <w:tc>
          <w:tcPr>
            <w:tcW w:w="2507" w:type="dxa"/>
            <w:tcBorders/>
            <w:vAlign w:val="center"/>
          </w:tcPr>
          <w:p>
            <w:pPr>
              <w:pStyle w:val="TableContents"/>
              <w:widowControl w:val="false"/>
              <w:suppressLineNumbers/>
              <w:bidi w:val="0"/>
              <w:jc w:val="left"/>
              <w:rPr/>
            </w:pPr>
            <w:r>
              <w:rPr/>
              <w:t>Supply the offset and the daylight-saving rule per airport. Derive the hour of day and the holiday date from local time, and keep UTC for every join.</w:t>
            </w:r>
          </w:p>
        </w:tc>
        <w:tc>
          <w:tcPr>
            <w:tcW w:w="2348" w:type="dxa"/>
            <w:tcBorders/>
            <w:vAlign w:val="center"/>
          </w:tcPr>
          <w:p>
            <w:pPr>
              <w:pStyle w:val="TableContents"/>
              <w:widowControl w:val="false"/>
              <w:suppressLineNumbers/>
              <w:bidi w:val="0"/>
              <w:jc w:val="left"/>
              <w:rPr/>
            </w:pPr>
            <w:r>
              <w:rPr/>
              <w:t>The daily cycle and the holiday flags, and any comparison of daily patterns across airports. Daylight saving is not examined in this work.</w:t>
            </w:r>
          </w:p>
        </w:tc>
      </w:tr>
      <w:tr>
        <w:trPr/>
        <w:tc>
          <w:tcPr>
            <w:tcW w:w="2846" w:type="dxa"/>
            <w:tcBorders/>
            <w:vAlign w:val="center"/>
          </w:tcPr>
          <w:p>
            <w:pPr>
              <w:pStyle w:val="TableContents"/>
              <w:widowControl w:val="false"/>
              <w:suppressLineNumbers/>
              <w:bidi w:val="0"/>
              <w:jc w:val="left"/>
              <w:rPr/>
            </w:pPr>
            <w:r>
              <w:rPr/>
              <w:t>The target and the off-block fields are read at the resolution the data gives; the network manager's recorded off-block time has minute resolution.</w:t>
            </w:r>
          </w:p>
        </w:tc>
        <w:tc>
          <w:tcPr>
            <w:tcW w:w="2838" w:type="dxa"/>
            <w:tcBorders/>
            <w:vAlign w:val="center"/>
          </w:tcPr>
          <w:p>
            <w:pPr>
              <w:pStyle w:val="TableContents"/>
              <w:widowControl w:val="false"/>
              <w:suppressLineNumbers/>
              <w:bidi w:val="0"/>
              <w:jc w:val="left"/>
              <w:rPr/>
            </w:pPr>
            <w:r>
              <w:rPr/>
              <w:t>The operator's resolution and clock discipline.</w:t>
            </w:r>
          </w:p>
        </w:tc>
        <w:tc>
          <w:tcPr>
            <w:tcW w:w="2507" w:type="dxa"/>
            <w:tcBorders/>
            <w:vAlign w:val="center"/>
          </w:tcPr>
          <w:p>
            <w:pPr>
              <w:pStyle w:val="TableContents"/>
              <w:widowControl w:val="false"/>
              <w:suppressLineNumbers/>
              <w:bidi w:val="0"/>
              <w:jc w:val="left"/>
              <w:rPr/>
            </w:pPr>
            <w:r>
              <w:rPr/>
              <w:t>State the resolution of each time field before reading a figure; a coarse off-block field sets a floor under the error.</w:t>
            </w:r>
          </w:p>
        </w:tc>
        <w:tc>
          <w:tcPr>
            <w:tcW w:w="2348" w:type="dxa"/>
            <w:tcBorders/>
            <w:vAlign w:val="center"/>
          </w:tcPr>
          <w:p>
            <w:pPr>
              <w:pStyle w:val="TableContents"/>
              <w:widowControl w:val="false"/>
              <w:suppressLineNumbers/>
              <w:bidi w:val="0"/>
              <w:jc w:val="left"/>
              <w:rPr/>
            </w:pPr>
            <w:r>
              <w:rPr/>
              <w:t>The size of the smallest effect that can be demonstrated.</w:t>
            </w:r>
          </w:p>
        </w:tc>
      </w:tr>
      <w:tr>
        <w:trPr/>
        <w:tc>
          <w:tcPr>
            <w:tcW w:w="2846" w:type="dxa"/>
            <w:tcBorders/>
            <w:vAlign w:val="center"/>
          </w:tcPr>
          <w:p>
            <w:pPr>
              <w:pStyle w:val="TableContents"/>
              <w:widowControl w:val="false"/>
              <w:suppressLineNumbers/>
              <w:bidi w:val="0"/>
              <w:jc w:val="left"/>
              <w:rPr/>
            </w:pPr>
            <w:r>
              <w:rPr/>
              <w:t>Airports are keyed by ICAO code, and the weather archive is queried with the ICAO code as the station.</w:t>
            </w:r>
          </w:p>
        </w:tc>
        <w:tc>
          <w:tcPr>
            <w:tcW w:w="2838" w:type="dxa"/>
            <w:tcBorders/>
            <w:vAlign w:val="center"/>
          </w:tcPr>
          <w:p>
            <w:pPr>
              <w:pStyle w:val="TableContents"/>
              <w:widowControl w:val="false"/>
              <w:suppressLineNumbers/>
              <w:bidi w:val="0"/>
              <w:jc w:val="left"/>
              <w:rPr/>
            </w:pPr>
            <w:r>
              <w:rPr/>
              <w:t>The archive may key a station differently outside Europe.</w:t>
            </w:r>
          </w:p>
        </w:tc>
        <w:tc>
          <w:tcPr>
            <w:tcW w:w="2507" w:type="dxa"/>
            <w:tcBorders/>
            <w:vAlign w:val="center"/>
          </w:tcPr>
          <w:p>
            <w:pPr>
              <w:pStyle w:val="TableContents"/>
              <w:widowControl w:val="false"/>
              <w:suppressLineNumbers/>
              <w:bidi w:val="0"/>
              <w:jc w:val="left"/>
              <w:rPr/>
            </w:pPr>
            <w:r>
              <w:rPr/>
              <w:t>Confirm the archive returns rows for the station before building the weather block.</w:t>
            </w:r>
          </w:p>
        </w:tc>
        <w:tc>
          <w:tcPr>
            <w:tcW w:w="2348" w:type="dxa"/>
            <w:tcBorders/>
            <w:vAlign w:val="center"/>
          </w:tcPr>
          <w:p>
            <w:pPr>
              <w:pStyle w:val="TableContents"/>
              <w:widowControl w:val="false"/>
              <w:suppressLineNumbers/>
              <w:bidi w:val="0"/>
              <w:jc w:val="left"/>
              <w:rPr/>
            </w:pPr>
            <w:r>
              <w:rPr/>
              <w:t>The weather block, which would otherwise read as missing.</w:t>
            </w:r>
          </w:p>
        </w:tc>
      </w:tr>
      <w:tr>
        <w:trPr/>
        <w:tc>
          <w:tcPr>
            <w:tcW w:w="2846" w:type="dxa"/>
            <w:tcBorders/>
            <w:vAlign w:val="center"/>
          </w:tcPr>
          <w:p>
            <w:pPr>
              <w:pStyle w:val="TableContents"/>
              <w:widowControl w:val="false"/>
              <w:suppressLineNumbers/>
              <w:bidi w:val="0"/>
              <w:jc w:val="left"/>
              <w:rPr/>
            </w:pPr>
            <w:r>
              <w:rPr/>
              <w:t>Stand identifiers are joined in three stages: case and whitespace, leading zeros, one trailing letter.</w:t>
            </w:r>
          </w:p>
        </w:tc>
        <w:tc>
          <w:tcPr>
            <w:tcW w:w="2838" w:type="dxa"/>
            <w:tcBorders/>
            <w:vAlign w:val="center"/>
          </w:tcPr>
          <w:p>
            <w:pPr>
              <w:pStyle w:val="TableContents"/>
              <w:widowControl w:val="false"/>
              <w:suppressLineNumbers/>
              <w:bidi w:val="0"/>
              <w:jc w:val="left"/>
              <w:rPr/>
            </w:pPr>
            <w:r>
              <w:rPr/>
              <w:t>Padding, spaces and lettered half-stands differ per airport.</w:t>
            </w:r>
          </w:p>
        </w:tc>
        <w:tc>
          <w:tcPr>
            <w:tcW w:w="2507" w:type="dxa"/>
            <w:tcBorders/>
            <w:vAlign w:val="center"/>
          </w:tcPr>
          <w:p>
            <w:pPr>
              <w:pStyle w:val="TableContents"/>
              <w:widowControl w:val="false"/>
              <w:suppressLineNumbers/>
              <w:bidi w:val="0"/>
              <w:jc w:val="left"/>
              <w:rPr/>
            </w:pPr>
            <w:r>
              <w:rPr/>
              <w:t>Inspect what fails to match. Add a stage only on the join rate, never on a validation error.</w:t>
            </w:r>
          </w:p>
        </w:tc>
        <w:tc>
          <w:tcPr>
            <w:tcW w:w="2348" w:type="dxa"/>
            <w:tcBorders/>
            <w:vAlign w:val="center"/>
          </w:tcPr>
          <w:p>
            <w:pPr>
              <w:pStyle w:val="TableContents"/>
              <w:widowControl w:val="false"/>
              <w:suppressLineNumbers/>
              <w:bidi w:val="0"/>
              <w:jc w:val="left"/>
              <w:rPr/>
            </w:pPr>
            <w:r>
              <w:rPr/>
              <w:t>Whether pair-level geometry exists at the airport at all.</w:t>
            </w:r>
          </w:p>
        </w:tc>
      </w:tr>
      <w:tr>
        <w:trPr/>
        <w:tc>
          <w:tcPr>
            <w:tcW w:w="2846" w:type="dxa"/>
            <w:tcBorders/>
            <w:vAlign w:val="center"/>
          </w:tcPr>
          <w:p>
            <w:pPr>
              <w:pStyle w:val="TableContents"/>
              <w:widowControl w:val="false"/>
              <w:suppressLineNumbers/>
              <w:bidi w:val="0"/>
              <w:jc w:val="left"/>
              <w:rPr/>
            </w:pPr>
            <w:r>
              <w:rPr/>
              <w:t xml:space="preserve">Runway designators run 01 to 36 with an optional L, C or R, and thresholds come from </w:t>
            </w:r>
            <w:r>
              <w:rPr>
                <w:rStyle w:val="SourceText"/>
              </w:rPr>
              <w:t>ref</w:t>
            </w:r>
            <w:r>
              <w:rPr/>
              <w:t>-tagged geometry only.</w:t>
            </w:r>
          </w:p>
        </w:tc>
        <w:tc>
          <w:tcPr>
            <w:tcW w:w="2838" w:type="dxa"/>
            <w:tcBorders/>
            <w:vAlign w:val="center"/>
          </w:tcPr>
          <w:p>
            <w:pPr>
              <w:pStyle w:val="TableContents"/>
              <w:widowControl w:val="false"/>
              <w:suppressLineNumbers/>
              <w:bidi w:val="0"/>
              <w:jc w:val="left"/>
              <w:rPr/>
            </w:pPr>
            <w:r>
              <w:rPr/>
              <w:t>Non-standard designators, runways used in one direction only, displaced thresholds, and runways split into several map fragments.</w:t>
            </w:r>
          </w:p>
        </w:tc>
        <w:tc>
          <w:tcPr>
            <w:tcW w:w="2507" w:type="dxa"/>
            <w:tcBorders/>
            <w:vAlign w:val="center"/>
          </w:tcPr>
          <w:p>
            <w:pPr>
              <w:pStyle w:val="TableContents"/>
              <w:widowControl w:val="false"/>
              <w:suppressLineNumbers/>
              <w:bidi w:val="0"/>
              <w:jc w:val="left"/>
              <w:rPr/>
            </w:pPr>
            <w:r>
              <w:rPr/>
              <w:t>Parse the designators, take thresholds from tagged geometry, and check them against OurAirports.</w:t>
            </w:r>
          </w:p>
        </w:tc>
        <w:tc>
          <w:tcPr>
            <w:tcW w:w="2348" w:type="dxa"/>
            <w:tcBorders/>
            <w:vAlign w:val="center"/>
          </w:tcPr>
          <w:p>
            <w:pPr>
              <w:pStyle w:val="TableContents"/>
              <w:widowControl w:val="false"/>
              <w:suppressLineNumbers/>
              <w:bidi w:val="0"/>
              <w:jc w:val="left"/>
              <w:rPr/>
            </w:pPr>
            <w:r>
              <w:rPr/>
              <w:t>The routed distance of every pair that uses the runway.</w:t>
            </w:r>
          </w:p>
        </w:tc>
      </w:tr>
      <w:tr>
        <w:trPr/>
        <w:tc>
          <w:tcPr>
            <w:tcW w:w="2846" w:type="dxa"/>
            <w:tcBorders/>
            <w:vAlign w:val="center"/>
          </w:tcPr>
          <w:p>
            <w:pPr>
              <w:pStyle w:val="TableContents"/>
              <w:widowControl w:val="false"/>
              <w:suppressLineNumbers/>
              <w:bidi w:val="0"/>
              <w:jc w:val="left"/>
              <w:rPr/>
            </w:pPr>
            <w:r>
              <w:rPr/>
              <w:t>The holiday calendar is read by country, as ISO 3166-1 alpha-2; subdivisions are not read.</w:t>
            </w:r>
          </w:p>
        </w:tc>
        <w:tc>
          <w:tcPr>
            <w:tcW w:w="2838" w:type="dxa"/>
            <w:tcBorders/>
            <w:vAlign w:val="center"/>
          </w:tcPr>
          <w:p>
            <w:pPr>
              <w:pStyle w:val="TableContents"/>
              <w:widowControl w:val="false"/>
              <w:suppressLineNumbers/>
              <w:bidi w:val="0"/>
              <w:jc w:val="left"/>
              <w:rPr/>
            </w:pPr>
            <w:r>
              <w:rPr/>
              <w:t>In federal countries the regional holidays matter more.</w:t>
            </w:r>
          </w:p>
        </w:tc>
        <w:tc>
          <w:tcPr>
            <w:tcW w:w="2507" w:type="dxa"/>
            <w:tcBorders/>
            <w:vAlign w:val="center"/>
          </w:tcPr>
          <w:p>
            <w:pPr>
              <w:pStyle w:val="TableContents"/>
              <w:widowControl w:val="false"/>
              <w:suppressLineNumbers/>
              <w:bidi w:val="0"/>
              <w:jc w:val="left"/>
              <w:rPr/>
            </w:pPr>
            <w:r>
              <w:rPr/>
              <w:t>Keep the country code; treat a subdivision as a better feature, untested here.</w:t>
            </w:r>
          </w:p>
        </w:tc>
        <w:tc>
          <w:tcPr>
            <w:tcW w:w="2348" w:type="dxa"/>
            <w:tcBorders/>
            <w:vAlign w:val="center"/>
          </w:tcPr>
          <w:p>
            <w:pPr>
              <w:pStyle w:val="TableContents"/>
              <w:widowControl w:val="false"/>
              <w:suppressLineNumbers/>
              <w:bidi w:val="0"/>
              <w:jc w:val="left"/>
              <w:rPr/>
            </w:pPr>
            <w:r>
              <w:rPr/>
              <w:t>The holiday columns at airports in such countries.</w:t>
            </w:r>
          </w:p>
        </w:tc>
      </w:tr>
      <w:tr>
        <w:trPr/>
        <w:tc>
          <w:tcPr>
            <w:tcW w:w="2846" w:type="dxa"/>
            <w:tcBorders/>
            <w:vAlign w:val="center"/>
          </w:tcPr>
          <w:p>
            <w:pPr>
              <w:pStyle w:val="TableContents"/>
              <w:widowControl w:val="false"/>
              <w:suppressLineNumbers/>
              <w:bidi w:val="0"/>
              <w:jc w:val="left"/>
              <w:rPr/>
            </w:pPr>
            <w:r>
              <w:rPr/>
              <w:t>The weather flags use kilometers and degrees Celsius: 8 km and 1.5 km visibility bands, a 0 degree freezing line.</w:t>
            </w:r>
          </w:p>
        </w:tc>
        <w:tc>
          <w:tcPr>
            <w:tcW w:w="2838" w:type="dxa"/>
            <w:tcBorders/>
            <w:vAlign w:val="center"/>
          </w:tcPr>
          <w:p>
            <w:pPr>
              <w:pStyle w:val="TableContents"/>
              <w:widowControl w:val="false"/>
              <w:suppressLineNumbers/>
              <w:bidi w:val="0"/>
              <w:jc w:val="left"/>
              <w:rPr/>
            </w:pPr>
            <w:r>
              <w:rPr/>
              <w:t>Another region may report in other units.</w:t>
            </w:r>
          </w:p>
        </w:tc>
        <w:tc>
          <w:tcPr>
            <w:tcW w:w="2507" w:type="dxa"/>
            <w:tcBorders/>
            <w:vAlign w:val="center"/>
          </w:tcPr>
          <w:p>
            <w:pPr>
              <w:pStyle w:val="TableContents"/>
              <w:widowControl w:val="false"/>
              <w:suppressLineNumbers/>
              <w:bidi w:val="0"/>
              <w:jc w:val="left"/>
              <w:rPr/>
            </w:pPr>
            <w:r>
              <w:rPr/>
              <w:t>Convert before flagging; confirm the units the archive returns.</w:t>
            </w:r>
          </w:p>
        </w:tc>
        <w:tc>
          <w:tcPr>
            <w:tcW w:w="2348" w:type="dxa"/>
            <w:tcBorders/>
            <w:vAlign w:val="center"/>
          </w:tcPr>
          <w:p>
            <w:pPr>
              <w:pStyle w:val="TableContents"/>
              <w:widowControl w:val="false"/>
              <w:suppressLineNumbers/>
              <w:bidi w:val="0"/>
              <w:jc w:val="left"/>
              <w:rPr/>
            </w:pPr>
            <w:r>
              <w:rPr/>
              <w:t>The weather block.</w:t>
            </w:r>
          </w:p>
        </w:tc>
      </w:tr>
      <w:tr>
        <w:trPr/>
        <w:tc>
          <w:tcPr>
            <w:tcW w:w="2846" w:type="dxa"/>
            <w:tcBorders/>
            <w:vAlign w:val="center"/>
          </w:tcPr>
          <w:p>
            <w:pPr>
              <w:pStyle w:val="TableContents"/>
              <w:widowControl w:val="false"/>
              <w:suppressLineNumbers/>
              <w:bidi w:val="0"/>
              <w:jc w:val="left"/>
              <w:rPr/>
            </w:pPr>
            <w:r>
              <w:rPr/>
              <w:t>The map is one OpenStreetMap extract per airport, pinned to its fetch time.</w:t>
            </w:r>
          </w:p>
        </w:tc>
        <w:tc>
          <w:tcPr>
            <w:tcW w:w="2838" w:type="dxa"/>
            <w:tcBorders/>
            <w:vAlign w:val="center"/>
          </w:tcPr>
          <w:p>
            <w:pPr>
              <w:pStyle w:val="TableContents"/>
              <w:widowControl w:val="false"/>
              <w:suppressLineNumbers/>
              <w:bidi w:val="0"/>
              <w:jc w:val="left"/>
              <w:rPr/>
            </w:pPr>
            <w:r>
              <w:rPr/>
              <w:t>The map changes as contributors edit it, and the licence travels with the extract.</w:t>
            </w:r>
          </w:p>
        </w:tc>
        <w:tc>
          <w:tcPr>
            <w:tcW w:w="2507" w:type="dxa"/>
            <w:tcBorders/>
            <w:vAlign w:val="center"/>
          </w:tcPr>
          <w:p>
            <w:pPr>
              <w:pStyle w:val="TableContents"/>
              <w:widowControl w:val="false"/>
              <w:suppressLineNumbers/>
              <w:bidi w:val="0"/>
              <w:jc w:val="left"/>
              <w:rPr/>
            </w:pPr>
            <w:r>
              <w:rPr/>
              <w:t>Pin each fetch, re-fetch deliberately, and carry the ODbL attribution.</w:t>
            </w:r>
          </w:p>
        </w:tc>
        <w:tc>
          <w:tcPr>
            <w:tcW w:w="2348" w:type="dxa"/>
            <w:tcBorders/>
            <w:vAlign w:val="center"/>
          </w:tcPr>
          <w:p>
            <w:pPr>
              <w:pStyle w:val="TableContents"/>
              <w:widowControl w:val="false"/>
              <w:suppressLineNumbers/>
              <w:bidi w:val="0"/>
              <w:jc w:val="left"/>
              <w:rPr/>
            </w:pPr>
            <w:r>
              <w:rPr/>
              <w:t>Whether a distance can be reproduced.</w:t>
            </w:r>
          </w:p>
        </w:tc>
      </w:tr>
      <w:tr>
        <w:trPr/>
        <w:tc>
          <w:tcPr>
            <w:tcW w:w="2846" w:type="dxa"/>
            <w:tcBorders/>
            <w:vAlign w:val="center"/>
          </w:tcPr>
          <w:p>
            <w:pPr>
              <w:pStyle w:val="TableContents"/>
              <w:widowControl w:val="false"/>
              <w:suppressLineNumbers/>
              <w:bidi w:val="0"/>
              <w:jc w:val="left"/>
              <w:rPr/>
            </w:pPr>
            <w:r>
              <w:rPr/>
              <w:t>The record-quality term exists where the off-block time was defaulted to the schedule, which here is one airport.</w:t>
            </w:r>
          </w:p>
        </w:tc>
        <w:tc>
          <w:tcPr>
            <w:tcW w:w="2838" w:type="dxa"/>
            <w:tcBorders/>
            <w:vAlign w:val="center"/>
          </w:tcPr>
          <w:p>
            <w:pPr>
              <w:pStyle w:val="TableContents"/>
              <w:widowControl w:val="false"/>
              <w:suppressLineNumbers/>
              <w:bidi w:val="0"/>
              <w:jc w:val="left"/>
              <w:rPr/>
            </w:pPr>
            <w:r>
              <w:rPr/>
              <w:t>A new operator may default differently, or never.</w:t>
            </w:r>
          </w:p>
        </w:tc>
        <w:tc>
          <w:tcPr>
            <w:tcW w:w="2507" w:type="dxa"/>
            <w:tcBorders/>
            <w:vAlign w:val="center"/>
          </w:tcPr>
          <w:p>
            <w:pPr>
              <w:pStyle w:val="TableContents"/>
              <w:widowControl w:val="false"/>
              <w:suppressLineNumbers/>
              <w:bidi w:val="0"/>
              <w:jc w:val="left"/>
              <w:rPr/>
            </w:pPr>
            <w:r>
              <w:rPr/>
              <w:t>Run the cell test of §4 on the airport. If no cell qualifies, the airport is left to the physical model.</w:t>
            </w:r>
          </w:p>
        </w:tc>
        <w:tc>
          <w:tcPr>
            <w:tcW w:w="2348" w:type="dxa"/>
            <w:tcBorders/>
            <w:vAlign w:val="center"/>
          </w:tcPr>
          <w:p>
            <w:pPr>
              <w:pStyle w:val="TableContents"/>
              <w:widowControl w:val="false"/>
              <w:suppressLineNumbers/>
              <w:bidi w:val="0"/>
              <w:jc w:val="left"/>
              <w:rPr/>
            </w:pPr>
            <w:r>
              <w:rPr/>
              <w:t>Whether an RMSE means anything at the airport.</w:t>
            </w:r>
          </w:p>
        </w:tc>
      </w:tr>
      <w:tr>
        <w:trPr/>
        <w:tc>
          <w:tcPr>
            <w:tcW w:w="2846" w:type="dxa"/>
            <w:tcBorders/>
            <w:vAlign w:val="center"/>
          </w:tcPr>
          <w:p>
            <w:pPr>
              <w:pStyle w:val="TableContents"/>
              <w:widowControl w:val="false"/>
              <w:suppressLineNumbers/>
              <w:bidi w:val="0"/>
              <w:jc w:val="left"/>
              <w:rPr/>
            </w:pPr>
            <w:r>
              <w:rPr/>
              <w:t>The ground-movement correction reads aircraft seen within 8 km of the reference point.</w:t>
            </w:r>
          </w:p>
        </w:tc>
        <w:tc>
          <w:tcPr>
            <w:tcW w:w="2838" w:type="dxa"/>
            <w:tcBorders/>
            <w:vAlign w:val="center"/>
          </w:tcPr>
          <w:p>
            <w:pPr>
              <w:pStyle w:val="TableContents"/>
              <w:widowControl w:val="false"/>
              <w:suppressLineNumbers/>
              <w:bidi w:val="0"/>
              <w:jc w:val="left"/>
              <w:rPr/>
            </w:pPr>
            <w:r>
              <w:rPr/>
              <w:t>Receiver coverage differs by airport and by day.</w:t>
            </w:r>
          </w:p>
        </w:tc>
        <w:tc>
          <w:tcPr>
            <w:tcW w:w="2507" w:type="dxa"/>
            <w:tcBorders/>
            <w:vAlign w:val="center"/>
          </w:tcPr>
          <w:p>
            <w:pPr>
              <w:pStyle w:val="TableContents"/>
              <w:widowControl w:val="false"/>
              <w:suppressLineNumbers/>
              <w:bidi w:val="0"/>
              <w:jc w:val="left"/>
              <w:rPr/>
            </w:pPr>
            <w:r>
              <w:rPr/>
              <w:t>Measure coverage per airport before applying the correction.</w:t>
            </w:r>
          </w:p>
        </w:tc>
        <w:tc>
          <w:tcPr>
            <w:tcW w:w="2348" w:type="dxa"/>
            <w:tcBorders/>
            <w:vAlign w:val="center"/>
          </w:tcPr>
          <w:p>
            <w:pPr>
              <w:pStyle w:val="TableContents"/>
              <w:widowControl w:val="false"/>
              <w:suppressLineNumbers/>
              <w:bidi w:val="0"/>
              <w:jc w:val="left"/>
              <w:rPr/>
            </w:pPr>
            <w:r>
              <w:rPr/>
              <w:t>Where the correction can be claimed to help.</w:t>
            </w:r>
          </w:p>
        </w:tc>
      </w:tr>
      <w:tr>
        <w:trPr/>
        <w:tc>
          <w:tcPr>
            <w:tcW w:w="2846" w:type="dxa"/>
            <w:tcBorders/>
            <w:vAlign w:val="center"/>
          </w:tcPr>
          <w:p>
            <w:pPr>
              <w:pStyle w:val="TableContents"/>
              <w:widowControl w:val="false"/>
              <w:suppressLineNumbers/>
              <w:bidi w:val="0"/>
              <w:jc w:val="left"/>
              <w:rPr/>
            </w:pPr>
            <w:r>
              <w:rPr/>
              <w:t>Data terms are recorded beside each cache: ODbL for the map and for adsb.lol, public domain for the weather and for OurAirports, MIT for the holiday code.</w:t>
            </w:r>
          </w:p>
        </w:tc>
        <w:tc>
          <w:tcPr>
            <w:tcW w:w="2838" w:type="dxa"/>
            <w:tcBorders/>
            <w:vAlign w:val="center"/>
          </w:tcPr>
          <w:p>
            <w:pPr>
              <w:pStyle w:val="TableContents"/>
              <w:widowControl w:val="false"/>
              <w:suppressLineNumbers/>
              <w:bidi w:val="0"/>
              <w:jc w:val="left"/>
              <w:rPr/>
            </w:pPr>
            <w:r>
              <w:rPr/>
              <w:t>A new region's data may restrict redistribution.</w:t>
            </w:r>
          </w:p>
        </w:tc>
        <w:tc>
          <w:tcPr>
            <w:tcW w:w="2507" w:type="dxa"/>
            <w:tcBorders/>
            <w:vAlign w:val="center"/>
          </w:tcPr>
          <w:p>
            <w:pPr>
              <w:pStyle w:val="TableContents"/>
              <w:widowControl w:val="false"/>
              <w:suppressLineNumbers/>
              <w:bidi w:val="0"/>
              <w:jc w:val="left"/>
              <w:rPr/>
            </w:pPr>
            <w:r>
              <w:rPr/>
              <w:t>Record the terms with the cache manifest, as here.</w:t>
            </w:r>
          </w:p>
        </w:tc>
        <w:tc>
          <w:tcPr>
            <w:tcW w:w="2348" w:type="dxa"/>
            <w:tcBorders/>
            <w:vAlign w:val="center"/>
          </w:tcPr>
          <w:p>
            <w:pPr>
              <w:pStyle w:val="TableContents"/>
              <w:widowControl w:val="false"/>
              <w:suppressLineNumbers/>
              <w:bidi w:val="0"/>
              <w:jc w:val="left"/>
              <w:rPr/>
            </w:pPr>
            <w:r>
              <w:rPr/>
              <w:t>Whether the result can be reproduced by a reader.</w:t>
            </w:r>
          </w:p>
        </w:tc>
      </w:tr>
    </w:tbl>
    <w:p>
      <w:pPr>
        <w:pStyle w:val="BodyText"/>
        <w:bidi w:val="0"/>
        <w:jc w:val="left"/>
        <w:rPr/>
      </w:pPr>
      <w:r>
        <w:rPr>
          <w:rStyle w:val="Strong"/>
        </w:rPr>
        <w:t>Crosswalk 2: the operator's fields and the names used here.</w:t>
      </w:r>
      <w:r>
        <w:rPr/>
        <w:t xml:space="preserve"> A new airport maps its own fields onto these, and the mapping is the first thing to check.</w:t>
      </w:r>
    </w:p>
    <w:tbl>
      <w:tblPr>
        <w:tblW w:w="10539" w:type="dxa"/>
        <w:jc w:val="left"/>
        <w:tblInd w:w="28" w:type="dxa"/>
        <w:tblLayout w:type="fixed"/>
        <w:tblCellMar>
          <w:top w:w="28" w:type="dxa"/>
          <w:left w:w="28" w:type="dxa"/>
          <w:bottom w:w="28" w:type="dxa"/>
          <w:right w:w="28" w:type="dxa"/>
        </w:tblCellMar>
      </w:tblPr>
      <w:tblGrid>
        <w:gridCol w:w="2822"/>
        <w:gridCol w:w="4017"/>
        <w:gridCol w:w="3700"/>
      </w:tblGrid>
      <w:tr>
        <w:trPr>
          <w:tblHeader w:val="true"/>
        </w:trPr>
        <w:tc>
          <w:tcPr>
            <w:tcW w:w="2822" w:type="dxa"/>
            <w:tcBorders/>
            <w:vAlign w:val="center"/>
          </w:tcPr>
          <w:p>
            <w:pPr>
              <w:pStyle w:val="TableHeading"/>
              <w:suppressLineNumbers/>
              <w:bidi w:val="0"/>
              <w:jc w:val="center"/>
              <w:rPr/>
            </w:pPr>
            <w:r>
              <w:rPr/>
              <w:t>the operator's field</w:t>
            </w:r>
          </w:p>
        </w:tc>
        <w:tc>
          <w:tcPr>
            <w:tcW w:w="4017" w:type="dxa"/>
            <w:tcBorders/>
            <w:vAlign w:val="center"/>
          </w:tcPr>
          <w:p>
            <w:pPr>
              <w:pStyle w:val="TableHeading"/>
              <w:suppressLineNumbers/>
              <w:bidi w:val="0"/>
              <w:jc w:val="center"/>
              <w:rPr/>
            </w:pPr>
            <w:r>
              <w:rPr/>
              <w:t>name used here</w:t>
            </w:r>
          </w:p>
        </w:tc>
        <w:tc>
          <w:tcPr>
            <w:tcW w:w="3700" w:type="dxa"/>
            <w:tcBorders/>
            <w:vAlign w:val="center"/>
          </w:tcPr>
          <w:p>
            <w:pPr>
              <w:pStyle w:val="TableHeading"/>
              <w:suppressLineNumbers/>
              <w:bidi w:val="0"/>
              <w:jc w:val="center"/>
              <w:rPr/>
            </w:pPr>
            <w:r>
              <w:rPr/>
              <w:t>used for</w:t>
            </w:r>
          </w:p>
        </w:tc>
      </w:tr>
      <w:tr>
        <w:trPr/>
        <w:tc>
          <w:tcPr>
            <w:tcW w:w="2822" w:type="dxa"/>
            <w:tcBorders/>
            <w:vAlign w:val="center"/>
          </w:tcPr>
          <w:p>
            <w:pPr>
              <w:pStyle w:val="TableContents"/>
              <w:widowControl w:val="false"/>
              <w:suppressLineNumbers/>
              <w:bidi w:val="0"/>
              <w:jc w:val="left"/>
              <w:rPr/>
            </w:pPr>
            <w:r>
              <w:rPr/>
              <w:t>departure airport</w:t>
            </w:r>
          </w:p>
        </w:tc>
        <w:tc>
          <w:tcPr>
            <w:tcW w:w="4017" w:type="dxa"/>
            <w:tcBorders/>
            <w:vAlign w:val="center"/>
          </w:tcPr>
          <w:p>
            <w:pPr>
              <w:pStyle w:val="TableContents"/>
              <w:widowControl w:val="false"/>
              <w:suppressLineNumbers/>
              <w:bidi w:val="0"/>
              <w:jc w:val="left"/>
              <w:rPr/>
            </w:pPr>
            <w:r>
              <w:rPr>
                <w:rStyle w:val="SourceText"/>
              </w:rPr>
              <w:t>ADEP_mvt</w:t>
            </w:r>
          </w:p>
        </w:tc>
        <w:tc>
          <w:tcPr>
            <w:tcW w:w="3700" w:type="dxa"/>
            <w:tcBorders/>
            <w:vAlign w:val="center"/>
          </w:tcPr>
          <w:p>
            <w:pPr>
              <w:pStyle w:val="TableContents"/>
              <w:widowControl w:val="false"/>
              <w:suppressLineNumbers/>
              <w:bidi w:val="0"/>
              <w:jc w:val="left"/>
              <w:rPr/>
            </w:pPr>
            <w:r>
              <w:rPr/>
              <w:t>the airport key</w:t>
            </w:r>
          </w:p>
        </w:tc>
      </w:tr>
      <w:tr>
        <w:trPr/>
        <w:tc>
          <w:tcPr>
            <w:tcW w:w="2822" w:type="dxa"/>
            <w:tcBorders/>
            <w:vAlign w:val="center"/>
          </w:tcPr>
          <w:p>
            <w:pPr>
              <w:pStyle w:val="TableContents"/>
              <w:widowControl w:val="false"/>
              <w:suppressLineNumbers/>
              <w:bidi w:val="0"/>
              <w:jc w:val="left"/>
              <w:rPr/>
            </w:pPr>
            <w:r>
              <w:rPr/>
              <w:t>stand</w:t>
            </w:r>
          </w:p>
        </w:tc>
        <w:tc>
          <w:tcPr>
            <w:tcW w:w="4017" w:type="dxa"/>
            <w:tcBorders/>
            <w:vAlign w:val="center"/>
          </w:tcPr>
          <w:p>
            <w:pPr>
              <w:pStyle w:val="TableContents"/>
              <w:widowControl w:val="false"/>
              <w:suppressLineNumbers/>
              <w:bidi w:val="0"/>
              <w:jc w:val="left"/>
              <w:rPr/>
            </w:pPr>
            <w:r>
              <w:rPr>
                <w:rStyle w:val="SourceText"/>
              </w:rPr>
              <w:t>STAND_mvt</w:t>
            </w:r>
          </w:p>
        </w:tc>
        <w:tc>
          <w:tcPr>
            <w:tcW w:w="3700" w:type="dxa"/>
            <w:tcBorders/>
            <w:vAlign w:val="center"/>
          </w:tcPr>
          <w:p>
            <w:pPr>
              <w:pStyle w:val="TableContents"/>
              <w:widowControl w:val="false"/>
              <w:suppressLineNumbers/>
              <w:bidi w:val="0"/>
              <w:jc w:val="left"/>
              <w:rPr/>
            </w:pPr>
            <w:r>
              <w:rPr/>
              <w:t>the join to the map</w:t>
            </w:r>
          </w:p>
        </w:tc>
      </w:tr>
      <w:tr>
        <w:trPr/>
        <w:tc>
          <w:tcPr>
            <w:tcW w:w="2822" w:type="dxa"/>
            <w:tcBorders/>
            <w:vAlign w:val="center"/>
          </w:tcPr>
          <w:p>
            <w:pPr>
              <w:pStyle w:val="TableContents"/>
              <w:widowControl w:val="false"/>
              <w:suppressLineNumbers/>
              <w:bidi w:val="0"/>
              <w:jc w:val="left"/>
              <w:rPr/>
            </w:pPr>
            <w:r>
              <w:rPr/>
              <w:t>runway</w:t>
            </w:r>
          </w:p>
        </w:tc>
        <w:tc>
          <w:tcPr>
            <w:tcW w:w="4017" w:type="dxa"/>
            <w:tcBorders/>
            <w:vAlign w:val="center"/>
          </w:tcPr>
          <w:p>
            <w:pPr>
              <w:pStyle w:val="TableContents"/>
              <w:widowControl w:val="false"/>
              <w:suppressLineNumbers/>
              <w:bidi w:val="0"/>
              <w:jc w:val="left"/>
              <w:rPr/>
            </w:pPr>
            <w:r>
              <w:rPr>
                <w:rStyle w:val="SourceText"/>
              </w:rPr>
              <w:t>RUNWAY_mvt</w:t>
            </w:r>
          </w:p>
        </w:tc>
        <w:tc>
          <w:tcPr>
            <w:tcW w:w="3700" w:type="dxa"/>
            <w:tcBorders/>
            <w:vAlign w:val="center"/>
          </w:tcPr>
          <w:p>
            <w:pPr>
              <w:pStyle w:val="TableContents"/>
              <w:widowControl w:val="false"/>
              <w:suppressLineNumbers/>
              <w:bidi w:val="0"/>
              <w:jc w:val="left"/>
              <w:rPr/>
            </w:pPr>
            <w:r>
              <w:rPr/>
              <w:t>the join to the map; values that name no runway are excluded</w:t>
            </w:r>
          </w:p>
        </w:tc>
      </w:tr>
      <w:tr>
        <w:trPr/>
        <w:tc>
          <w:tcPr>
            <w:tcW w:w="2822" w:type="dxa"/>
            <w:tcBorders/>
            <w:vAlign w:val="center"/>
          </w:tcPr>
          <w:p>
            <w:pPr>
              <w:pStyle w:val="TableContents"/>
              <w:widowControl w:val="false"/>
              <w:suppressLineNumbers/>
              <w:bidi w:val="0"/>
              <w:jc w:val="left"/>
              <w:rPr/>
            </w:pPr>
            <w:r>
              <w:rPr/>
              <w:t>take-off time, UTC</w:t>
            </w:r>
          </w:p>
        </w:tc>
        <w:tc>
          <w:tcPr>
            <w:tcW w:w="4017" w:type="dxa"/>
            <w:tcBorders/>
            <w:vAlign w:val="center"/>
          </w:tcPr>
          <w:p>
            <w:pPr>
              <w:pStyle w:val="TableContents"/>
              <w:widowControl w:val="false"/>
              <w:suppressLineNumbers/>
              <w:bidi w:val="0"/>
              <w:jc w:val="left"/>
              <w:rPr/>
            </w:pPr>
            <w:r>
              <w:rPr>
                <w:rStyle w:val="SourceText"/>
              </w:rPr>
              <w:t>MVT_TIME_UTC_mvt</w:t>
            </w:r>
          </w:p>
        </w:tc>
        <w:tc>
          <w:tcPr>
            <w:tcW w:w="3700" w:type="dxa"/>
            <w:tcBorders/>
            <w:vAlign w:val="center"/>
          </w:tcPr>
          <w:p>
            <w:pPr>
              <w:pStyle w:val="TableContents"/>
              <w:widowControl w:val="false"/>
              <w:suppressLineNumbers/>
              <w:bidi w:val="0"/>
              <w:jc w:val="left"/>
              <w:rPr/>
            </w:pPr>
            <w:r>
              <w:rPr/>
              <w:t>the anchor for every time feature</w:t>
            </w:r>
          </w:p>
        </w:tc>
      </w:tr>
      <w:tr>
        <w:trPr/>
        <w:tc>
          <w:tcPr>
            <w:tcW w:w="2822" w:type="dxa"/>
            <w:tcBorders/>
            <w:vAlign w:val="center"/>
          </w:tcPr>
          <w:p>
            <w:pPr>
              <w:pStyle w:val="TableContents"/>
              <w:widowControl w:val="false"/>
              <w:suppressLineNumbers/>
              <w:bidi w:val="0"/>
              <w:jc w:val="left"/>
              <w:rPr/>
            </w:pPr>
            <w:r>
              <w:rPr/>
              <w:t>off-block time, recorded</w:t>
            </w:r>
          </w:p>
        </w:tc>
        <w:tc>
          <w:tcPr>
            <w:tcW w:w="4017" w:type="dxa"/>
            <w:tcBorders/>
            <w:vAlign w:val="center"/>
          </w:tcPr>
          <w:p>
            <w:pPr>
              <w:pStyle w:val="TableContents"/>
              <w:widowControl w:val="false"/>
              <w:suppressLineNumbers/>
              <w:bidi w:val="0"/>
              <w:jc w:val="left"/>
              <w:rPr/>
            </w:pPr>
            <w:r>
              <w:rPr>
                <w:rStyle w:val="SourceText"/>
              </w:rPr>
              <w:t>BLOCK_TIME_UTC_mvt</w:t>
            </w:r>
          </w:p>
        </w:tc>
        <w:tc>
          <w:tcPr>
            <w:tcW w:w="3700" w:type="dxa"/>
            <w:tcBorders/>
            <w:vAlign w:val="center"/>
          </w:tcPr>
          <w:p>
            <w:pPr>
              <w:pStyle w:val="TableContents"/>
              <w:widowControl w:val="false"/>
              <w:suppressLineNumbers/>
              <w:bidi w:val="0"/>
              <w:jc w:val="left"/>
              <w:rPr/>
            </w:pPr>
            <w:r>
              <w:rPr/>
              <w:t>the target's start; withheld in the ranking set</w:t>
            </w:r>
          </w:p>
        </w:tc>
      </w:tr>
      <w:tr>
        <w:trPr/>
        <w:tc>
          <w:tcPr>
            <w:tcW w:w="2822" w:type="dxa"/>
            <w:tcBorders/>
            <w:vAlign w:val="center"/>
          </w:tcPr>
          <w:p>
            <w:pPr>
              <w:pStyle w:val="TableContents"/>
              <w:widowControl w:val="false"/>
              <w:suppressLineNumbers/>
              <w:bidi w:val="0"/>
              <w:jc w:val="left"/>
              <w:rPr/>
            </w:pPr>
            <w:r>
              <w:rPr/>
              <w:t>taxi-out in seconds</w:t>
            </w:r>
          </w:p>
        </w:tc>
        <w:tc>
          <w:tcPr>
            <w:tcW w:w="4017" w:type="dxa"/>
            <w:tcBorders/>
            <w:vAlign w:val="center"/>
          </w:tcPr>
          <w:p>
            <w:pPr>
              <w:pStyle w:val="TableContents"/>
              <w:widowControl w:val="false"/>
              <w:suppressLineNumbers/>
              <w:bidi w:val="0"/>
              <w:jc w:val="left"/>
              <w:rPr/>
            </w:pPr>
            <w:r>
              <w:rPr>
                <w:rStyle w:val="SourceText"/>
              </w:rPr>
              <w:t>TAXITIME_SEC_mvt</w:t>
            </w:r>
          </w:p>
        </w:tc>
        <w:tc>
          <w:tcPr>
            <w:tcW w:w="3700" w:type="dxa"/>
            <w:tcBorders/>
            <w:vAlign w:val="center"/>
          </w:tcPr>
          <w:p>
            <w:pPr>
              <w:pStyle w:val="TableContents"/>
              <w:widowControl w:val="false"/>
              <w:suppressLineNumbers/>
              <w:bidi w:val="0"/>
              <w:jc w:val="left"/>
              <w:rPr/>
            </w:pPr>
            <w:r>
              <w:rPr/>
              <w:t>the target</w:t>
            </w:r>
          </w:p>
        </w:tc>
      </w:tr>
      <w:tr>
        <w:trPr/>
        <w:tc>
          <w:tcPr>
            <w:tcW w:w="2822" w:type="dxa"/>
            <w:tcBorders/>
            <w:vAlign w:val="center"/>
          </w:tcPr>
          <w:p>
            <w:pPr>
              <w:pStyle w:val="TableContents"/>
              <w:widowControl w:val="false"/>
              <w:suppressLineNumbers/>
              <w:bidi w:val="0"/>
              <w:jc w:val="left"/>
              <w:rPr/>
            </w:pPr>
            <w:r>
              <w:rPr/>
              <w:t>scheduled time</w:t>
            </w:r>
          </w:p>
        </w:tc>
        <w:tc>
          <w:tcPr>
            <w:tcW w:w="4017" w:type="dxa"/>
            <w:tcBorders/>
            <w:vAlign w:val="center"/>
          </w:tcPr>
          <w:p>
            <w:pPr>
              <w:pStyle w:val="TableContents"/>
              <w:widowControl w:val="false"/>
              <w:suppressLineNumbers/>
              <w:bidi w:val="0"/>
              <w:jc w:val="left"/>
              <w:rPr/>
            </w:pPr>
            <w:r>
              <w:rPr>
                <w:rStyle w:val="SourceText"/>
              </w:rPr>
              <w:t>SCHED_TIME_UTC_mvt</w:t>
            </w:r>
          </w:p>
        </w:tc>
        <w:tc>
          <w:tcPr>
            <w:tcW w:w="3700" w:type="dxa"/>
            <w:tcBorders/>
            <w:vAlign w:val="center"/>
          </w:tcPr>
          <w:p>
            <w:pPr>
              <w:pStyle w:val="TableContents"/>
              <w:widowControl w:val="false"/>
              <w:suppressLineNumbers/>
              <w:bidi w:val="0"/>
              <w:jc w:val="left"/>
              <w:rPr/>
            </w:pPr>
            <w:r>
              <w:rPr/>
              <w:t>the schedule lag</w:t>
            </w:r>
          </w:p>
        </w:tc>
      </w:tr>
      <w:tr>
        <w:trPr/>
        <w:tc>
          <w:tcPr>
            <w:tcW w:w="2822" w:type="dxa"/>
            <w:tcBorders/>
            <w:vAlign w:val="center"/>
          </w:tcPr>
          <w:p>
            <w:pPr>
              <w:pStyle w:val="TableContents"/>
              <w:widowControl w:val="false"/>
              <w:suppressLineNumbers/>
              <w:bidi w:val="0"/>
              <w:jc w:val="left"/>
              <w:rPr/>
            </w:pPr>
            <w:r>
              <w:rPr/>
              <w:t>aircraft type; wake category</w:t>
            </w:r>
          </w:p>
        </w:tc>
        <w:tc>
          <w:tcPr>
            <w:tcW w:w="4017" w:type="dxa"/>
            <w:tcBorders/>
            <w:vAlign w:val="center"/>
          </w:tcPr>
          <w:p>
            <w:pPr>
              <w:pStyle w:val="TableContents"/>
              <w:widowControl w:val="false"/>
              <w:suppressLineNumbers/>
              <w:bidi w:val="0"/>
              <w:jc w:val="left"/>
              <w:rPr/>
            </w:pPr>
            <w:r>
              <w:rPr>
                <w:rStyle w:val="SourceText"/>
              </w:rPr>
              <w:t>AIRCRAFT_TYPE_mvt</w:t>
            </w:r>
            <w:r>
              <w:rPr/>
              <w:t xml:space="preserve">; </w:t>
            </w:r>
            <w:r>
              <w:rPr>
                <w:rStyle w:val="SourceText"/>
              </w:rPr>
              <w:t>WK_TBL_CAT_flt</w:t>
            </w:r>
          </w:p>
        </w:tc>
        <w:tc>
          <w:tcPr>
            <w:tcW w:w="3700" w:type="dxa"/>
            <w:tcBorders/>
            <w:vAlign w:val="center"/>
          </w:tcPr>
          <w:p>
            <w:pPr>
              <w:pStyle w:val="TableContents"/>
              <w:widowControl w:val="false"/>
              <w:suppressLineNumbers/>
              <w:bidi w:val="0"/>
              <w:jc w:val="left"/>
              <w:rPr/>
            </w:pPr>
            <w:r>
              <w:rPr/>
              <w:t>the aircraft block</w:t>
            </w:r>
          </w:p>
        </w:tc>
      </w:tr>
      <w:tr>
        <w:trPr/>
        <w:tc>
          <w:tcPr>
            <w:tcW w:w="2822" w:type="dxa"/>
            <w:tcBorders/>
            <w:vAlign w:val="center"/>
          </w:tcPr>
          <w:p>
            <w:pPr>
              <w:pStyle w:val="TableContents"/>
              <w:widowControl w:val="false"/>
              <w:suppressLineNumbers/>
              <w:bidi w:val="0"/>
              <w:jc w:val="left"/>
              <w:rPr/>
            </w:pPr>
            <w:r>
              <w:rPr/>
              <w:t>callsign; operator</w:t>
            </w:r>
          </w:p>
        </w:tc>
        <w:tc>
          <w:tcPr>
            <w:tcW w:w="4017" w:type="dxa"/>
            <w:tcBorders/>
            <w:vAlign w:val="center"/>
          </w:tcPr>
          <w:p>
            <w:pPr>
              <w:pStyle w:val="TableContents"/>
              <w:widowControl w:val="false"/>
              <w:suppressLineNumbers/>
              <w:bidi w:val="0"/>
              <w:jc w:val="left"/>
              <w:rPr/>
            </w:pPr>
            <w:r>
              <w:rPr>
                <w:rStyle w:val="SourceText"/>
              </w:rPr>
              <w:t>CALLSIGN_flt</w:t>
            </w:r>
            <w:r>
              <w:rPr/>
              <w:t xml:space="preserve">; </w:t>
            </w:r>
            <w:r>
              <w:rPr>
                <w:rStyle w:val="SourceText"/>
              </w:rPr>
              <w:t>AIRCRAFT_OPERATOR_flt</w:t>
            </w:r>
          </w:p>
        </w:tc>
        <w:tc>
          <w:tcPr>
            <w:tcW w:w="3700" w:type="dxa"/>
            <w:tcBorders/>
            <w:vAlign w:val="center"/>
          </w:tcPr>
          <w:p>
            <w:pPr>
              <w:pStyle w:val="TableContents"/>
              <w:widowControl w:val="false"/>
              <w:suppressLineNumbers/>
              <w:bidi w:val="0"/>
              <w:jc w:val="left"/>
              <w:rPr/>
            </w:pPr>
            <w:r>
              <w:rPr/>
              <w:t>the callsign-prefix block</w:t>
            </w:r>
          </w:p>
        </w:tc>
      </w:tr>
      <w:tr>
        <w:trPr/>
        <w:tc>
          <w:tcPr>
            <w:tcW w:w="2822" w:type="dxa"/>
            <w:tcBorders/>
            <w:vAlign w:val="center"/>
          </w:tcPr>
          <w:p>
            <w:pPr>
              <w:pStyle w:val="TableContents"/>
              <w:widowControl w:val="false"/>
              <w:suppressLineNumbers/>
              <w:bidi w:val="0"/>
              <w:jc w:val="left"/>
              <w:rPr/>
            </w:pPr>
            <w:r>
              <w:rPr/>
              <w:t>destination</w:t>
            </w:r>
          </w:p>
        </w:tc>
        <w:tc>
          <w:tcPr>
            <w:tcW w:w="4017" w:type="dxa"/>
            <w:tcBorders/>
            <w:vAlign w:val="center"/>
          </w:tcPr>
          <w:p>
            <w:pPr>
              <w:pStyle w:val="TableContents"/>
              <w:widowControl w:val="false"/>
              <w:suppressLineNumbers/>
              <w:bidi w:val="0"/>
              <w:jc w:val="left"/>
              <w:rPr/>
            </w:pPr>
            <w:r>
              <w:rPr>
                <w:rStyle w:val="SourceText"/>
              </w:rPr>
              <w:t>ADES_mvt</w:t>
            </w:r>
          </w:p>
        </w:tc>
        <w:tc>
          <w:tcPr>
            <w:tcW w:w="3700" w:type="dxa"/>
            <w:tcBorders/>
            <w:vAlign w:val="center"/>
          </w:tcPr>
          <w:p>
            <w:pPr>
              <w:pStyle w:val="TableContents"/>
              <w:widowControl w:val="false"/>
              <w:suppressLineNumbers/>
              <w:bidi w:val="0"/>
              <w:jc w:val="left"/>
              <w:rPr/>
            </w:pPr>
            <w:r>
              <w:rPr/>
              <w:t>the destination block</w:t>
            </w:r>
          </w:p>
        </w:tc>
      </w:tr>
      <w:tr>
        <w:trPr/>
        <w:tc>
          <w:tcPr>
            <w:tcW w:w="2822" w:type="dxa"/>
            <w:tcBorders/>
            <w:vAlign w:val="center"/>
          </w:tcPr>
          <w:p>
            <w:pPr>
              <w:pStyle w:val="TableContents"/>
              <w:widowControl w:val="false"/>
              <w:suppressLineNumbers/>
              <w:bidi w:val="0"/>
              <w:jc w:val="left"/>
              <w:rPr/>
            </w:pPr>
            <w:r>
              <w:rPr/>
              <w:t>movement phase: departure or arrival</w:t>
            </w:r>
          </w:p>
        </w:tc>
        <w:tc>
          <w:tcPr>
            <w:tcW w:w="4017" w:type="dxa"/>
            <w:tcBorders/>
            <w:vAlign w:val="center"/>
          </w:tcPr>
          <w:p>
            <w:pPr>
              <w:pStyle w:val="TableContents"/>
              <w:widowControl w:val="false"/>
              <w:suppressLineNumbers/>
              <w:bidi w:val="0"/>
              <w:jc w:val="left"/>
              <w:rPr/>
            </w:pPr>
            <w:r>
              <w:rPr>
                <w:rStyle w:val="SourceText"/>
              </w:rPr>
              <w:t>PHASE_mvt</w:t>
            </w:r>
          </w:p>
        </w:tc>
        <w:tc>
          <w:tcPr>
            <w:tcW w:w="3700" w:type="dxa"/>
            <w:tcBorders/>
            <w:vAlign w:val="center"/>
          </w:tcPr>
          <w:p>
            <w:pPr>
              <w:pStyle w:val="TableContents"/>
              <w:widowControl w:val="false"/>
              <w:suppressLineNumbers/>
              <w:bidi w:val="0"/>
              <w:jc w:val="left"/>
              <w:rPr/>
            </w:pPr>
            <w:r>
              <w:rPr/>
              <w:t>separating the traffic around a take-off</w:t>
            </w:r>
          </w:p>
        </w:tc>
      </w:tr>
      <w:tr>
        <w:trPr/>
        <w:tc>
          <w:tcPr>
            <w:tcW w:w="2822" w:type="dxa"/>
            <w:tcBorders/>
            <w:vAlign w:val="center"/>
          </w:tcPr>
          <w:p>
            <w:pPr>
              <w:pStyle w:val="TableContents"/>
              <w:widowControl w:val="false"/>
              <w:suppressLineNumbers/>
              <w:bidi w:val="0"/>
              <w:jc w:val="left"/>
              <w:rPr/>
            </w:pPr>
            <w:r>
              <w:rPr/>
              <w:t>the flight plan's off-block estimates</w:t>
            </w:r>
          </w:p>
        </w:tc>
        <w:tc>
          <w:tcPr>
            <w:tcW w:w="4017" w:type="dxa"/>
            <w:tcBorders/>
            <w:vAlign w:val="center"/>
          </w:tcPr>
          <w:p>
            <w:pPr>
              <w:pStyle w:val="TableContents"/>
              <w:widowControl w:val="false"/>
              <w:suppressLineNumbers/>
              <w:bidi w:val="0"/>
              <w:jc w:val="left"/>
              <w:rPr/>
            </w:pPr>
            <w:r>
              <w:rPr>
                <w:rStyle w:val="SourceText"/>
              </w:rPr>
              <w:t>EOBT_1_flt</w:t>
            </w:r>
            <w:r>
              <w:rPr/>
              <w:t xml:space="preserve">, </w:t>
            </w:r>
            <w:r>
              <w:rPr>
                <w:rStyle w:val="SourceText"/>
              </w:rPr>
              <w:t>LOBT_flt</w:t>
            </w:r>
          </w:p>
        </w:tc>
        <w:tc>
          <w:tcPr>
            <w:tcW w:w="3700" w:type="dxa"/>
            <w:tcBorders/>
            <w:vAlign w:val="center"/>
          </w:tcPr>
          <w:p>
            <w:pPr>
              <w:pStyle w:val="TableContents"/>
              <w:widowControl w:val="false"/>
              <w:suppressLineNumbers/>
              <w:bidi w:val="0"/>
              <w:jc w:val="left"/>
              <w:rPr/>
            </w:pPr>
            <w:r>
              <w:rPr/>
              <w:t>the plan lags</w:t>
            </w:r>
          </w:p>
        </w:tc>
      </w:tr>
      <w:tr>
        <w:trPr/>
        <w:tc>
          <w:tcPr>
            <w:tcW w:w="2822" w:type="dxa"/>
            <w:tcBorders/>
            <w:vAlign w:val="center"/>
          </w:tcPr>
          <w:p>
            <w:pPr>
              <w:pStyle w:val="TableContents"/>
              <w:widowControl w:val="false"/>
              <w:suppressLineNumbers/>
              <w:bidi w:val="0"/>
              <w:jc w:val="left"/>
              <w:rPr/>
            </w:pPr>
            <w:r>
              <w:rPr/>
              <w:t>the network manager's recorded off-block time</w:t>
            </w:r>
          </w:p>
        </w:tc>
        <w:tc>
          <w:tcPr>
            <w:tcW w:w="4017" w:type="dxa"/>
            <w:tcBorders/>
            <w:vAlign w:val="center"/>
          </w:tcPr>
          <w:p>
            <w:pPr>
              <w:pStyle w:val="TableContents"/>
              <w:widowControl w:val="false"/>
              <w:suppressLineNumbers/>
              <w:bidi w:val="0"/>
              <w:jc w:val="left"/>
              <w:rPr/>
            </w:pPr>
            <w:r>
              <w:rPr>
                <w:rStyle w:val="SourceText"/>
              </w:rPr>
              <w:t>AOBT_3_flt</w:t>
            </w:r>
          </w:p>
        </w:tc>
        <w:tc>
          <w:tcPr>
            <w:tcW w:w="3700" w:type="dxa"/>
            <w:tcBorders/>
            <w:vAlign w:val="center"/>
          </w:tcPr>
          <w:p>
            <w:pPr>
              <w:pStyle w:val="TableContents"/>
              <w:widowControl w:val="false"/>
              <w:suppressLineNumbers/>
              <w:bidi w:val="0"/>
              <w:jc w:val="left"/>
              <w:rPr/>
            </w:pPr>
            <w:r>
              <w:rPr/>
              <w:t>admitted with the feature group of §8.7.3 (§6.3)</w:t>
            </w:r>
          </w:p>
        </w:tc>
      </w:tr>
    </w:tbl>
    <w:p>
      <w:pPr>
        <w:pStyle w:val="BodyText"/>
        <w:bidi w:val="0"/>
        <w:jc w:val="left"/>
        <w:rPr/>
      </w:pPr>
      <w:r>
        <w:rPr>
          <w:rStyle w:val="Strong"/>
        </w:rPr>
        <w:t>What is measured and what is not.</w:t>
      </w:r>
      <w:r>
        <w:rPr/>
        <w:t xml:space="preserve"> Steps 1 to 6 are measured by the leave-one-out result of §5.4: the transfer model beats the pooled mean at ten airports of ten, and the geometric term alone at eight. Steps 7 to 9 are measured only at the ten airports in the data. The ten are large European hubs with mapped taxiways, so the stability of the speed is evidence about airports like these. A regional field with one runway is not represented, and a hub with poor stand tagging would first meet step 4. Two conditions fail quietly if they are not checked: unresolved stands, and an unmapped country. The code treats both as measurements, so each shows as missing rather than as an ordinary value.</w:t>
      </w:r>
    </w:p>
    <w:p>
      <w:pPr>
        <w:pStyle w:val="BodyText"/>
        <w:bidi w:val="0"/>
        <w:jc w:val="left"/>
        <w:rPr/>
      </w:pPr>
      <w:r>
        <w:rPr/>
        <w:t xml:space="preserve">Sources: </w:t>
      </w:r>
      <w:r>
        <w:rPr>
          <w:rStyle w:val="SourceText"/>
        </w:rPr>
        <w:t>reports/transfer.md</w:t>
      </w:r>
      <w:r>
        <w:rPr/>
        <w:t xml:space="preserve">, </w:t>
      </w:r>
      <w:r>
        <w:rPr>
          <w:rStyle w:val="Emphasis"/>
        </w:rPr>
        <w:t>What each predictor is allowed to read</w:t>
      </w:r>
      <w:r>
        <w:rPr/>
        <w:t xml:space="preserve"> and </w:t>
      </w:r>
      <w:r>
        <w:rPr>
          <w:rStyle w:val="Emphasis"/>
        </w:rPr>
        <w:t>What this does not show</w:t>
      </w:r>
      <w:r>
        <w:rPr/>
        <w:t xml:space="preserve">; </w:t>
      </w:r>
      <w:r>
        <w:rPr>
          <w:rStyle w:val="SourceText"/>
        </w:rPr>
        <w:t>reports/monthly_ladder.md</w:t>
      </w:r>
      <w:r>
        <w:rPr/>
        <w:t xml:space="preserve">, </w:t>
      </w:r>
      <w:r>
        <w:rPr>
          <w:rStyle w:val="Emphasis"/>
        </w:rPr>
        <w:t>Summary: the year, pooled from the twelve months</w:t>
      </w:r>
      <w:r>
        <w:rPr/>
        <w:t xml:space="preserve">; </w:t>
      </w:r>
      <w:r>
        <w:rPr>
          <w:rStyle w:val="SourceText"/>
        </w:rPr>
        <w:t>reports/tails.md</w:t>
      </w:r>
      <w:r>
        <w:rPr/>
        <w:t xml:space="preserve">, </w:t>
      </w:r>
      <w:r>
        <w:rPr>
          <w:rStyle w:val="Emphasis"/>
        </w:rPr>
        <w:t>The cells</w:t>
      </w:r>
      <w:r>
        <w:rPr/>
        <w:t xml:space="preserve">; </w:t>
      </w:r>
      <w:r>
        <w:rPr>
          <w:rStyle w:val="SourceText"/>
        </w:rPr>
        <w:t>src/taxiout/airports.py</w:t>
      </w:r>
      <w:r>
        <w:rPr/>
        <w:t xml:space="preserve">; </w:t>
      </w:r>
      <w:r>
        <w:rPr>
          <w:rStyle w:val="SourceText"/>
        </w:rPr>
        <w:t>src/taxiout/coverage.py</w:t>
      </w:r>
      <w:r>
        <w:rPr/>
        <w:t xml:space="preserve">; </w:t>
      </w:r>
      <w:r>
        <w:rPr>
          <w:rStyle w:val="SourceText"/>
        </w:rPr>
        <w:t>src/taxiout/calendar.py</w:t>
      </w:r>
      <w:r>
        <w:rPr/>
        <w:t xml:space="preserve">; </w:t>
      </w:r>
      <w:r>
        <w:rPr>
          <w:rStyle w:val="SourceText"/>
        </w:rPr>
        <w:t>src/taxiout/features.py</w:t>
      </w:r>
      <w:r>
        <w:rPr/>
        <w:t xml:space="preserve">; </w:t>
      </w:r>
      <w:r>
        <w:rPr>
          <w:rStyle w:val="SourceText"/>
        </w:rPr>
        <w:t>src/taxiout/join.py</w:t>
      </w:r>
      <w:r>
        <w:rPr/>
        <w:t xml:space="preserve">; </w:t>
      </w:r>
      <w:r>
        <w:rPr>
          <w:rStyle w:val="SourceText"/>
        </w:rPr>
        <w:t>src/taxiout/runways.py</w:t>
      </w:r>
      <w:r>
        <w:rPr/>
        <w:t xml:space="preserve">; </w:t>
      </w:r>
      <w:r>
        <w:rPr>
          <w:rStyle w:val="SourceText"/>
        </w:rPr>
        <w:t>src/taxiout/metar.py</w:t>
      </w:r>
      <w:r>
        <w:rPr/>
        <w:t xml:space="preserve">; </w:t>
      </w:r>
      <w:r>
        <w:rPr>
          <w:rStyle w:val="SourceText"/>
        </w:rPr>
        <w:t>src/taxiout/adsb.py</w:t>
      </w:r>
      <w:r>
        <w:rPr/>
        <w:t xml:space="preserve">; </w:t>
      </w:r>
      <w:r>
        <w:rPr>
          <w:rStyle w:val="SourceText"/>
        </w:rPr>
        <w:t>src/taxiout/challenge.py</w:t>
      </w:r>
      <w:r>
        <w:rPr/>
        <w:t>.</w:t>
      </w:r>
    </w:p>
    <w:p>
      <w:pPr>
        <w:pStyle w:val="Heading2"/>
        <w:bidi w:val="0"/>
        <w:jc w:val="left"/>
        <w:rPr/>
      </w:pPr>
      <w:r>
        <w:rPr/>
        <w:t>6. The excess term</w:t>
      </w:r>
    </w:p>
    <w:p>
      <w:pPr>
        <w:pStyle w:val="Heading3"/>
        <w:bidi w:val="0"/>
        <w:jc w:val="left"/>
        <w:rPr/>
      </w:pPr>
      <w:r>
        <w:rPr/>
        <w:t>6.1 What the ranking set allows, and the registry that enforces it</w:t>
      </w:r>
    </w:p>
    <w:p>
      <w:pPr>
        <w:pStyle w:val="BodyText"/>
        <w:bidi w:val="0"/>
        <w:jc w:val="left"/>
        <w:rPr/>
      </w:pPr>
      <w:r>
        <w:rPr/>
        <w:t xml:space="preserve">The rule is phase-specific: a feature may read what the ranking set exposes </w:t>
      </w:r>
      <w:r>
        <w:rPr>
          <w:rStyle w:val="Emphasis"/>
        </w:rPr>
        <w:t>for the rows it reads from</w:t>
      </w:r>
      <w:r>
        <w:rPr/>
        <w:t>. Every feature column is registered against its raw sources and the phase each is read from. The test suite holds each phase to its own list, and a poison test sets the hidden columns to nonsense and asserts that the frame does not move. Arrivals' on-block and taxi-in times are exposed at 0.0% null and are read; no departure's block or taxi time is, ever.</w:t>
      </w:r>
    </w:p>
    <w:p>
      <w:pPr>
        <w:pStyle w:val="BodyText"/>
        <w:bidi w:val="0"/>
        <w:jc w:val="left"/>
        <w:rPr/>
      </w:pPr>
      <w:r>
        <w:rPr/>
        <w:t xml:space="preserve">Sources: </w:t>
      </w:r>
      <w:r>
        <w:rPr>
          <w:rStyle w:val="SourceText"/>
        </w:rPr>
        <w:t>reports/congestion.md</w:t>
      </w:r>
      <w:r>
        <w:rPr/>
        <w:t xml:space="preserve">, </w:t>
      </w:r>
      <w:r>
        <w:rPr>
          <w:rStyle w:val="Emphasis"/>
        </w:rPr>
        <w:t>The leakage audit</w:t>
      </w:r>
      <w:r>
        <w:rPr/>
        <w:t xml:space="preserve">; </w:t>
      </w:r>
      <w:r>
        <w:rPr>
          <w:rStyle w:val="SourceText"/>
        </w:rPr>
        <w:t>reports/data_review.md</w:t>
      </w:r>
      <w:r>
        <w:rPr/>
        <w:t xml:space="preserve">, </w:t>
      </w:r>
      <w:r>
        <w:rPr>
          <w:rStyle w:val="Emphasis"/>
        </w:rPr>
        <w:t>Null rates</w:t>
      </w:r>
      <w:r>
        <w:rPr/>
        <w:t>.</w:t>
      </w:r>
    </w:p>
    <w:p>
      <w:pPr>
        <w:pStyle w:val="Heading3"/>
        <w:bidi w:val="0"/>
        <w:jc w:val="left"/>
        <w:rPr/>
      </w:pPr>
      <w:r>
        <w:rPr/>
        <w:t>6.2 Congestion, corridor, and weather</w:t>
      </w:r>
    </w:p>
    <w:p>
      <w:pPr>
        <w:pStyle w:val="BodyText"/>
        <w:bidi w:val="0"/>
        <w:jc w:val="left"/>
        <w:rPr/>
      </w:pPr>
      <w:r>
        <w:rPr/>
        <w:t>These blocks read throughput, arrivals, demand, runway configuration, shared-corridor load, and three weather regime flags per airport-hour. The corridor feature does not appear in the prior art of §1.3, and its result is reported as it fell. It weights other movements by how much of the subject's own taxiway route they share, with each edge weighted by the inverse of the routes using it.</w:t>
      </w:r>
    </w:p>
    <w:p>
      <w:pPr>
        <w:pStyle w:val="BodyText"/>
        <w:bidi w:val="0"/>
        <w:jc w:val="left"/>
        <w:rPr/>
      </w:pPr>
      <w:r>
        <w:rPr/>
        <w:t xml:space="preserve">Source: </w:t>
      </w:r>
      <w:r>
        <w:rPr>
          <w:rStyle w:val="SourceText"/>
        </w:rPr>
        <w:t>reports/congestion.md</w:t>
      </w:r>
      <w:r>
        <w:rPr/>
        <w:t>.</w:t>
      </w:r>
    </w:p>
    <w:p>
      <w:pPr>
        <w:pStyle w:val="Heading3"/>
        <w:bidi w:val="0"/>
        <w:jc w:val="left"/>
        <w:rPr/>
      </w:pPr>
      <w:r>
        <w:rPr/>
        <w:t>6.3 The flight plan's own delay signal</w:t>
      </w:r>
    </w:p>
    <w:p>
      <w:pPr>
        <w:pStyle w:val="BodyText"/>
        <w:bidi w:val="0"/>
        <w:jc w:val="left"/>
        <w:rPr/>
      </w:pPr>
      <w:r>
        <w:rPr/>
        <w:t xml:space="preserve">Take-off minus the filed off-block estimate is the strongest single feature in the model. As a ladder step it lowers the error by 79.3 s in December (320.2 → 240.9 s ex-flagged, that is, on the rows the record-quality term does not take) and 57.4 in July (407.3 → 349.9). Measured at the </w:t>
      </w:r>
      <w:r>
        <w:rPr>
          <w:rStyle w:val="SourceText"/>
        </w:rPr>
        <w:t>+ weather</w:t>
      </w:r>
      <w:r>
        <w:rPr/>
        <w:t xml:space="preserve"> rung, by removing it and keeping everything else, it is worth 59.3 and 51.7. Either way it is worth more than every congestion and weather block combined, which net of it are worth 7.7 s and 5.8.</w:t>
      </w:r>
    </w:p>
    <w:p>
      <w:pPr>
        <w:pStyle w:val="BodyText"/>
        <w:bidi w:val="0"/>
        <w:jc w:val="left"/>
        <w:rPr/>
      </w:pPr>
      <w:r>
        <w:rPr/>
        <w:t xml:space="preserve">The feature is admissible for the same reason the record-quality term is. Take-off minus a planning value fixed before departure equals the taxi-out plus the pushback delay against that plan. The model is therefore learning the distribution of pushback delay around a value it is given, which is the same construction the record-quality term uses with the schedule. </w:t>
      </w:r>
      <w:r>
        <w:rPr>
          <w:rStyle w:val="SourceText"/>
        </w:rPr>
        <w:t>EOBT_1_flt</w:t>
      </w:r>
      <w:r>
        <w:rPr/>
        <w:t xml:space="preserve"> and </w:t>
      </w:r>
      <w:r>
        <w:rPr>
          <w:rStyle w:val="SourceText"/>
        </w:rPr>
        <w:t>LOBT_flt</w:t>
      </w:r>
      <w:r>
        <w:rPr/>
        <w:t xml:space="preserve"> are planning values the ranking set exposes, not post-hoc records of the blanked field. </w:t>
      </w:r>
      <w:r>
        <w:rPr>
          <w:rStyle w:val="SourceText"/>
        </w:rPr>
        <w:t>AOBT_3_flt</w:t>
      </w:r>
      <w:r>
        <w:rPr/>
        <w:t>, which is such a record, is excluded.</w:t>
      </w:r>
    </w:p>
    <w:p>
      <w:pPr>
        <w:pStyle w:val="BodyText"/>
        <w:bidi w:val="0"/>
        <w:jc w:val="left"/>
        <w:rPr/>
      </w:pPr>
      <w:r>
        <w:rPr/>
        <w:t>Its held-out-pair contrast is −1.4 s [−5.8, +3.2], an interval that spans zero. It helps equally whether the pair is new or familiar, which is what a feature about the day rather than the place should do. The ladder is reported both with it and without it, and the regime exposure is bounded in §7.3.</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and </w:t>
      </w:r>
      <w:r>
        <w:rPr>
          <w:rStyle w:val="Emphasis"/>
        </w:rPr>
        <w:t>Held-out pairs</w:t>
      </w:r>
      <w:r>
        <w:rPr/>
        <w:t xml:space="preserve">; </w:t>
      </w:r>
      <w:r>
        <w:rPr>
          <w:rStyle w:val="SourceText"/>
        </w:rPr>
        <w:t>reports/congestion.md</w:t>
      </w:r>
      <w:r>
        <w:rPr/>
        <w:t xml:space="preserve">, </w:t>
      </w:r>
      <w:r>
        <w:rPr>
          <w:rStyle w:val="Emphasis"/>
        </w:rPr>
        <w:t>Regime exposure</w:t>
      </w:r>
      <w:r>
        <w:rPr/>
        <w:t>.</w:t>
      </w:r>
    </w:p>
    <w:p>
      <w:pPr>
        <w:pStyle w:val="Heading3"/>
        <w:bidi w:val="0"/>
        <w:jc w:val="left"/>
        <w:rPr/>
      </w:pPr>
      <w:r>
        <w:rPr/>
        <w:t>6.4 The queue layer that was not built</w:t>
      </w:r>
    </w:p>
    <w:p>
      <w:pPr>
        <w:pStyle w:val="BodyText"/>
        <w:bidi w:val="0"/>
        <w:jc w:val="left"/>
        <w:rPr/>
      </w:pPr>
      <w:r>
        <w:rPr/>
        <w:t xml:space="preserve">An oracle diagnostic bounds what a queue layer could have added. It regresses a departure's residual on the mean residual of its same-runway neighbors, quantities no admissible feature may read and which a queue model is precisely an attempt to approximate. On the base configuration, the ceiling is </w:t>
      </w:r>
      <w:r>
        <w:rPr>
          <w:rStyle w:val="Strong"/>
        </w:rPr>
        <w:t>8.2 s in December and 8.3 in July</w:t>
      </w:r>
      <w:r>
        <w:rPr/>
        <w:t>; the lag-1 autocorrelation of consecutive same-runway residuals under two minutes is 0.19 and 0.09.</w:t>
      </w:r>
    </w:p>
    <w:p>
      <w:pPr>
        <w:pStyle w:val="BodyText"/>
        <w:bidi w:val="0"/>
        <w:jc w:val="left"/>
        <w:rPr/>
      </w:pPr>
      <w:r>
        <w:rPr/>
        <w:t>The plan-lag block is what closed that ceiling. On the full model fitted without that block the same ceiling is 31.5 s and 27.5, and the autocorrelation 0.31 and 0.17. Most of what a queue model would have found was therefore the day's delay against plan, and the cheapest possible feature had already taken it.</w:t>
      </w:r>
    </w:p>
    <w:p>
      <w:pPr>
        <w:pStyle w:val="BodyText"/>
        <w:bidi w:val="0"/>
        <w:jc w:val="left"/>
        <w:rPr/>
      </w:pPr>
      <w:r>
        <w:rPr/>
        <w:t>A saturation proxy was then built against that ceiling: the share of sub-90-second gaps, the minimum gap, and the span of the last three gaps on the subject's runway. Measured under the parameters then in force, it bought nothing. After the parameter sweep it cost half a second in December and eight tenths in July against the rung it was added to, and the rung carrying it had a ceiling of 10.0 and 8.5, within a second of the model's own. The queue-model work was stopped because of that measurement, not because time ran out; the stop is recorded in the plan, and the submission is not fitted from the block.</w:t>
      </w:r>
    </w:p>
    <w:p>
      <w:pPr>
        <w:pStyle w:val="BodyText"/>
        <w:bidi w:val="0"/>
        <w:jc w:val="left"/>
        <w:rPr/>
      </w:pPr>
      <w:r>
        <w:rPr/>
        <w:t xml:space="preserve">The block stays on the ladder, and under the parameters that ship it reads differently, which is reported rather than smoothed over. Against </w:t>
      </w:r>
      <w:r>
        <w:rPr>
          <w:rStyle w:val="SourceText"/>
        </w:rPr>
        <w:t>+ weather</w:t>
      </w:r>
      <w:r>
        <w:rPr/>
        <w:t>, the rung it was added to, it now lowers the error slightly, from 233.2 s to 232.7 in December and from 344.1 to 343.4 in July, a change larger than the seed floor on both splits. Its held-out-pair contrast is −0.6 s [−1.2, −0.1], and its ceiling, 9.2 s and 8.3, sits beside the base configuration's 8.2 and 8.3. It has never been measured on top of the rung the submission is now fitted from, so what it would add there is not known.</w:t>
      </w:r>
    </w:p>
    <w:p>
      <w:pPr>
        <w:pStyle w:val="BodyText"/>
        <w:bidi w:val="0"/>
        <w:jc w:val="left"/>
        <w:rPr/>
      </w:pPr>
      <w:r>
        <w:rPr/>
        <w:t>The diagnostic needs no model, which is why it could be run before one was built.</w:t>
      </w:r>
    </w:p>
    <w:p>
      <w:pPr>
        <w:pStyle w:val="BodyText"/>
        <w:bidi w:val="0"/>
        <w:jc w:val="left"/>
        <w:rPr/>
      </w:pPr>
      <w:r>
        <w:rPr/>
        <w:t xml:space="preserve">Sources: </w:t>
      </w:r>
      <w:r>
        <w:rPr>
          <w:rStyle w:val="SourceText"/>
        </w:rPr>
        <w:t>reports/congestion.md</w:t>
      </w:r>
      <w:r>
        <w:rPr/>
        <w:t xml:space="preserve">, </w:t>
      </w:r>
      <w:r>
        <w:rPr>
          <w:rStyle w:val="Emphasis"/>
        </w:rPr>
        <w:t>The ceiling</w:t>
      </w:r>
      <w:r>
        <w:rPr/>
        <w:t xml:space="preserve">; </w:t>
      </w:r>
      <w:r>
        <w:rPr>
          <w:rStyle w:val="SourceText"/>
        </w:rPr>
        <w:t>reports/baseline.md</w:t>
      </w:r>
      <w:r>
        <w:rPr/>
        <w:t xml:space="preserve">, </w:t>
      </w:r>
      <w:r>
        <w:rPr>
          <w:rStyle w:val="Emphasis"/>
        </w:rPr>
        <w:t>The ablation ladder</w:t>
      </w:r>
      <w:r>
        <w:rPr/>
        <w:t xml:space="preserve">, </w:t>
      </w:r>
      <w:r>
        <w:rPr>
          <w:rStyle w:val="Emphasis"/>
        </w:rPr>
        <w:t>Held-out pairs</w:t>
      </w:r>
      <w:r>
        <w:rPr/>
        <w:t xml:space="preserve"> and </w:t>
      </w:r>
      <w:r>
        <w:rPr>
          <w:rStyle w:val="Emphasis"/>
        </w:rPr>
        <w:t>The noise floor</w:t>
      </w:r>
      <w:r>
        <w:rPr/>
        <w:t xml:space="preserve">; </w:t>
      </w:r>
      <w:r>
        <w:rPr>
          <w:rStyle w:val="SourceText"/>
        </w:rPr>
        <w:t>docs/plan.md</w:t>
      </w:r>
      <w:r>
        <w:rPr/>
        <w:t xml:space="preserve">, </w:t>
      </w:r>
      <w:r>
        <w:rPr>
          <w:rStyle w:val="Emphasis"/>
        </w:rPr>
        <w:t>When the data lands</w:t>
      </w:r>
      <w:r>
        <w:rPr/>
        <w:t>, a dated record, for the measurements of 3 and 4 September.</w:t>
      </w:r>
    </w:p>
    <w:p>
      <w:pPr>
        <w:pStyle w:val="Heading3"/>
        <w:bidi w:val="0"/>
        <w:jc w:val="left"/>
        <w:rPr/>
      </w:pPr>
      <w:r>
        <w:rPr/>
        <w:t>6.5 The stand's recent history, and the bound inside it</w:t>
      </w:r>
    </w:p>
    <w:p>
      <w:pPr>
        <w:pStyle w:val="BodyText"/>
        <w:bidi w:val="0"/>
        <w:jc w:val="left"/>
        <w:rPr/>
      </w:pPr>
      <w:r>
        <w:rPr/>
        <w:t>The stand-occupancy block is the largest of the four blocks added last (the others are §6.5's three smaller blocks below). It reads the arrivals at the subject's own stand: the gap from the last arrival's on-block to the subject's take-off, that arrival's lateness and taxi-in, whether it flew the subject's aircraft type and operator, and the gap to the previous departure off the same stand. Every field is one the ranking set exposes for arrivals in full (§6.1). On the ladder it is worth 8.6 s in December (228.3 → 219.7 s ex-flagged) and 9.1 in July (342.2 → 333.0), the largest single step above the plan lags on either forward split; on the three, it is worth 16.0 s (256.6 → 240.6). Its held-out-pair contrast is +1.8 s [+0.8, +2.9]. The block buys slightly more where the pair is new, which is what a stand-level quantity should do where the encoding has nothing to say about the stand.</w:t>
      </w:r>
    </w:p>
    <w:p>
      <w:pPr>
        <w:pStyle w:val="BodyText"/>
        <w:bidi w:val="0"/>
        <w:jc w:val="left"/>
        <w:rPr/>
      </w:pPr>
      <w:r>
        <w:rPr>
          <w:rStyle w:val="Strong"/>
        </w:rPr>
        <w:t>The bound, and where it holds.</w:t>
      </w:r>
      <w:r>
        <w:rPr/>
        <w:t xml:space="preserve"> The bound is true only in a band of the gap. A stand holds one aircraft, so an arrival that on-blocks at the subject's stand before the subject takes off means the subject had already pushed back, and the gap is a lower bound on its taxi-out. That is why the block was built. Measured on the December rows of the rung that never read the gap, the bound behaves as follows. Under twenty minutes it holds in 97–100% of rows and the model already respects it. At 20–25 minutes it holds in 94% of rows while the model violates it in 17%, under-predicting those rows by 171 s on average; at 30–35 minutes, 71% and 56%. By 40–45 it holds in 11% of rows, and past forty-five minutes essentially never, because a stand identifier can denote a position that holds two aircraft and because aircraft are towed. Applied as a rule it loses at every cap tried (+0.1 s at twenty minutes, +1.2 at thirty, +20.6 at forty-five in December). A floor can only act where the model is below the gap, and where the bound is true the model already obeys it. Instead, it enters as a feature, and the booster finds the band.</w:t>
      </w:r>
    </w:p>
    <w:p>
      <w:pPr>
        <w:pStyle w:val="BodyText"/>
        <w:bidi w:val="0"/>
        <w:jc w:val="left"/>
        <w:rPr/>
      </w:pPr>
      <w:r>
        <w:rPr>
          <w:rStyle w:val="Strong"/>
        </w:rPr>
        <w:t>Where the gain lands, and how much of it is the bound.</w:t>
      </w:r>
      <w:r>
        <w:rPr/>
        <w:t xml:space="preserve"> The bound accounts for a minority of the block on every leg. The block's reduction in squared error is a sum over rows, so it can be attributed to disjoint bands of the gap and the shares add. The 20–45 minute band is 1.0% of December's rows and 20.9% of the block's reduction in squared error (its cut); on the July three, 1.9% and 34.9%. Inside that band the previous arrival's type separates the two cases the band contains. Where the type differs, a different aircraft took the stand after the subject pushed: 900 December rows carry 17.3% of the whole cut, and their mean under-prediction falls from +229 s to +5. Where it matches, the subject's own inbound after a fast turnaround, 686 rows carry 3.6% and go from +54 s to −23. That is the bound doing what the mechanism says, on the rows it speaks about. Past an hour the gap bounds nothing, and the block still earns there. In December, 46.4% of the cut sits on gaps over an hour where the previous arrival was the subject's own type, the subject's own inbound, against 10.1% on the July three, where the short gaps carry the block instead. What the block reads at those gaps is the stand's recent history: the inbound's lateness and taxi-in, the scheduled ground time, and whether the aircraft on the stand was the subject's own. That is a turnaround-pattern signal, admissible on exactly the same footing as the bound and a different thing from it. Because that share of the cut, 46.4% in December against 10.1% on the July three, moves by a factor of several between the legs, a sentence about what this block </w:t>
      </w:r>
      <w:r>
        <w:rPr>
          <w:rStyle w:val="Emphasis"/>
        </w:rPr>
        <w:t>is</w:t>
      </w:r>
      <w:r>
        <w:rPr/>
        <w:t xml:space="preserve"> has to name the leg it is true of.</w:t>
      </w:r>
    </w:p>
    <w:p>
      <w:pPr>
        <w:pStyle w:val="BodyText"/>
        <w:bidi w:val="0"/>
        <w:jc w:val="left"/>
        <w:rPr/>
      </w:pPr>
      <w:r>
        <w:rPr>
          <w:rStyle w:val="Strong"/>
        </w:rPr>
        <w:t>What survives an operational rule.</w:t>
      </w:r>
      <w:r>
        <w:rPr/>
        <w:t xml:space="preserve"> The block reads an arrival that on-blocked </w:t>
      </w:r>
      <w:r>
        <w:rPr>
          <w:rStyle w:val="Emphasis"/>
        </w:rPr>
        <w:t>after</w:t>
      </w:r>
      <w:r>
        <w:rPr/>
        <w:t xml:space="preserve"> the subject's own off-block. Under the challenge's post-hoc framing (the take-off time is given, and every take-off-anchored window in the model has the same standing), it is admissible; under an operational one it is not. This is one of the two places in this work where a feature could be said to exploit the structure of the challenge (</w:t>
      </w:r>
      <w:r>
        <w:rPr>
          <w:rStyle w:val="SourceText"/>
        </w:rPr>
        <w:t>AOBT_3_flt</w:t>
      </w:r>
      <w:r>
        <w:rPr/>
        <w:t xml:space="preserve">, excluded, is the other). How much of the block would survive an operational rule is measured rather than argued. A diagnostic rung, not a step of the ladder and not in the submission, re-anchors the block on the schedule: it takes the stand's last arrival at or before the subject's </w:t>
      </w:r>
      <w:r>
        <w:rPr>
          <w:rStyle w:val="Emphasis"/>
        </w:rPr>
        <w:t>scheduled</w:t>
      </w:r>
      <w:r>
        <w:rPr/>
        <w:t xml:space="preserve"> time and reads every column from that choice, so that nothing in it needs the take-off. It keeps 42% of the block's gain in December, 27% in July over all ten airports, and </w:t>
      </w:r>
      <w:r>
        <w:rPr>
          <w:rStyle w:val="Strong"/>
        </w:rPr>
        <w:t>4% on the three</w:t>
      </w:r>
      <w:r>
        <w:rPr/>
        <w:t>, where the schedule-anchored gain, +0.58 s, is inside that leg's seed floor of 1.02 s and cannot be told from zero. The schedule anchor is stricter than operational, since at pushback the arrivals up to the actual off-block are known and not only those before the schedule, so these figures are lower bounds. On the three, however, the block is a post-hoc instrument almost entirely, and this section says so rather than burying it.</w:t>
      </w:r>
    </w:p>
    <w:p>
      <w:pPr>
        <w:pStyle w:val="BodyText"/>
        <w:bidi w:val="0"/>
        <w:jc w:val="left"/>
        <w:rPr/>
      </w:pPr>
      <w:r>
        <w:rPr>
          <w:rStyle w:val="Strong"/>
        </w:rPr>
        <w:t>The headroom overshoot.</w:t>
      </w:r>
      <w:r>
        <w:rPr/>
        <w:t xml:space="preserve"> Before each of the four blocks was built, its likely gain was estimated from the residuals of a frozen model (</w:t>
      </w:r>
      <w:r>
        <w:rPr>
          <w:rStyle w:val="SourceText"/>
        </w:rPr>
        <w:t>docs/review_headroom.md</w:t>
      </w:r>
      <w:r>
        <w:rPr/>
        <w:t>), and a test flags a block whose refit gain beats its estimate by more than five seconds. On the July three this block takes +16.0 s against an estimated +10.3, an overshoot of 5.681 s at 1.55 times the estimate, so the test fires by 0.681 s. That is inside the leg's seed floor of 1.02 s, so the verdict is within what changing the seed alone produces. The test was built as a leakage audit and it is not one: the review, written before the test ever fired, established that a booster fitted on a frozen model's stored residuals bounds a refit from below, so the gap between the two is the value of an interaction and not evidence of leakage. The leakage test proper is the source registry and the poison tests of §6.1, and it passes. The block stays in the model on the reading that an overshoot inside the floor cannot tell leakage from noise. That reading was adopted after the number was seen, and this paper says so; what carries the weight is the date of the review, not the reinterpretation. The other reading is leakage, and it is the one the test exists for.</w:t>
      </w:r>
    </w:p>
    <w:p>
      <w:pPr>
        <w:pStyle w:val="BodyText"/>
        <w:bidi w:val="0"/>
        <w:jc w:val="left"/>
        <w:rPr/>
      </w:pPr>
      <w:r>
        <w:rPr/>
        <w:t xml:space="preserve">The test has also read differently from one regeneration of the ladder to the next, each time moved by something other than the block: 1.54 times the estimate on the first regeneration of the ladder, firing by 0.56 s; 1.48 on the second, missing by 0.029 s; 1.52 on the third, firing by 0.37 s; 1.42 on the fourth, missing by 0.655 s; and 1.55 under the parameters that ship. The estimate itself is now regenerable: </w:t>
      </w:r>
      <w:r>
        <w:rPr>
          <w:rStyle w:val="SourceText"/>
        </w:rPr>
        <w:t>reports/headroom.md</w:t>
      </w:r>
      <w:r>
        <w:rPr/>
        <w:t xml:space="preserve"> recomputes it from the current residuals at a stated capacity, reads +10.00 s, and draws no conclusion about the test. What the block rests on is the source registry and the poison tests of §6.1; the parity of the gap on both sides of the data, where no airport's share of stands re-taken within twenty minutes moves by more than two points between 2025 and 2026; the concentration above, which is consistent with the mechanism and is not proof against another route; and the schedule-anchored measurement, which puts a number on the part of the block that is the post-hoc reading.</w:t>
      </w:r>
    </w:p>
    <w:p>
      <w:pPr>
        <w:pStyle w:val="BodyText"/>
        <w:bidi w:val="0"/>
        <w:jc w:val="left"/>
        <w:rPr/>
      </w:pPr>
      <w:r>
        <w:rPr/>
        <w:t xml:space="preserve">Three smaller blocks stand on it in the chain (the operator read as the callsign prefix, the destination's bearing and distance with the holiday calendar, and the plan's two differences) and are read in </w:t>
      </w:r>
      <w:r>
        <w:rPr>
          <w:rStyle w:val="SourceText"/>
        </w:rPr>
        <w:t>reports/baseline.md</w:t>
      </w:r>
      <w:r>
        <w:rPr/>
        <w:t xml:space="preserve">, </w:t>
      </w:r>
      <w:r>
        <w:rPr>
          <w:rStyle w:val="Emphasis"/>
        </w:rPr>
        <w:t>The Gate 2c blocks</w:t>
      </w:r>
      <w:r>
        <w:rPr/>
        <w:t>, each net of the blocks below it.</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w:t>
      </w:r>
      <w:r>
        <w:rPr>
          <w:rStyle w:val="Emphasis"/>
        </w:rPr>
        <w:t>What each block buys where the pair is new</w:t>
      </w:r>
      <w:r>
        <w:rPr/>
        <w:t xml:space="preserve">, </w:t>
      </w:r>
      <w:r>
        <w:rPr>
          <w:rStyle w:val="Emphasis"/>
        </w:rPr>
        <w:t>The Gate 2c blocks</w:t>
      </w:r>
      <w:r>
        <w:rPr/>
        <w:t xml:space="preserve">, </w:t>
      </w:r>
      <w:r>
        <w:rPr>
          <w:rStyle w:val="Emphasis"/>
        </w:rPr>
        <w:t>The three airports July 2026 contains</w:t>
      </w:r>
      <w:r>
        <w:rPr/>
        <w:t xml:space="preserve">, </w:t>
      </w:r>
      <w:r>
        <w:rPr>
          <w:rStyle w:val="Emphasis"/>
        </w:rPr>
        <w:t>Where the stand-occupancy gain lands</w:t>
      </w:r>
      <w:r>
        <w:rPr/>
        <w:t xml:space="preserve"> and </w:t>
      </w:r>
      <w:r>
        <w:rPr>
          <w:rStyle w:val="Emphasis"/>
        </w:rPr>
        <w:t>The same block without the subject's take-off</w:t>
      </w:r>
      <w:r>
        <w:rPr/>
        <w:t xml:space="preserve">, the last of which carries the headroom overshoot; </w:t>
      </w:r>
      <w:r>
        <w:rPr>
          <w:rStyle w:val="SourceText"/>
        </w:rPr>
        <w:t>reports/occupancy.md</w:t>
      </w:r>
      <w:r>
        <w:rPr/>
        <w:t xml:space="preserve">, </w:t>
      </w:r>
      <w:r>
        <w:rPr>
          <w:rStyle w:val="Emphasis"/>
        </w:rPr>
        <w:t>The gap, on both sides</w:t>
      </w:r>
      <w:r>
        <w:rPr/>
        <w:t xml:space="preserve">, </w:t>
      </w:r>
      <w:r>
        <w:rPr>
          <w:rStyle w:val="Emphasis"/>
        </w:rPr>
        <w:t>Where the bound holds</w:t>
      </w:r>
      <w:r>
        <w:rPr/>
        <w:t xml:space="preserve">, </w:t>
      </w:r>
      <w:r>
        <w:rPr>
          <w:rStyle w:val="Emphasis"/>
        </w:rPr>
        <w:t>The hard floor, and what it costs</w:t>
      </w:r>
      <w:r>
        <w:rPr/>
        <w:t xml:space="preserve"> and </w:t>
      </w:r>
      <w:r>
        <w:rPr>
          <w:rStyle w:val="Emphasis"/>
        </w:rPr>
        <w:t>Where the gain lands</w:t>
      </w:r>
      <w:r>
        <w:rPr/>
        <w:t xml:space="preserve">; </w:t>
      </w:r>
      <w:r>
        <w:rPr>
          <w:rStyle w:val="SourceText"/>
        </w:rPr>
        <w:t>reports/headroom.md</w:t>
      </w:r>
      <w:r>
        <w:rPr/>
        <w:t xml:space="preserve">, </w:t>
      </w:r>
      <w:r>
        <w:rPr>
          <w:rStyle w:val="Emphasis"/>
        </w:rPr>
        <w:t>The ratios</w:t>
      </w:r>
      <w:r>
        <w:rPr/>
        <w:t xml:space="preserve">; </w:t>
      </w:r>
      <w:r>
        <w:rPr>
          <w:rStyle w:val="SourceText"/>
        </w:rPr>
        <w:t>docs/review_headroom.md</w:t>
      </w:r>
      <w:r>
        <w:rPr/>
        <w:t xml:space="preserve">, §7, a dated record of 8 September; </w:t>
      </w:r>
      <w:r>
        <w:rPr>
          <w:rStyle w:val="SourceText"/>
        </w:rPr>
        <w:t>docs/modelling_notes.md</w:t>
      </w:r>
      <w:r>
        <w:rPr/>
        <w:t xml:space="preserve">, </w:t>
      </w:r>
      <w:r>
        <w:rPr>
          <w:rStyle w:val="Emphasis"/>
        </w:rPr>
        <w:t>Leakage watch</w:t>
      </w:r>
      <w:r>
        <w:rPr/>
        <w:t>.</w:t>
      </w:r>
    </w:p>
    <w:p>
      <w:pPr>
        <w:pStyle w:val="Heading2"/>
        <w:bidi w:val="0"/>
        <w:jc w:val="left"/>
        <w:rPr/>
      </w:pPr>
      <w:r>
        <w:rPr/>
        <w:t>7. Validation</w:t>
      </w:r>
    </w:p>
    <w:p>
      <w:pPr>
        <w:pStyle w:val="Heading3"/>
        <w:bidi w:val="0"/>
        <w:jc w:val="left"/>
        <w:rPr/>
      </w:pPr>
      <w:r>
        <w:rPr/>
        <w:t>7.1 The design, fixed before anything was fitted</w:t>
      </w:r>
    </w:p>
    <w:p>
      <w:pPr>
        <w:pStyle w:val="BodyText"/>
        <w:bidi w:val="0"/>
        <w:jc w:val="left"/>
        <w:rPr/>
      </w:pPr>
      <w:r>
        <w:rPr/>
        <w:t>The design has three parts: two forward splits, a held-out-pair split and pair-frequency strata. In the forward splits, December 2025 at all ten airports stands in for January 2026, and July 2025 at all ten for July 2026. The three, Frankfurt, Heathrow and Schiphol, are also read on their own, as a second July reading. The held-out-pair split is GroupKFold over stand-to-runway pairs. Random K-fold on rows is never used, because congestion is autocorrelated over hours. The three-airport reading is kept as it was fixed; any rule below that reads it says so, and §8 says which July figure it quotes.</w:t>
      </w:r>
    </w:p>
    <w:p>
      <w:pPr>
        <w:pStyle w:val="BodyText"/>
        <w:bidi w:val="0"/>
        <w:jc w:val="left"/>
        <w:rPr/>
      </w:pPr>
      <w:r>
        <w:rPr/>
        <w:t xml:space="preserve">The held-out unit is the </w:t>
      </w:r>
      <w:r>
        <w:rPr>
          <w:rStyle w:val="Strong"/>
        </w:rPr>
        <w:t>pair</w:t>
      </w:r>
      <w:r>
        <w:rPr/>
        <w:t>, not the stand. Every stand and runway is still seen in other pairs, so this split bounds what the geometry buys on a new combination; it does not isolate what the geometry would buy on a new stand, which no split of this data can measure. The claim is a difference in differences, what a block is worth on held-out pairs minus what it is worth on seen ones, so composition cancels. Intervals come from a cluster bootstrap over pairs, 1,000 draws, resampling stored residuals; no model is refitted. After the freeze the ladder was also read with every month of 2025 held out in turn. That diagnostic is not forward in time and decides nothing (§3.5); §8 and the annexes carry it, and the forward splits remain the proxies for the two test months.</w:t>
      </w:r>
    </w:p>
    <w:p>
      <w:pPr>
        <w:pStyle w:val="BodyText"/>
        <w:bidi w:val="0"/>
        <w:jc w:val="left"/>
        <w:rPr/>
      </w:pPr>
      <w:r>
        <w:rPr/>
        <w:t xml:space="preserve">Source: </w:t>
      </w:r>
      <w:r>
        <w:rPr>
          <w:rStyle w:val="SourceText"/>
        </w:rPr>
        <w:t>reports/baseline.md</w:t>
      </w:r>
      <w:r>
        <w:rPr/>
        <w:t xml:space="preserve">, </w:t>
      </w:r>
      <w:r>
        <w:rPr>
          <w:rStyle w:val="Emphasis"/>
        </w:rPr>
        <w:t>Held-out pairs</w:t>
      </w:r>
      <w:r>
        <w:rPr/>
        <w:t>.</w:t>
      </w:r>
    </w:p>
    <w:p>
      <w:pPr>
        <w:pStyle w:val="Heading3"/>
        <w:bidi w:val="0"/>
        <w:jc w:val="left"/>
        <w:rPr/>
      </w:pPr>
      <w:r>
        <w:rPr/>
        <w:t>7.1.1 What the forward legs cannot see</w:t>
      </w:r>
    </w:p>
    <w:p>
      <w:pPr>
        <w:pStyle w:val="BodyText"/>
        <w:bidi w:val="0"/>
        <w:jc w:val="left"/>
        <w:rPr/>
      </w:pPr>
      <w:r>
        <w:rPr/>
        <w:t>This subsection gives three limitations of the design above, each measured and not asserted. None changes the claim of §7.2; each bounds how the forward legs can be read. The measurements were made under the parameters then in force and were not repeated under the parameters that ship, so every figure here is read from the dated record the experiments wrote (§3.7).</w:t>
      </w:r>
    </w:p>
    <w:p>
      <w:pPr>
        <w:pStyle w:val="BodyText"/>
        <w:bidi w:val="0"/>
        <w:jc w:val="left"/>
        <w:rPr/>
      </w:pPr>
      <w:r>
        <w:rPr>
          <w:rStyle w:val="Emphasis"/>
        </w:rPr>
        <w:t>The season columns.</w:t>
      </w:r>
      <w:r>
        <w:rPr/>
        <w:t xml:space="preserve"> Under the parameters then in force, the rung the base configuration is fitted from was refitted on December and on July without </w:t>
      </w:r>
      <w:r>
        <w:rPr>
          <w:rStyle w:val="SourceText"/>
        </w:rPr>
        <w:t>tko_month</w:t>
      </w:r>
      <w:r>
        <w:rPr/>
        <w:t xml:space="preserve">, </w:t>
      </w:r>
      <w:r>
        <w:rPr>
          <w:rStyle w:val="SourceText"/>
        </w:rPr>
        <w:t>tko_doy_sin</w:t>
      </w:r>
      <w:r>
        <w:rPr/>
        <w:t xml:space="preserve"> and </w:t>
      </w:r>
      <w:r>
        <w:rPr>
          <w:rStyle w:val="SourceText"/>
        </w:rPr>
        <w:t>tko_doy_cos</w:t>
      </w:r>
      <w:r>
        <w:rPr/>
        <w:t>, at its first seed and with everything else unchanged. A rule fixed before the sign was known said no adoption would follow either way. Removing the columns improved December by 0.40 s and the ranking mix by 0.30, and cost July 1.15 s on the three and 0.77 s pooled over all ten, so the sign is not the same on the two legs. The measurement, however, answers a question the ranking months do not ask. Both forward legs validate on a month and a day-of-year range the training side never held (December after January to November, and July after January to June), whereas the ranking months, January 2026 and July 2026, each have their twin in the training year. The legs therefore extrapolate on these columns where the final fit interpolates. A held-out-month split, training around a month and validating inside it, would answer the question the ranking months do ask, but it breaks the forward discipline every leg here keeps. When this subsection was written, it named that split as the one that would answer the question; the split was later run as a diagnostic after the freeze (§3.5, §8.2), without repeating the season-column experiment on it. The columns stay in the model.</w:t>
      </w:r>
    </w:p>
    <w:p>
      <w:pPr>
        <w:pStyle w:val="BodyText"/>
        <w:bidi w:val="0"/>
        <w:jc w:val="left"/>
        <w:rPr/>
      </w:pPr>
      <w:r>
        <w:rPr>
          <w:rStyle w:val="Emphasis"/>
        </w:rPr>
        <w:t>Two instruments, and the first time they disagreed.</w:t>
      </w:r>
      <w:r>
        <w:rPr/>
        <w:t xml:space="preserve"> This paper sizes a difference two ways. The seed floor is root two times the standard deviation of five single-seed fits of one rung on one leg; it asks how far a figure moves when nothing but the random seed does. The interval is a day-clustered percentile interval over the evaluation set, with days as the clusters and the same draw for both arms; it asks how far the figure would move on another sample of days. They measure different things, and they can disagree about the same contrast. They did on the season columns above. Three of the four differences (December, the ranking mix, July over all ten and the three) were outside their leg's seed floor, while every interval printed spanned zero: December all ten at −0.40 s against a floor of 0.34 with an interval of [−1.6, +0.9], and July all ten at +0.77 against 0.23 with [−0.2, +2.3]. Nothing chose between the two instruments there, and nothing needed to, because no adoption followed. They disagreed again over the booster setting, and §7.1.2 gives that occasion. </w:t>
      </w:r>
      <w:r>
        <w:rPr>
          <w:rStyle w:val="Strong"/>
        </w:rPr>
        <w:t>Where a figure in this paper is called real or called noise, the sentence says which instrument said so.</w:t>
      </w:r>
    </w:p>
    <w:p>
      <w:pPr>
        <w:pStyle w:val="BodyText"/>
        <w:bidi w:val="0"/>
        <w:jc w:val="left"/>
        <w:rPr/>
      </w:pPr>
      <w:r>
        <w:rPr>
          <w:rStyle w:val="Emphasis"/>
        </w:rPr>
        <w:t>Recency, and what the gap leg can and cannot say.</w:t>
      </w:r>
      <w:r>
        <w:rPr/>
        <w:t xml:space="preserve"> On every 2025 leg the most recent training month is also the seasonally nearest to the month being scored: November for December, June for July, September for October. A gain on those legs therefore cannot separate recency from season. For the January 2026 ranking rows the two agree. For the July 2026 rows they do not: the most recent training month, December 2025, is seasonally opposite, and the seasonal twin, July 2025, is five months older. The gap leg was built to break the confound. It trains on January to June 2025 and scores December, which is the July 2026 geometry as nearly as one training year permits, without the twin month. Two recency schedules were fixed in advance, with weights halving every 3 and every 12 months over the booster's fitting rows, together with a pass or fail test fixed at printed precision. Under the parameters then in force, the mild schedule did nothing measurable on the gap leg in either direction: +0.10 s against that leg's own floor of 0.40 s, with an interval of [−0.4, +0.6] spanning zero. It gained on the July forward leg past that leg's floor and with an interval clear of zero, −0.84 s against 0.23 with [−1.5, −0.4], and −1.61 s on the three against 1.02. It was rejected because the test compares figures at printed precision, and at that precision its 224.8 s is worse than the reference's 224.7. </w:t>
      </w:r>
      <w:r>
        <w:rPr>
          <w:rStyle w:val="Strong"/>
        </w:rPr>
        <w:t>The reason no recency term ships is that test, not a measured loss on the gap leg.</w:t>
      </w:r>
      <w:r>
        <w:rPr/>
        <w:t xml:space="preserve"> The strong schedule is a separate case and should not be read with it: it was worse on October by +0.37 s against October's own floor of 0.19, a regression the run could measure. The confound itself stands as a limitation that no leg inside one training year can resolve.</w:t>
      </w:r>
    </w:p>
    <w:p>
      <w:pPr>
        <w:pStyle w:val="BodyText"/>
        <w:bidi w:val="0"/>
        <w:jc w:val="left"/>
        <w:rPr/>
      </w:pPr>
      <w:r>
        <w:rPr/>
        <w:t xml:space="preserve">Source: </w:t>
      </w:r>
      <w:r>
        <w:rPr>
          <w:rStyle w:val="SourceText"/>
        </w:rPr>
        <w:t>reports/preregistered-2026-09-20.md</w:t>
      </w:r>
      <w:r>
        <w:rPr/>
        <w:t xml:space="preserve">, </w:t>
      </w:r>
      <w:r>
        <w:rPr>
          <w:rStyle w:val="Emphasis"/>
        </w:rPr>
        <w:t>What Experiment 2 measured</w:t>
      </w:r>
      <w:r>
        <w:rPr/>
        <w:t xml:space="preserve"> and </w:t>
      </w:r>
      <w:r>
        <w:rPr>
          <w:rStyle w:val="Emphasis"/>
        </w:rPr>
        <w:t>What Experiment 3 measured</w:t>
      </w:r>
      <w:r>
        <w:rPr/>
        <w:t>, a dated record of 20 September.</w:t>
      </w:r>
    </w:p>
    <w:p>
      <w:pPr>
        <w:pStyle w:val="Heading3"/>
        <w:bidi w:val="0"/>
        <w:jc w:val="left"/>
        <w:rPr/>
      </w:pPr>
      <w:r>
        <w:rPr/>
        <w:t>7.1.2 The rules under the parameters that ship, and how those parameters were chosen</w:t>
      </w:r>
    </w:p>
    <w:p>
      <w:pPr>
        <w:pStyle w:val="BodyText"/>
        <w:bidi w:val="0"/>
        <w:jc w:val="left"/>
        <w:rPr/>
      </w:pPr>
      <w:r>
        <w:rPr>
          <w:rStyle w:val="Emphasis"/>
        </w:rPr>
        <w:t>Printed precision, and the seed rule.</w:t>
      </w:r>
      <w:r>
        <w:rPr/>
        <w:t xml:space="preserve"> Printed precision in this paper is a tenth of a second, and every seed floor is larger than that: under the parameters that ship, 0.23 s on December, 0.54 on July over all ten airports, 1.02 on the three and 0.21 on October. A pass or fail test written at printed precision can therefore trip, in either direction, on a difference the same run calls seed noise, and in the recency test one did (§7.1.1). That is a property of the rules as they were fixed; it was not changed after the fact, and the tests were applied as written. The rule for adopting the seed average, fixed before any measurement under it existed, compares gains with the seed floor, not with rounded figures. Under the parameters that ship, the five-seed average lowers the error by 1.11 s against the ladder's single seed in December, where the floor is 0.23, and by 1.46 s in July against 0.54; it beats every single seed on both legs and passes the rule with a margin. Under the parameter setting (cell) the second sweep chose, the margin was thin: July gained 0.63 s against a floor of 0.61, and the report itself says that the standard deviation behind a floor measured from five seeds is uncertain by about 35%. The setting that ships widened that margin rather than resting on it.</w:t>
      </w:r>
    </w:p>
    <w:p>
      <w:pPr>
        <w:pStyle w:val="BodyText"/>
        <w:bidi w:val="0"/>
        <w:jc w:val="left"/>
        <w:rPr/>
      </w:pPr>
      <w:r>
        <w:rPr>
          <w:rStyle w:val="Emphasis"/>
        </w:rPr>
        <w:t>The two instruments, a second time.</w:t>
      </w:r>
      <w:r>
        <w:rPr/>
        <w:t xml:space="preserve"> The floor and the interval disagreed a second time, about the booster cell that ships. Against the cell it replaced, it reads 0.4654 s better, 2.56 times the seed floor, while its day-clustered interval, [−0.9492, +0.0009], spans zero by nine ten-thousandths of a second. The rule that chose the cell reads the floor and nothing else, so the interval decided nothing; both are printed. It is the second time this work has met such a disagreement, after the season columns of §7.1.1.</w:t>
      </w:r>
    </w:p>
    <w:p>
      <w:pPr>
        <w:pStyle w:val="BodyText"/>
        <w:bidi w:val="0"/>
        <w:jc w:val="left"/>
        <w:rPr/>
      </w:pPr>
      <w:r>
        <w:rPr>
          <w:rStyle w:val="Emphasis"/>
        </w:rPr>
        <w:t>How the booster's parameters were chosen, including the part that was not planned.</w:t>
      </w:r>
      <w:r>
        <w:rPr/>
        <w:t xml:space="preserve"> The parameters were tuned on October 2025, a month no rung of the ladder scores, by two sweeps and one extension of the second, all fitting January to September 2025. The first sweep ran on the rung that was then the top of the ladder and under fit rules that have since changed, and its figures are not comparable with the second's (§9.3). The second sweep was pre-registered and permitted once. It read twenty-seven cells on the rung the base configuration is fitted from under the fit rules that stand, one fit each, and chose 3,000 trees, a learning rate of 0.015, 255 leaves and a minimum child sample of 20, at 214.90 s against the old cell's 217.28 s, a move of 2.38 s against a seed floor of 0.19 s. That cell sat on an edge of the grid on all four axes. The pre-registration said the grid would not be extended again, and the edge was recorded as it required. That rule was reopened after the edge was recorded and with October's error known to be still falling toward it. The step was taken with the result in view, and it is stated here as such rather than presented as the plan. The extension's criteria were fixed in writing before any figure past the edge existed. Three of the four axes were probed, one step out each, independently. They were chosen from the sweep's own gradients, which is a design choice and is disclosed as one; the learning rate was the axis left out. The trees axis won: 6,000 trees read 214.3041 s against 214.9045, 0.6004 s better, 3.31 times the seed floor, on one leaf setting, and there the day-clustered interval agreed with the floor. The other two lost, 511 leaves by 0.2274 s and a minimum child sample of 10 by 0.2381 s. At 6,000 the trees axis was on an edge again, with October still falling at 4,000, 5,000 and 6,000, and the extension's criteria ended the search there.</w:t>
      </w:r>
    </w:p>
    <w:p>
      <w:pPr>
        <w:pStyle w:val="BodyText"/>
        <w:bidi w:val="0"/>
        <w:jc w:val="left"/>
        <w:rPr/>
      </w:pPr>
      <w:r>
        <w:rPr>
          <w:rStyle w:val="Emphasis"/>
        </w:rPr>
        <w:t>The cell that ships was taken on cost, from two the instrument cannot separate.</w:t>
      </w:r>
      <w:r>
        <w:rPr/>
        <w:t xml:space="preserve"> On October the better reading is 6,000 trees at a learning rate of 0.015 and 255 leaves, 214.3041 s, against the shipped cell's 214.4391, and it was not taken. The two differ by 0.1350 s, 0.74 of the floor, and by less than half of the 0.2872 s the better cell moves between two draws of its own seed, so this instrument cannot separate them. That is the situation the one-standard-error rule of Breiman, Friedman, Olshen and Stone (1984) exists for: among candidates the evidence cannot separate, it takes the cheaper. The cell that ships, 6,000 trees at 0.03 and 127 leaves with a minimum child sample of 20, builds 762,000 terminal nodes against the alternative's 1,530,000 and fits October in 237.5 s against 321.8 s. The alternative is named here as the equal-performing one, so that the choice is visible rather than implied. The shipped cell is the worse of the two readings, and it is presented as the cheaper of two cells the evidence cannot separate, not as the better score.</w:t>
      </w:r>
    </w:p>
    <w:p>
      <w:pPr>
        <w:pStyle w:val="BodyText"/>
        <w:bidi w:val="0"/>
        <w:jc w:val="left"/>
        <w:rPr/>
      </w:pPr>
      <w:r>
        <w:rPr>
          <w:rStyle w:val="Emphasis"/>
        </w:rPr>
        <w:t>The winner's curse, measured.</w:t>
      </w:r>
      <w:r>
        <w:rPr/>
        <w:t xml:space="preserve"> A search that reads twenty-seven cells at one seed each and keeps the smallest keeps, in part, the luckiest. At a floor of 0.19 s, which is root two times the standard deviation one seed carries, the smallest of twenty-seven such readings is expected to sit about 0.27 s below its cell's own level from the selection alone. That figure is an expectation, not a measurement. It is computed under independent, normally distributed seed noise with every cell at one level, which is the largest the shortfall can be. The measurement came before the extension was probed: the four cells within one floor of the sweep's best were refitted at a second seed, and the sweep's chosen cell went from first of the four to last, and of the six pairwise orderings among the four, four reversed. The trees result is read differently, as the difference between two fits that share a seed, a difference the seed barely moves. Going from 3,000 to 6,000 trees read −0.6004 s and −0.6019 s at the two seeds on 255 leaves, and −0.5591 s on 127, while the seed moved the level itself by 0.2872 s. So the trees effect survives the seed where the ranking of the cells at 3,000 trees did not.</w:t>
      </w:r>
    </w:p>
    <w:p>
      <w:pPr>
        <w:pStyle w:val="BodyText"/>
        <w:bidi w:val="0"/>
        <w:jc w:val="left"/>
        <w:rPr/>
      </w:pPr>
      <w:r>
        <w:rPr/>
        <w:t xml:space="preserve">Sources: </w:t>
      </w:r>
      <w:r>
        <w:rPr>
          <w:rStyle w:val="SourceText"/>
        </w:rPr>
        <w:t>reports/baseline.md</w:t>
      </w:r>
      <w:r>
        <w:rPr/>
        <w:t xml:space="preserve">, </w:t>
      </w:r>
      <w:r>
        <w:rPr>
          <w:rStyle w:val="Emphasis"/>
        </w:rPr>
        <w:t>Seed averaging</w:t>
      </w:r>
      <w:r>
        <w:rPr/>
        <w:t xml:space="preserve"> and </w:t>
      </w:r>
      <w:r>
        <w:rPr>
          <w:rStyle w:val="Emphasis"/>
        </w:rPr>
        <w:t>The noise floor</w:t>
      </w:r>
      <w:r>
        <w:rPr/>
        <w:t xml:space="preserve">; </w:t>
      </w:r>
      <w:r>
        <w:rPr>
          <w:rStyle w:val="SourceText"/>
        </w:rPr>
        <w:t>src/taxiout/models.py</w:t>
      </w:r>
      <w:r>
        <w:rPr/>
        <w:t xml:space="preserve">, the comment on </w:t>
      </w:r>
      <w:r>
        <w:rPr>
          <w:rStyle w:val="SourceText"/>
        </w:rPr>
        <w:t>BOOSTER_PARAMS</w:t>
      </w:r>
      <w:r>
        <w:rPr/>
        <w:t xml:space="preserve">, which is the repository's own account of the sweeps, the extension and the cost decision; </w:t>
      </w:r>
      <w:r>
        <w:rPr>
          <w:rStyle w:val="SourceText"/>
        </w:rPr>
        <w:t>src/taxiout/provenance.py</w:t>
      </w:r>
      <w:r>
        <w:rPr/>
        <w:t xml:space="preserve">, the basis of </w:t>
      </w:r>
      <w:r>
        <w:rPr>
          <w:rStyle w:val="SourceText"/>
        </w:rPr>
        <w:t>FLOOR_JULY_ALL</w:t>
      </w:r>
      <w:r>
        <w:rPr/>
        <w:t xml:space="preserve">, for the sweep cell's July reading. The seed-stability check, the interval on the trees step, and the order in which the extension's criteria and its figures were fixed are recorded in the header and the message of </w:t>
      </w:r>
      <w:r>
        <w:rPr>
          <w:rStyle w:val="SourceText"/>
        </w:rPr>
        <w:t>scripts/commit_extension_probe.sh</w:t>
      </w:r>
      <w:r>
        <w:rPr/>
        <w:t>.</w:t>
      </w:r>
    </w:p>
    <w:p>
      <w:pPr>
        <w:pStyle w:val="Heading3"/>
        <w:bidi w:val="0"/>
        <w:jc w:val="left"/>
        <w:rPr/>
      </w:pPr>
      <w:r>
        <w:rPr/>
        <w:t>7.2 The ladder, and the claim</w:t>
      </w:r>
    </w:p>
    <w:p>
      <w:pPr>
        <w:pStyle w:val="BodyText"/>
        <w:bidi w:val="0"/>
        <w:jc w:val="left"/>
        <w:rPr/>
      </w:pPr>
      <w:r>
        <w:rPr/>
        <w:t xml:space="preserve">The ladder reports every rung on both splits, ex-flagged and with the record-quality term, and the seen-versus-held-out contrast per rung with its interval. The base configuration is fitted from </w:t>
      </w:r>
      <w:r>
        <w:rPr>
          <w:rStyle w:val="SourceText"/>
        </w:rPr>
        <w:t>+ plan differences</w:t>
      </w:r>
      <w:r>
        <w:rPr/>
        <w:t xml:space="preserve">, the last rung, reached once the four blocks of §6.5 are added. That rung reads 214.7 s (December) and 322.4 (July) ex-flagged on the ladder's own single seed; §8 gives the figures of the base configuration. Each rung is read against the rung below it, and the three versions of the shrunk encoding of §7.4 against </w:t>
      </w:r>
      <w:r>
        <w:rPr>
          <w:rStyle w:val="SourceText"/>
        </w:rPr>
        <w:t>+ weather</w:t>
      </w:r>
      <w:r>
        <w:rPr/>
        <w:t>, at 233.2 and 344.1.</w:t>
      </w:r>
    </w:p>
    <w:p>
      <w:pPr>
        <w:pStyle w:val="BodyText"/>
        <w:bidi w:val="0"/>
        <w:jc w:val="left"/>
        <w:rPr/>
      </w:pPr>
      <w:r>
        <w:rPr/>
        <w:t xml:space="preserve">The claim contrast, identifiers + time → identifiers + time + geometry, is </w:t>
      </w:r>
      <w:r>
        <w:rPr>
          <w:rStyle w:val="Strong"/>
        </w:rPr>
        <w:t>+18.5 s [+16.7, +20.5]</w:t>
      </w:r>
      <w:r>
        <w:rPr/>
        <w:t>: the geometry block lowers the error by 0.4 s where the model has seen the pair and by 19.0 s where it has not. The interval excludes zero.</w:t>
      </w:r>
    </w:p>
    <w:p>
      <w:pPr>
        <w:pStyle w:val="BodyText"/>
        <w:bidi w:val="0"/>
        <w:jc w:val="left"/>
        <w:rPr/>
      </w:pPr>
      <w:r>
        <w:rPr/>
        <w:t>Two neighboring rows are worth reading beside it, because they are what gives the claim its meaning. The step from the geometric unimpeded term, with the wake class, to the identifier model is −41.3 s [−47.1, −35.7]: identifiers beat geometry outright where the pair is known, which is the objection this work has to answer. The step into the geometry block from identifiers is where that reverses. Together they show that the two encodings are not competing descriptions of the same thing (one memorizes a pair, the other computes it), and only the held-out-pair split can tell them apart.</w:t>
      </w:r>
    </w:p>
    <w:p>
      <w:pPr>
        <w:pStyle w:val="BodyText"/>
        <w:bidi w:val="0"/>
        <w:jc w:val="left"/>
        <w:rPr/>
      </w:pPr>
      <w:r>
        <w:rPr/>
        <w:t xml:space="preserve">Three versions of the rung above </w:t>
      </w:r>
      <w:r>
        <w:rPr>
          <w:rStyle w:val="SourceText"/>
        </w:rPr>
        <w:t>+ weather</w:t>
      </w:r>
      <w:r>
        <w:rPr/>
        <w:t xml:space="preserve"> carry a shrunk identifier encoding. They are the subject of §7.4, and one of them is carried into the base configuration; the claim contrast is measured near the foot of the ladder, where neither rung carries it.</w:t>
      </w:r>
    </w:p>
    <w:p>
      <w:pPr>
        <w:pStyle w:val="BodyText"/>
        <w:bidi w:val="0"/>
        <w:jc w:val="left"/>
        <w:rPr/>
      </w:pPr>
      <w:r>
        <w:rPr>
          <w:rStyle w:val="Strong"/>
        </w:rPr>
        <w:t>What each source of delay is worth.</w:t>
      </w:r>
      <w:r>
        <w:rPr/>
        <w:t xml:space="preserve"> The ladder read as a table: each row is one block, added to the model built from the rows above it. The two RMSE columns are the ladder's ex-flagged figure once the block is in, on the single seed the ladder fits. The change is that figure minus the one in the row above (negative: the block made the model better), so a block's change is net of every block above it in the table and not what it would be worth alone. The held-out-pair column is the claim instrument of §7.1: how much more the block lowers the error on pairs the model has never seen than on pairs it has, with its 95% interval. A change smaller than the seed floor, 0.23 s in December and 0.54 in July, cannot be told from what changing the random seed alone does; </w:t>
      </w:r>
      <w:r>
        <w:rPr>
          <w:rStyle w:val="SourceText"/>
        </w:rPr>
        <w:t>reports/baseline.md</w:t>
      </w:r>
      <w:r>
        <w:rPr/>
        <w:t xml:space="preserve"> lists by name the steps inside that floor.</w:t>
      </w:r>
    </w:p>
    <w:tbl>
      <w:tblPr>
        <w:tblW w:w="10539" w:type="dxa"/>
        <w:jc w:val="left"/>
        <w:tblInd w:w="28" w:type="dxa"/>
        <w:tblLayout w:type="fixed"/>
        <w:tblCellMar>
          <w:top w:w="28" w:type="dxa"/>
          <w:left w:w="28" w:type="dxa"/>
          <w:bottom w:w="28" w:type="dxa"/>
          <w:right w:w="28" w:type="dxa"/>
        </w:tblCellMar>
      </w:tblPr>
      <w:tblGrid>
        <w:gridCol w:w="1957"/>
        <w:gridCol w:w="3013"/>
        <w:gridCol w:w="1210"/>
        <w:gridCol w:w="891"/>
        <w:gridCol w:w="690"/>
        <w:gridCol w:w="891"/>
        <w:gridCol w:w="1887"/>
      </w:tblGrid>
      <w:tr>
        <w:trPr>
          <w:tblHeader w:val="true"/>
        </w:trPr>
        <w:tc>
          <w:tcPr>
            <w:tcW w:w="1957" w:type="dxa"/>
            <w:tcBorders/>
            <w:vAlign w:val="center"/>
          </w:tcPr>
          <w:p>
            <w:pPr>
              <w:pStyle w:val="TableHeading"/>
              <w:suppressLineNumbers/>
              <w:bidi w:val="0"/>
              <w:jc w:val="center"/>
              <w:rPr/>
            </w:pPr>
            <w:r>
              <w:rPr/>
              <w:t>block added</w:t>
            </w:r>
          </w:p>
        </w:tc>
        <w:tc>
          <w:tcPr>
            <w:tcW w:w="3013" w:type="dxa"/>
            <w:tcBorders/>
            <w:vAlign w:val="center"/>
          </w:tcPr>
          <w:p>
            <w:pPr>
              <w:pStyle w:val="TableHeading"/>
              <w:suppressLineNumbers/>
              <w:bidi w:val="0"/>
              <w:jc w:val="center"/>
              <w:rPr/>
            </w:pPr>
            <w:r>
              <w:rPr/>
              <w:t>what it reads</w:t>
            </w:r>
          </w:p>
        </w:tc>
        <w:tc>
          <w:tcPr>
            <w:tcW w:w="1210" w:type="dxa"/>
            <w:tcBorders/>
            <w:vAlign w:val="center"/>
          </w:tcPr>
          <w:p>
            <w:pPr>
              <w:pStyle w:val="TableHeading"/>
              <w:bidi w:val="0"/>
              <w:jc w:val="right"/>
              <w:rPr/>
            </w:pPr>
            <w:r>
              <w:rPr/>
              <w:t>December (s)</w:t>
            </w:r>
          </w:p>
        </w:tc>
        <w:tc>
          <w:tcPr>
            <w:tcW w:w="891" w:type="dxa"/>
            <w:tcBorders/>
            <w:vAlign w:val="center"/>
          </w:tcPr>
          <w:p>
            <w:pPr>
              <w:pStyle w:val="TableHeading"/>
              <w:bidi w:val="0"/>
              <w:jc w:val="right"/>
              <w:rPr/>
            </w:pPr>
            <w:r>
              <w:rPr/>
              <w:t>change (s)</w:t>
            </w:r>
          </w:p>
        </w:tc>
        <w:tc>
          <w:tcPr>
            <w:tcW w:w="690" w:type="dxa"/>
            <w:tcBorders/>
            <w:vAlign w:val="center"/>
          </w:tcPr>
          <w:p>
            <w:pPr>
              <w:pStyle w:val="TableHeading"/>
              <w:bidi w:val="0"/>
              <w:jc w:val="right"/>
              <w:rPr/>
            </w:pPr>
            <w:r>
              <w:rPr/>
              <w:t>July (s)</w:t>
            </w:r>
          </w:p>
        </w:tc>
        <w:tc>
          <w:tcPr>
            <w:tcW w:w="891" w:type="dxa"/>
            <w:tcBorders/>
            <w:vAlign w:val="center"/>
          </w:tcPr>
          <w:p>
            <w:pPr>
              <w:pStyle w:val="TableHeading"/>
              <w:bidi w:val="0"/>
              <w:jc w:val="right"/>
              <w:rPr/>
            </w:pPr>
            <w:r>
              <w:rPr/>
              <w:t>change (s)</w:t>
            </w:r>
          </w:p>
        </w:tc>
        <w:tc>
          <w:tcPr>
            <w:tcW w:w="1887" w:type="dxa"/>
            <w:tcBorders/>
            <w:vAlign w:val="center"/>
          </w:tcPr>
          <w:p>
            <w:pPr>
              <w:pStyle w:val="TableHeading"/>
              <w:bidi w:val="0"/>
              <w:jc w:val="right"/>
              <w:rPr/>
            </w:pPr>
            <w:r>
              <w:rPr/>
              <w:t>held-out-pair difference [95%]</w:t>
            </w:r>
          </w:p>
        </w:tc>
      </w:tr>
      <w:tr>
        <w:trPr/>
        <w:tc>
          <w:tcPr>
            <w:tcW w:w="1957" w:type="dxa"/>
            <w:tcBorders/>
            <w:vAlign w:val="center"/>
          </w:tcPr>
          <w:p>
            <w:pPr>
              <w:pStyle w:val="TableContents"/>
              <w:widowControl w:val="false"/>
              <w:suppressLineNumbers/>
              <w:bidi w:val="0"/>
              <w:jc w:val="left"/>
              <w:rPr/>
            </w:pPr>
            <w:r>
              <w:rPr/>
              <w:t>identifiers + time</w:t>
            </w:r>
          </w:p>
        </w:tc>
        <w:tc>
          <w:tcPr>
            <w:tcW w:w="3013" w:type="dxa"/>
            <w:tcBorders/>
            <w:vAlign w:val="center"/>
          </w:tcPr>
          <w:p>
            <w:pPr>
              <w:pStyle w:val="TableContents"/>
              <w:widowControl w:val="false"/>
              <w:suppressLineNumbers/>
              <w:bidi w:val="0"/>
              <w:jc w:val="left"/>
              <w:rPr/>
            </w:pPr>
            <w:r>
              <w:rPr/>
              <w:t>airport, stand, runway, pair; clock and calendar</w:t>
            </w:r>
          </w:p>
        </w:tc>
        <w:tc>
          <w:tcPr>
            <w:tcW w:w="1210" w:type="dxa"/>
            <w:tcBorders/>
            <w:vAlign w:val="center"/>
          </w:tcPr>
          <w:p>
            <w:pPr>
              <w:pStyle w:val="TableContents"/>
              <w:bidi w:val="0"/>
              <w:jc w:val="right"/>
              <w:rPr/>
            </w:pPr>
            <w:r>
              <w:rPr/>
              <w:t>324.0</w:t>
            </w:r>
          </w:p>
        </w:tc>
        <w:tc>
          <w:tcPr>
            <w:tcW w:w="891" w:type="dxa"/>
            <w:tcBorders/>
            <w:vAlign w:val="center"/>
          </w:tcPr>
          <w:p>
            <w:pPr>
              <w:pStyle w:val="TableContents"/>
              <w:bidi w:val="0"/>
              <w:jc w:val="left"/>
              <w:rPr>
                <w:sz w:val="4"/>
                <w:szCs w:val="4"/>
              </w:rPr>
            </w:pPr>
            <w:r>
              <w:rPr>
                <w:sz w:val="4"/>
                <w:szCs w:val="4"/>
              </w:rPr>
            </w:r>
          </w:p>
        </w:tc>
        <w:tc>
          <w:tcPr>
            <w:tcW w:w="690" w:type="dxa"/>
            <w:tcBorders/>
            <w:vAlign w:val="center"/>
          </w:tcPr>
          <w:p>
            <w:pPr>
              <w:pStyle w:val="TableContents"/>
              <w:bidi w:val="0"/>
              <w:jc w:val="right"/>
              <w:rPr/>
            </w:pPr>
            <w:r>
              <w:rPr/>
              <w:t>410.9</w:t>
            </w:r>
          </w:p>
        </w:tc>
        <w:tc>
          <w:tcPr>
            <w:tcW w:w="891" w:type="dxa"/>
            <w:tcBorders/>
            <w:vAlign w:val="center"/>
          </w:tcPr>
          <w:p>
            <w:pPr>
              <w:pStyle w:val="TableContents"/>
              <w:bidi w:val="0"/>
              <w:jc w:val="left"/>
              <w:rPr>
                <w:sz w:val="4"/>
                <w:szCs w:val="4"/>
              </w:rPr>
            </w:pPr>
            <w:r>
              <w:rPr>
                <w:sz w:val="4"/>
                <w:szCs w:val="4"/>
              </w:rPr>
            </w:r>
          </w:p>
        </w:tc>
        <w:tc>
          <w:tcPr>
            <w:tcW w:w="1887" w:type="dxa"/>
            <w:tcBorders/>
            <w:vAlign w:val="center"/>
          </w:tcPr>
          <w:p>
            <w:pPr>
              <w:pStyle w:val="TableContents"/>
              <w:bidi w:val="0"/>
              <w:jc w:val="left"/>
              <w:rPr>
                <w:sz w:val="4"/>
                <w:szCs w:val="4"/>
              </w:rPr>
            </w:pPr>
            <w:r>
              <w:rPr>
                <w:sz w:val="4"/>
                <w:szCs w:val="4"/>
              </w:rPr>
            </w:r>
          </w:p>
        </w:tc>
      </w:tr>
      <w:tr>
        <w:trPr/>
        <w:tc>
          <w:tcPr>
            <w:tcW w:w="1957" w:type="dxa"/>
            <w:tcBorders/>
            <w:vAlign w:val="center"/>
          </w:tcPr>
          <w:p>
            <w:pPr>
              <w:pStyle w:val="TableContents"/>
              <w:widowControl w:val="false"/>
              <w:suppressLineNumbers/>
              <w:bidi w:val="0"/>
              <w:jc w:val="left"/>
              <w:rPr/>
            </w:pPr>
            <w:r>
              <w:rPr/>
              <w:t>geometry</w:t>
            </w:r>
          </w:p>
        </w:tc>
        <w:tc>
          <w:tcPr>
            <w:tcW w:w="3013" w:type="dxa"/>
            <w:tcBorders/>
            <w:vAlign w:val="center"/>
          </w:tcPr>
          <w:p>
            <w:pPr>
              <w:pStyle w:val="TableContents"/>
              <w:widowControl w:val="false"/>
              <w:suppressLineNumbers/>
              <w:bidi w:val="0"/>
              <w:jc w:val="left"/>
              <w:rPr/>
            </w:pPr>
            <w:r>
              <w:rPr/>
              <w:t>the routed stand-to-runway distance and route shape</w:t>
            </w:r>
          </w:p>
        </w:tc>
        <w:tc>
          <w:tcPr>
            <w:tcW w:w="1210" w:type="dxa"/>
            <w:tcBorders/>
            <w:vAlign w:val="center"/>
          </w:tcPr>
          <w:p>
            <w:pPr>
              <w:pStyle w:val="TableContents"/>
              <w:bidi w:val="0"/>
              <w:jc w:val="right"/>
              <w:rPr/>
            </w:pPr>
            <w:r>
              <w:rPr/>
              <w:t>321.7</w:t>
            </w:r>
          </w:p>
        </w:tc>
        <w:tc>
          <w:tcPr>
            <w:tcW w:w="891" w:type="dxa"/>
            <w:tcBorders/>
            <w:vAlign w:val="center"/>
          </w:tcPr>
          <w:p>
            <w:pPr>
              <w:pStyle w:val="TableContents"/>
              <w:bidi w:val="0"/>
              <w:jc w:val="right"/>
              <w:rPr/>
            </w:pPr>
            <w:r>
              <w:rPr/>
              <w:t>−</w:t>
            </w:r>
            <w:r>
              <w:rPr/>
              <w:t>2.27</w:t>
            </w:r>
          </w:p>
        </w:tc>
        <w:tc>
          <w:tcPr>
            <w:tcW w:w="690" w:type="dxa"/>
            <w:tcBorders/>
            <w:vAlign w:val="center"/>
          </w:tcPr>
          <w:p>
            <w:pPr>
              <w:pStyle w:val="TableContents"/>
              <w:bidi w:val="0"/>
              <w:jc w:val="right"/>
              <w:rPr/>
            </w:pPr>
            <w:r>
              <w:rPr/>
              <w:t>411.1</w:t>
            </w:r>
          </w:p>
        </w:tc>
        <w:tc>
          <w:tcPr>
            <w:tcW w:w="891" w:type="dxa"/>
            <w:tcBorders/>
            <w:vAlign w:val="center"/>
          </w:tcPr>
          <w:p>
            <w:pPr>
              <w:pStyle w:val="TableContents"/>
              <w:bidi w:val="0"/>
              <w:jc w:val="right"/>
              <w:rPr/>
            </w:pPr>
            <w:r>
              <w:rPr/>
              <w:t>+0.14</w:t>
            </w:r>
          </w:p>
        </w:tc>
        <w:tc>
          <w:tcPr>
            <w:tcW w:w="1887" w:type="dxa"/>
            <w:tcBorders/>
            <w:vAlign w:val="center"/>
          </w:tcPr>
          <w:p>
            <w:pPr>
              <w:pStyle w:val="TableContents"/>
              <w:bidi w:val="0"/>
              <w:jc w:val="right"/>
              <w:rPr/>
            </w:pPr>
            <w:r>
              <w:rPr/>
              <w:t>+18.5 [+16.7, +20.5]</w:t>
            </w:r>
          </w:p>
        </w:tc>
      </w:tr>
      <w:tr>
        <w:trPr/>
        <w:tc>
          <w:tcPr>
            <w:tcW w:w="1957" w:type="dxa"/>
            <w:tcBorders/>
            <w:vAlign w:val="center"/>
          </w:tcPr>
          <w:p>
            <w:pPr>
              <w:pStyle w:val="TableContents"/>
              <w:widowControl w:val="false"/>
              <w:suppressLineNumbers/>
              <w:bidi w:val="0"/>
              <w:jc w:val="left"/>
              <w:rPr/>
            </w:pPr>
            <w:r>
              <w:rPr/>
              <w:t>aircraft</w:t>
            </w:r>
          </w:p>
        </w:tc>
        <w:tc>
          <w:tcPr>
            <w:tcW w:w="3013" w:type="dxa"/>
            <w:tcBorders/>
            <w:vAlign w:val="center"/>
          </w:tcPr>
          <w:p>
            <w:pPr>
              <w:pStyle w:val="TableContents"/>
              <w:widowControl w:val="false"/>
              <w:suppressLineNumbers/>
              <w:bidi w:val="0"/>
              <w:jc w:val="left"/>
              <w:rPr/>
            </w:pPr>
            <w:r>
              <w:rPr/>
              <w:t>wake class and type</w:t>
            </w:r>
          </w:p>
        </w:tc>
        <w:tc>
          <w:tcPr>
            <w:tcW w:w="1210" w:type="dxa"/>
            <w:tcBorders/>
            <w:vAlign w:val="center"/>
          </w:tcPr>
          <w:p>
            <w:pPr>
              <w:pStyle w:val="TableContents"/>
              <w:bidi w:val="0"/>
              <w:jc w:val="right"/>
              <w:rPr/>
            </w:pPr>
            <w:r>
              <w:rPr/>
              <w:t>320.2</w:t>
            </w:r>
          </w:p>
        </w:tc>
        <w:tc>
          <w:tcPr>
            <w:tcW w:w="891" w:type="dxa"/>
            <w:tcBorders/>
            <w:vAlign w:val="center"/>
          </w:tcPr>
          <w:p>
            <w:pPr>
              <w:pStyle w:val="TableContents"/>
              <w:bidi w:val="0"/>
              <w:jc w:val="right"/>
              <w:rPr/>
            </w:pPr>
            <w:r>
              <w:rPr/>
              <w:t>−</w:t>
            </w:r>
            <w:r>
              <w:rPr/>
              <w:t>1.5</w:t>
            </w:r>
          </w:p>
        </w:tc>
        <w:tc>
          <w:tcPr>
            <w:tcW w:w="690" w:type="dxa"/>
            <w:tcBorders/>
            <w:vAlign w:val="center"/>
          </w:tcPr>
          <w:p>
            <w:pPr>
              <w:pStyle w:val="TableContents"/>
              <w:bidi w:val="0"/>
              <w:jc w:val="right"/>
              <w:rPr/>
            </w:pPr>
            <w:r>
              <w:rPr/>
              <w:t>407.3</w:t>
            </w:r>
          </w:p>
        </w:tc>
        <w:tc>
          <w:tcPr>
            <w:tcW w:w="891" w:type="dxa"/>
            <w:tcBorders/>
            <w:vAlign w:val="center"/>
          </w:tcPr>
          <w:p>
            <w:pPr>
              <w:pStyle w:val="TableContents"/>
              <w:bidi w:val="0"/>
              <w:jc w:val="right"/>
              <w:rPr/>
            </w:pPr>
            <w:r>
              <w:rPr/>
              <w:t>−</w:t>
            </w:r>
            <w:r>
              <w:rPr/>
              <w:t>3.8</w:t>
            </w:r>
          </w:p>
        </w:tc>
        <w:tc>
          <w:tcPr>
            <w:tcW w:w="1887" w:type="dxa"/>
            <w:tcBorders/>
            <w:vAlign w:val="center"/>
          </w:tcPr>
          <w:p>
            <w:pPr>
              <w:pStyle w:val="TableContents"/>
              <w:bidi w:val="0"/>
              <w:jc w:val="right"/>
              <w:rPr/>
            </w:pPr>
            <w:r>
              <w:rPr/>
              <w:t>+4.2 [+3.2, +5.3]</w:t>
            </w:r>
          </w:p>
        </w:tc>
      </w:tr>
      <w:tr>
        <w:trPr/>
        <w:tc>
          <w:tcPr>
            <w:tcW w:w="1957" w:type="dxa"/>
            <w:tcBorders/>
            <w:vAlign w:val="center"/>
          </w:tcPr>
          <w:p>
            <w:pPr>
              <w:pStyle w:val="TableContents"/>
              <w:widowControl w:val="false"/>
              <w:suppressLineNumbers/>
              <w:bidi w:val="0"/>
              <w:jc w:val="left"/>
              <w:rPr/>
            </w:pPr>
            <w:r>
              <w:rPr/>
              <w:t>plan lags</w:t>
            </w:r>
          </w:p>
        </w:tc>
        <w:tc>
          <w:tcPr>
            <w:tcW w:w="3013" w:type="dxa"/>
            <w:tcBorders/>
            <w:vAlign w:val="center"/>
          </w:tcPr>
          <w:p>
            <w:pPr>
              <w:pStyle w:val="TableContents"/>
              <w:widowControl w:val="false"/>
              <w:suppressLineNumbers/>
              <w:bidi w:val="0"/>
              <w:jc w:val="left"/>
              <w:rPr/>
            </w:pPr>
            <w:r>
              <w:rPr/>
              <w:t>take-off against the plan's off-block estimates and the schedule</w:t>
            </w:r>
          </w:p>
        </w:tc>
        <w:tc>
          <w:tcPr>
            <w:tcW w:w="1210" w:type="dxa"/>
            <w:tcBorders/>
            <w:vAlign w:val="center"/>
          </w:tcPr>
          <w:p>
            <w:pPr>
              <w:pStyle w:val="TableContents"/>
              <w:bidi w:val="0"/>
              <w:jc w:val="right"/>
              <w:rPr/>
            </w:pPr>
            <w:r>
              <w:rPr/>
              <w:t>240.9</w:t>
            </w:r>
          </w:p>
        </w:tc>
        <w:tc>
          <w:tcPr>
            <w:tcW w:w="891" w:type="dxa"/>
            <w:tcBorders/>
            <w:vAlign w:val="center"/>
          </w:tcPr>
          <w:p>
            <w:pPr>
              <w:pStyle w:val="TableContents"/>
              <w:bidi w:val="0"/>
              <w:jc w:val="right"/>
              <w:rPr/>
            </w:pPr>
            <w:r>
              <w:rPr/>
              <w:t>−</w:t>
            </w:r>
            <w:r>
              <w:rPr/>
              <w:t>79.3</w:t>
            </w:r>
          </w:p>
        </w:tc>
        <w:tc>
          <w:tcPr>
            <w:tcW w:w="690" w:type="dxa"/>
            <w:tcBorders/>
            <w:vAlign w:val="center"/>
          </w:tcPr>
          <w:p>
            <w:pPr>
              <w:pStyle w:val="TableContents"/>
              <w:bidi w:val="0"/>
              <w:jc w:val="right"/>
              <w:rPr/>
            </w:pPr>
            <w:r>
              <w:rPr/>
              <w:t>349.9</w:t>
            </w:r>
          </w:p>
        </w:tc>
        <w:tc>
          <w:tcPr>
            <w:tcW w:w="891" w:type="dxa"/>
            <w:tcBorders/>
            <w:vAlign w:val="center"/>
          </w:tcPr>
          <w:p>
            <w:pPr>
              <w:pStyle w:val="TableContents"/>
              <w:bidi w:val="0"/>
              <w:jc w:val="right"/>
              <w:rPr/>
            </w:pPr>
            <w:r>
              <w:rPr/>
              <w:t>−</w:t>
            </w:r>
            <w:r>
              <w:rPr/>
              <w:t>57.4</w:t>
            </w:r>
          </w:p>
        </w:tc>
        <w:tc>
          <w:tcPr>
            <w:tcW w:w="1887" w:type="dxa"/>
            <w:tcBorders/>
            <w:vAlign w:val="center"/>
          </w:tcPr>
          <w:p>
            <w:pPr>
              <w:pStyle w:val="TableContents"/>
              <w:bidi w:val="0"/>
              <w:jc w:val="right"/>
              <w:rPr/>
            </w:pPr>
            <w:r>
              <w:rPr/>
              <w:t>−</w:t>
            </w:r>
            <w:r>
              <w:rPr/>
              <w:t>1.4 [−5.8, +3.2]</w:t>
            </w:r>
          </w:p>
        </w:tc>
      </w:tr>
      <w:tr>
        <w:trPr/>
        <w:tc>
          <w:tcPr>
            <w:tcW w:w="1957" w:type="dxa"/>
            <w:tcBorders/>
            <w:vAlign w:val="center"/>
          </w:tcPr>
          <w:p>
            <w:pPr>
              <w:pStyle w:val="TableContents"/>
              <w:widowControl w:val="false"/>
              <w:suppressLineNumbers/>
              <w:bidi w:val="0"/>
              <w:jc w:val="left"/>
              <w:rPr/>
            </w:pPr>
            <w:r>
              <w:rPr/>
              <w:t>congestion and weather, six blocks</w:t>
            </w:r>
          </w:p>
        </w:tc>
        <w:tc>
          <w:tcPr>
            <w:tcW w:w="3013" w:type="dxa"/>
            <w:tcBorders/>
            <w:vAlign w:val="center"/>
          </w:tcPr>
          <w:p>
            <w:pPr>
              <w:pStyle w:val="TableContents"/>
              <w:widowControl w:val="false"/>
              <w:suppressLineNumbers/>
              <w:bidi w:val="0"/>
              <w:jc w:val="left"/>
              <w:rPr/>
            </w:pPr>
            <w:r>
              <w:rPr/>
              <w:t>throughput, arrivals, demand, runway configuration, shared corridor, weather flags</w:t>
            </w:r>
          </w:p>
        </w:tc>
        <w:tc>
          <w:tcPr>
            <w:tcW w:w="1210" w:type="dxa"/>
            <w:tcBorders/>
            <w:vAlign w:val="center"/>
          </w:tcPr>
          <w:p>
            <w:pPr>
              <w:pStyle w:val="TableContents"/>
              <w:bidi w:val="0"/>
              <w:jc w:val="right"/>
              <w:rPr/>
            </w:pPr>
            <w:r>
              <w:rPr/>
              <w:t>233.2</w:t>
            </w:r>
          </w:p>
        </w:tc>
        <w:tc>
          <w:tcPr>
            <w:tcW w:w="891" w:type="dxa"/>
            <w:tcBorders/>
            <w:vAlign w:val="center"/>
          </w:tcPr>
          <w:p>
            <w:pPr>
              <w:pStyle w:val="TableContents"/>
              <w:bidi w:val="0"/>
              <w:jc w:val="right"/>
              <w:rPr/>
            </w:pPr>
            <w:r>
              <w:rPr/>
              <w:t>−</w:t>
            </w:r>
            <w:r>
              <w:rPr/>
              <w:t>7.7</w:t>
            </w:r>
          </w:p>
        </w:tc>
        <w:tc>
          <w:tcPr>
            <w:tcW w:w="690" w:type="dxa"/>
            <w:tcBorders/>
            <w:vAlign w:val="center"/>
          </w:tcPr>
          <w:p>
            <w:pPr>
              <w:pStyle w:val="TableContents"/>
              <w:bidi w:val="0"/>
              <w:jc w:val="right"/>
              <w:rPr/>
            </w:pPr>
            <w:r>
              <w:rPr/>
              <w:t>344.1</w:t>
            </w:r>
          </w:p>
        </w:tc>
        <w:tc>
          <w:tcPr>
            <w:tcW w:w="891" w:type="dxa"/>
            <w:tcBorders/>
            <w:vAlign w:val="center"/>
          </w:tcPr>
          <w:p>
            <w:pPr>
              <w:pStyle w:val="TableContents"/>
              <w:bidi w:val="0"/>
              <w:jc w:val="right"/>
              <w:rPr/>
            </w:pPr>
            <w:r>
              <w:rPr/>
              <w:t>−</w:t>
            </w:r>
            <w:r>
              <w:rPr/>
              <w:t>5.8</w:t>
            </w:r>
          </w:p>
        </w:tc>
        <w:tc>
          <w:tcPr>
            <w:tcW w:w="1887" w:type="dxa"/>
            <w:tcBorders/>
            <w:vAlign w:val="center"/>
          </w:tcPr>
          <w:p>
            <w:pPr>
              <w:pStyle w:val="TableContents"/>
              <w:bidi w:val="0"/>
              <w:jc w:val="left"/>
              <w:rPr>
                <w:sz w:val="4"/>
                <w:szCs w:val="4"/>
              </w:rPr>
            </w:pPr>
            <w:r>
              <w:rPr>
                <w:sz w:val="4"/>
                <w:szCs w:val="4"/>
              </w:rPr>
            </w:r>
          </w:p>
        </w:tc>
      </w:tr>
      <w:tr>
        <w:trPr/>
        <w:tc>
          <w:tcPr>
            <w:tcW w:w="1957" w:type="dxa"/>
            <w:tcBorders/>
            <w:vAlign w:val="center"/>
          </w:tcPr>
          <w:p>
            <w:pPr>
              <w:pStyle w:val="TableContents"/>
              <w:widowControl w:val="false"/>
              <w:suppressLineNumbers/>
              <w:bidi w:val="0"/>
              <w:jc w:val="left"/>
              <w:rPr/>
            </w:pPr>
            <w:r>
              <w:rPr/>
              <w:t>shrunk encoding, replacing the stand</w:t>
            </w:r>
          </w:p>
        </w:tc>
        <w:tc>
          <w:tcPr>
            <w:tcW w:w="3013" w:type="dxa"/>
            <w:tcBorders/>
            <w:vAlign w:val="center"/>
          </w:tcPr>
          <w:p>
            <w:pPr>
              <w:pStyle w:val="TableContents"/>
              <w:widowControl w:val="false"/>
              <w:suppressLineNumbers/>
              <w:bidi w:val="0"/>
              <w:jc w:val="left"/>
              <w:rPr/>
            </w:pPr>
            <w:r>
              <w:rPr/>
              <w:t>the pair's training mean shrunk toward the geometry</w:t>
            </w:r>
          </w:p>
        </w:tc>
        <w:tc>
          <w:tcPr>
            <w:tcW w:w="1210" w:type="dxa"/>
            <w:tcBorders/>
            <w:vAlign w:val="center"/>
          </w:tcPr>
          <w:p>
            <w:pPr>
              <w:pStyle w:val="TableContents"/>
              <w:bidi w:val="0"/>
              <w:jc w:val="right"/>
              <w:rPr/>
            </w:pPr>
            <w:r>
              <w:rPr/>
              <w:t>228.3</w:t>
            </w:r>
          </w:p>
        </w:tc>
        <w:tc>
          <w:tcPr>
            <w:tcW w:w="891" w:type="dxa"/>
            <w:tcBorders/>
            <w:vAlign w:val="center"/>
          </w:tcPr>
          <w:p>
            <w:pPr>
              <w:pStyle w:val="TableContents"/>
              <w:bidi w:val="0"/>
              <w:jc w:val="right"/>
              <w:rPr/>
            </w:pPr>
            <w:r>
              <w:rPr/>
              <w:t>−</w:t>
            </w:r>
            <w:r>
              <w:rPr/>
              <w:t>4.9</w:t>
            </w:r>
          </w:p>
        </w:tc>
        <w:tc>
          <w:tcPr>
            <w:tcW w:w="690" w:type="dxa"/>
            <w:tcBorders/>
            <w:vAlign w:val="center"/>
          </w:tcPr>
          <w:p>
            <w:pPr>
              <w:pStyle w:val="TableContents"/>
              <w:bidi w:val="0"/>
              <w:jc w:val="right"/>
              <w:rPr/>
            </w:pPr>
            <w:r>
              <w:rPr/>
              <w:t>342.2</w:t>
            </w:r>
          </w:p>
        </w:tc>
        <w:tc>
          <w:tcPr>
            <w:tcW w:w="891" w:type="dxa"/>
            <w:tcBorders/>
            <w:vAlign w:val="center"/>
          </w:tcPr>
          <w:p>
            <w:pPr>
              <w:pStyle w:val="TableContents"/>
              <w:bidi w:val="0"/>
              <w:jc w:val="right"/>
              <w:rPr/>
            </w:pPr>
            <w:r>
              <w:rPr/>
              <w:t>−</w:t>
            </w:r>
            <w:r>
              <w:rPr/>
              <w:t>1.9</w:t>
            </w:r>
          </w:p>
        </w:tc>
        <w:tc>
          <w:tcPr>
            <w:tcW w:w="1887" w:type="dxa"/>
            <w:tcBorders/>
            <w:vAlign w:val="center"/>
          </w:tcPr>
          <w:p>
            <w:pPr>
              <w:pStyle w:val="TableContents"/>
              <w:bidi w:val="0"/>
              <w:jc w:val="right"/>
              <w:rPr/>
            </w:pPr>
            <w:r>
              <w:rPr/>
              <w:t>−</w:t>
            </w:r>
            <w:r>
              <w:rPr/>
              <w:t>4.4 [−6.1, −2.7]</w:t>
            </w:r>
          </w:p>
        </w:tc>
      </w:tr>
      <w:tr>
        <w:trPr/>
        <w:tc>
          <w:tcPr>
            <w:tcW w:w="1957" w:type="dxa"/>
            <w:tcBorders/>
            <w:vAlign w:val="center"/>
          </w:tcPr>
          <w:p>
            <w:pPr>
              <w:pStyle w:val="TableContents"/>
              <w:widowControl w:val="false"/>
              <w:suppressLineNumbers/>
              <w:bidi w:val="0"/>
              <w:jc w:val="left"/>
              <w:rPr/>
            </w:pPr>
            <w:r>
              <w:rPr/>
              <w:t>stand occupancy</w:t>
            </w:r>
          </w:p>
        </w:tc>
        <w:tc>
          <w:tcPr>
            <w:tcW w:w="3013" w:type="dxa"/>
            <w:tcBorders/>
            <w:vAlign w:val="center"/>
          </w:tcPr>
          <w:p>
            <w:pPr>
              <w:pStyle w:val="TableContents"/>
              <w:widowControl w:val="false"/>
              <w:suppressLineNumbers/>
              <w:bidi w:val="0"/>
              <w:jc w:val="left"/>
              <w:rPr/>
            </w:pPr>
            <w:r>
              <w:rPr/>
              <w:t>the last arrival at the subject's stand</w:t>
            </w:r>
          </w:p>
        </w:tc>
        <w:tc>
          <w:tcPr>
            <w:tcW w:w="1210" w:type="dxa"/>
            <w:tcBorders/>
            <w:vAlign w:val="center"/>
          </w:tcPr>
          <w:p>
            <w:pPr>
              <w:pStyle w:val="TableContents"/>
              <w:bidi w:val="0"/>
              <w:jc w:val="right"/>
              <w:rPr/>
            </w:pPr>
            <w:r>
              <w:rPr/>
              <w:t>219.7</w:t>
            </w:r>
          </w:p>
        </w:tc>
        <w:tc>
          <w:tcPr>
            <w:tcW w:w="891" w:type="dxa"/>
            <w:tcBorders/>
            <w:vAlign w:val="center"/>
          </w:tcPr>
          <w:p>
            <w:pPr>
              <w:pStyle w:val="TableContents"/>
              <w:bidi w:val="0"/>
              <w:jc w:val="right"/>
              <w:rPr/>
            </w:pPr>
            <w:r>
              <w:rPr/>
              <w:t>−</w:t>
            </w:r>
            <w:r>
              <w:rPr/>
              <w:t>8.60</w:t>
            </w:r>
          </w:p>
        </w:tc>
        <w:tc>
          <w:tcPr>
            <w:tcW w:w="690" w:type="dxa"/>
            <w:tcBorders/>
            <w:vAlign w:val="center"/>
          </w:tcPr>
          <w:p>
            <w:pPr>
              <w:pStyle w:val="TableContents"/>
              <w:bidi w:val="0"/>
              <w:jc w:val="right"/>
              <w:rPr/>
            </w:pPr>
            <w:r>
              <w:rPr/>
              <w:t>333.0</w:t>
            </w:r>
          </w:p>
        </w:tc>
        <w:tc>
          <w:tcPr>
            <w:tcW w:w="891" w:type="dxa"/>
            <w:tcBorders/>
            <w:vAlign w:val="center"/>
          </w:tcPr>
          <w:p>
            <w:pPr>
              <w:pStyle w:val="TableContents"/>
              <w:bidi w:val="0"/>
              <w:jc w:val="right"/>
              <w:rPr/>
            </w:pPr>
            <w:r>
              <w:rPr/>
              <w:t>−</w:t>
            </w:r>
            <w:r>
              <w:rPr/>
              <w:t>9.12</w:t>
            </w:r>
          </w:p>
        </w:tc>
        <w:tc>
          <w:tcPr>
            <w:tcW w:w="1887" w:type="dxa"/>
            <w:tcBorders/>
            <w:vAlign w:val="center"/>
          </w:tcPr>
          <w:p>
            <w:pPr>
              <w:pStyle w:val="TableContents"/>
              <w:bidi w:val="0"/>
              <w:jc w:val="right"/>
              <w:rPr/>
            </w:pPr>
            <w:r>
              <w:rPr/>
              <w:t>+1.8 [+0.8, +2.9]</w:t>
            </w:r>
          </w:p>
        </w:tc>
      </w:tr>
      <w:tr>
        <w:trPr/>
        <w:tc>
          <w:tcPr>
            <w:tcW w:w="1957" w:type="dxa"/>
            <w:tcBorders/>
            <w:vAlign w:val="center"/>
          </w:tcPr>
          <w:p>
            <w:pPr>
              <w:pStyle w:val="TableContents"/>
              <w:widowControl w:val="false"/>
              <w:suppressLineNumbers/>
              <w:bidi w:val="0"/>
              <w:jc w:val="left"/>
              <w:rPr/>
            </w:pPr>
            <w:r>
              <w:rPr/>
              <w:t>callsign prefix</w:t>
            </w:r>
          </w:p>
        </w:tc>
        <w:tc>
          <w:tcPr>
            <w:tcW w:w="3013" w:type="dxa"/>
            <w:tcBorders/>
            <w:vAlign w:val="center"/>
          </w:tcPr>
          <w:p>
            <w:pPr>
              <w:pStyle w:val="TableContents"/>
              <w:widowControl w:val="false"/>
              <w:suppressLineNumbers/>
              <w:bidi w:val="0"/>
              <w:jc w:val="left"/>
              <w:rPr/>
            </w:pPr>
            <w:r>
              <w:rPr/>
              <w:t>the operator</w:t>
            </w:r>
          </w:p>
        </w:tc>
        <w:tc>
          <w:tcPr>
            <w:tcW w:w="1210" w:type="dxa"/>
            <w:tcBorders/>
            <w:vAlign w:val="center"/>
          </w:tcPr>
          <w:p>
            <w:pPr>
              <w:pStyle w:val="TableContents"/>
              <w:bidi w:val="0"/>
              <w:jc w:val="right"/>
              <w:rPr/>
            </w:pPr>
            <w:r>
              <w:rPr/>
              <w:t>217.6</w:t>
            </w:r>
          </w:p>
        </w:tc>
        <w:tc>
          <w:tcPr>
            <w:tcW w:w="891" w:type="dxa"/>
            <w:tcBorders/>
            <w:vAlign w:val="center"/>
          </w:tcPr>
          <w:p>
            <w:pPr>
              <w:pStyle w:val="TableContents"/>
              <w:bidi w:val="0"/>
              <w:jc w:val="right"/>
              <w:rPr/>
            </w:pPr>
            <w:r>
              <w:rPr/>
              <w:t>−</w:t>
            </w:r>
            <w:r>
              <w:rPr/>
              <w:t>2.11</w:t>
            </w:r>
          </w:p>
        </w:tc>
        <w:tc>
          <w:tcPr>
            <w:tcW w:w="690" w:type="dxa"/>
            <w:tcBorders/>
            <w:vAlign w:val="center"/>
          </w:tcPr>
          <w:p>
            <w:pPr>
              <w:pStyle w:val="TableContents"/>
              <w:bidi w:val="0"/>
              <w:jc w:val="right"/>
              <w:rPr/>
            </w:pPr>
            <w:r>
              <w:rPr/>
              <w:t>328.4</w:t>
            </w:r>
          </w:p>
        </w:tc>
        <w:tc>
          <w:tcPr>
            <w:tcW w:w="891" w:type="dxa"/>
            <w:tcBorders/>
            <w:vAlign w:val="center"/>
          </w:tcPr>
          <w:p>
            <w:pPr>
              <w:pStyle w:val="TableContents"/>
              <w:bidi w:val="0"/>
              <w:jc w:val="right"/>
              <w:rPr/>
            </w:pPr>
            <w:r>
              <w:rPr/>
              <w:t>−</w:t>
            </w:r>
            <w:r>
              <w:rPr/>
              <w:t>4.64</w:t>
            </w:r>
          </w:p>
        </w:tc>
        <w:tc>
          <w:tcPr>
            <w:tcW w:w="1887" w:type="dxa"/>
            <w:tcBorders/>
            <w:vAlign w:val="center"/>
          </w:tcPr>
          <w:p>
            <w:pPr>
              <w:pStyle w:val="TableContents"/>
              <w:bidi w:val="0"/>
              <w:jc w:val="right"/>
              <w:rPr/>
            </w:pPr>
            <w:r>
              <w:rPr/>
              <w:t>+0.7 [−0.8, +2.2]</w:t>
            </w:r>
          </w:p>
        </w:tc>
      </w:tr>
      <w:tr>
        <w:trPr/>
        <w:tc>
          <w:tcPr>
            <w:tcW w:w="1957" w:type="dxa"/>
            <w:tcBorders/>
            <w:vAlign w:val="center"/>
          </w:tcPr>
          <w:p>
            <w:pPr>
              <w:pStyle w:val="TableContents"/>
              <w:widowControl w:val="false"/>
              <w:suppressLineNumbers/>
              <w:bidi w:val="0"/>
              <w:jc w:val="left"/>
              <w:rPr/>
            </w:pPr>
            <w:r>
              <w:rPr/>
              <w:t>destination and holidays</w:t>
            </w:r>
          </w:p>
        </w:tc>
        <w:tc>
          <w:tcPr>
            <w:tcW w:w="3013" w:type="dxa"/>
            <w:tcBorders/>
            <w:vAlign w:val="center"/>
          </w:tcPr>
          <w:p>
            <w:pPr>
              <w:pStyle w:val="TableContents"/>
              <w:widowControl w:val="false"/>
              <w:suppressLineNumbers/>
              <w:bidi w:val="0"/>
              <w:jc w:val="left"/>
              <w:rPr/>
            </w:pPr>
            <w:r>
              <w:rPr/>
              <w:t>where the flight goes; the public-holiday calendar</w:t>
            </w:r>
          </w:p>
        </w:tc>
        <w:tc>
          <w:tcPr>
            <w:tcW w:w="1210" w:type="dxa"/>
            <w:tcBorders/>
            <w:vAlign w:val="center"/>
          </w:tcPr>
          <w:p>
            <w:pPr>
              <w:pStyle w:val="TableContents"/>
              <w:bidi w:val="0"/>
              <w:jc w:val="right"/>
              <w:rPr/>
            </w:pPr>
            <w:r>
              <w:rPr/>
              <w:t>215.8</w:t>
            </w:r>
          </w:p>
        </w:tc>
        <w:tc>
          <w:tcPr>
            <w:tcW w:w="891" w:type="dxa"/>
            <w:tcBorders/>
            <w:vAlign w:val="center"/>
          </w:tcPr>
          <w:p>
            <w:pPr>
              <w:pStyle w:val="TableContents"/>
              <w:bidi w:val="0"/>
              <w:jc w:val="right"/>
              <w:rPr/>
            </w:pPr>
            <w:r>
              <w:rPr/>
              <w:t>−</w:t>
            </w:r>
            <w:r>
              <w:rPr/>
              <w:t>1.79</w:t>
            </w:r>
          </w:p>
        </w:tc>
        <w:tc>
          <w:tcPr>
            <w:tcW w:w="690" w:type="dxa"/>
            <w:tcBorders/>
            <w:vAlign w:val="center"/>
          </w:tcPr>
          <w:p>
            <w:pPr>
              <w:pStyle w:val="TableContents"/>
              <w:bidi w:val="0"/>
              <w:jc w:val="right"/>
              <w:rPr/>
            </w:pPr>
            <w:r>
              <w:rPr/>
              <w:t>326.9</w:t>
            </w:r>
          </w:p>
        </w:tc>
        <w:tc>
          <w:tcPr>
            <w:tcW w:w="891" w:type="dxa"/>
            <w:tcBorders/>
            <w:vAlign w:val="center"/>
          </w:tcPr>
          <w:p>
            <w:pPr>
              <w:pStyle w:val="TableContents"/>
              <w:bidi w:val="0"/>
              <w:jc w:val="right"/>
              <w:rPr/>
            </w:pPr>
            <w:r>
              <w:rPr/>
              <w:t>−</w:t>
            </w:r>
            <w:r>
              <w:rPr/>
              <w:t>1.49</w:t>
            </w:r>
          </w:p>
        </w:tc>
        <w:tc>
          <w:tcPr>
            <w:tcW w:w="1887" w:type="dxa"/>
            <w:tcBorders/>
            <w:vAlign w:val="center"/>
          </w:tcPr>
          <w:p>
            <w:pPr>
              <w:pStyle w:val="TableContents"/>
              <w:bidi w:val="0"/>
              <w:jc w:val="right"/>
              <w:rPr/>
            </w:pPr>
            <w:r>
              <w:rPr/>
              <w:t>−</w:t>
            </w:r>
            <w:r>
              <w:rPr/>
              <w:t>0.4 [−1.1, +0.4]</w:t>
            </w:r>
          </w:p>
        </w:tc>
      </w:tr>
      <w:tr>
        <w:trPr/>
        <w:tc>
          <w:tcPr>
            <w:tcW w:w="1957" w:type="dxa"/>
            <w:tcBorders/>
            <w:vAlign w:val="center"/>
          </w:tcPr>
          <w:p>
            <w:pPr>
              <w:pStyle w:val="TableContents"/>
              <w:widowControl w:val="false"/>
              <w:suppressLineNumbers/>
              <w:bidi w:val="0"/>
              <w:jc w:val="left"/>
              <w:rPr/>
            </w:pPr>
            <w:r>
              <w:rPr/>
              <w:t>plan differences (the base configuration)</w:t>
            </w:r>
          </w:p>
        </w:tc>
        <w:tc>
          <w:tcPr>
            <w:tcW w:w="3013" w:type="dxa"/>
            <w:tcBorders/>
            <w:vAlign w:val="center"/>
          </w:tcPr>
          <w:p>
            <w:pPr>
              <w:pStyle w:val="TableContents"/>
              <w:widowControl w:val="false"/>
              <w:suppressLineNumbers/>
              <w:bidi w:val="0"/>
              <w:jc w:val="left"/>
              <w:rPr/>
            </w:pPr>
            <w:r>
              <w:rPr/>
              <w:t>the plan's own off-block values against each other</w:t>
            </w:r>
          </w:p>
        </w:tc>
        <w:tc>
          <w:tcPr>
            <w:tcW w:w="1210" w:type="dxa"/>
            <w:tcBorders/>
            <w:vAlign w:val="center"/>
          </w:tcPr>
          <w:p>
            <w:pPr>
              <w:pStyle w:val="TableContents"/>
              <w:bidi w:val="0"/>
              <w:jc w:val="right"/>
              <w:rPr/>
            </w:pPr>
            <w:r>
              <w:rPr/>
              <w:t>214.7</w:t>
            </w:r>
          </w:p>
        </w:tc>
        <w:tc>
          <w:tcPr>
            <w:tcW w:w="891" w:type="dxa"/>
            <w:tcBorders/>
            <w:vAlign w:val="center"/>
          </w:tcPr>
          <w:p>
            <w:pPr>
              <w:pStyle w:val="TableContents"/>
              <w:bidi w:val="0"/>
              <w:jc w:val="right"/>
              <w:rPr/>
            </w:pPr>
            <w:r>
              <w:rPr/>
              <w:t>−</w:t>
            </w:r>
            <w:r>
              <w:rPr/>
              <w:t>1.14</w:t>
            </w:r>
          </w:p>
        </w:tc>
        <w:tc>
          <w:tcPr>
            <w:tcW w:w="690" w:type="dxa"/>
            <w:tcBorders/>
            <w:vAlign w:val="center"/>
          </w:tcPr>
          <w:p>
            <w:pPr>
              <w:pStyle w:val="TableContents"/>
              <w:bidi w:val="0"/>
              <w:jc w:val="right"/>
              <w:rPr/>
            </w:pPr>
            <w:r>
              <w:rPr/>
              <w:t>322.4</w:t>
            </w:r>
          </w:p>
        </w:tc>
        <w:tc>
          <w:tcPr>
            <w:tcW w:w="891" w:type="dxa"/>
            <w:tcBorders/>
            <w:vAlign w:val="center"/>
          </w:tcPr>
          <w:p>
            <w:pPr>
              <w:pStyle w:val="TableContents"/>
              <w:bidi w:val="0"/>
              <w:jc w:val="right"/>
              <w:rPr/>
            </w:pPr>
            <w:r>
              <w:rPr/>
              <w:t>−</w:t>
            </w:r>
            <w:r>
              <w:rPr/>
              <w:t>4.55</w:t>
            </w:r>
          </w:p>
        </w:tc>
        <w:tc>
          <w:tcPr>
            <w:tcW w:w="1887" w:type="dxa"/>
            <w:tcBorders/>
            <w:vAlign w:val="center"/>
          </w:tcPr>
          <w:p>
            <w:pPr>
              <w:pStyle w:val="TableContents"/>
              <w:bidi w:val="0"/>
              <w:jc w:val="right"/>
              <w:rPr/>
            </w:pPr>
            <w:r>
              <w:rPr/>
              <w:t>−</w:t>
            </w:r>
            <w:r>
              <w:rPr/>
              <w:t>1.0 [−2.5, +0.4]</w:t>
            </w:r>
          </w:p>
        </w:tc>
      </w:tr>
    </w:tbl>
    <w:p>
      <w:pPr>
        <w:pStyle w:val="BodyText"/>
        <w:bidi w:val="0"/>
        <w:jc w:val="left"/>
        <w:rPr/>
      </w:pPr>
      <w:r>
        <w:rPr/>
        <w:t xml:space="preserve">The table supports three readings. The plan lags are worth more than every other block together, and they are not about the place: their held-out contrast has an interval that includes zero. The geometry is worth almost nothing on a forward split and is the only block whose worth is concentrated on pairs the model has never seen. The encoding is the reverse: it gains on the forward splits and loses on held-out pairs, which is what smoothed memorization does (§7.4). The congestion blocks are read one by one in </w:t>
      </w:r>
      <w:r>
        <w:rPr>
          <w:rStyle w:val="SourceText"/>
        </w:rPr>
        <w:t>reports/baseline.md</w:t>
      </w:r>
      <w:r>
        <w:rPr/>
        <w:t>; each is under two seconds net of the plan lags. §8.4 reads the same table over the twelve months of the training year held out in turn, with each block's change pooled over the year and counted against the floor measured in each month.</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w:t>
      </w:r>
      <w:r>
        <w:rPr>
          <w:rStyle w:val="Emphasis"/>
        </w:rPr>
        <w:t>Held-out pairs</w:t>
      </w:r>
      <w:r>
        <w:rPr/>
        <w:t xml:space="preserve">, </w:t>
      </w:r>
      <w:r>
        <w:rPr>
          <w:rStyle w:val="Emphasis"/>
        </w:rPr>
        <w:t>The noise floor</w:t>
      </w:r>
      <w:r>
        <w:rPr/>
        <w:t xml:space="preserve">, </w:t>
      </w:r>
      <w:r>
        <w:rPr>
          <w:rStyle w:val="Emphasis"/>
        </w:rPr>
        <w:t>The shrunk identifier encoding</w:t>
      </w:r>
      <w:r>
        <w:rPr/>
        <w:t xml:space="preserve"> and </w:t>
      </w:r>
      <w:r>
        <w:rPr>
          <w:rStyle w:val="Emphasis"/>
        </w:rPr>
        <w:t>The Gate 2c blocks</w:t>
      </w:r>
      <w:r>
        <w:rPr/>
        <w:t>.</w:t>
      </w:r>
    </w:p>
    <w:p>
      <w:pPr>
        <w:pStyle w:val="Heading3"/>
        <w:bidi w:val="0"/>
        <w:jc w:val="left"/>
        <w:rPr/>
      </w:pPr>
      <w:r>
        <w:rPr/>
        <w:t>7.3 Exposure to a shift between the training year and the ranking months</w:t>
      </w:r>
    </w:p>
    <w:p>
      <w:pPr>
        <w:pStyle w:val="BodyText"/>
        <w:bidi w:val="0"/>
        <w:jc w:val="left"/>
        <w:rPr/>
      </w:pPr>
      <w:r>
        <w:rPr/>
        <w:t>Three exposures, each stated as a bound rather than an estimate, and one extrapolation that the final model does not make.</w:t>
      </w:r>
    </w:p>
    <w:p>
      <w:pPr>
        <w:pStyle w:val="BodyText"/>
        <w:bidi w:val="0"/>
        <w:jc w:val="left"/>
        <w:rPr/>
      </w:pPr>
      <w:r>
        <w:rPr>
          <w:rStyle w:val="Strong"/>
        </w:rPr>
        <w:t>The plan-lag regime shift.</w:t>
      </w:r>
      <w:r>
        <w:rPr/>
        <w:t xml:space="preserve"> The ranking months' departures run later against their plans than their 2025 twins in January, and earlier in July. At Istanbul the mean of take-off minus the filed estimate moves +288 s in January, at Frankfurt +224, at Munich +193; in July it moves the other way at every airport, from −64 s at Madrid to −480 at Paris. The exposed fields cannot decompose that shift into taxi and pushback delay, but they can bound it, and a control that reads no plan at all says which it mostly is. Where the January lag moves most, arrivals' taxi-in barely moves (−20, +9, +16 s at Istanbul, Frankfurt and Munich), while arrivals' own lateness moves with it (+857, +453, +366). The day ran late against its plans; the surface did not run slower.</w:t>
      </w:r>
    </w:p>
    <w:p>
      <w:pPr>
        <w:pStyle w:val="BodyText"/>
        <w:bidi w:val="0"/>
        <w:jc w:val="left"/>
        <w:rPr/>
      </w:pPr>
      <w:r>
        <w:rPr/>
        <w:t xml:space="preserve">Taking the whole shift as pushback delay anyway (the worst case, which the control says it is not) and multiplying by each airport's training slope of taxi-out on that lag (0.24 to 0.51 s per second) gives a per-airport bias of at most 93 s in January and 132 s in July, costing </w:t>
      </w:r>
      <w:r>
        <w:rPr>
          <w:rStyle w:val="Strong"/>
        </w:rPr>
        <w:t>+20.3 s at Istanbul, +12.8 at Frankfurt and +5.6 pooled in January, and +31.0 at Paris, +7.1 at Istanbul and +5.1 pooled in July.</w:t>
      </w:r>
      <w:r>
        <w:rPr/>
        <w:t xml:space="preserve"> Biases of opposite sign do not cancel in the pooled figure, because each enters its own airport's squared error. Paris is the largest July exposure. It is not among the three, and its July departures take off eight minutes earlier against their filed estimates than in July 2025, the largest shift at any airport in either month.</w:t>
      </w:r>
    </w:p>
    <w:p>
      <w:pPr>
        <w:pStyle w:val="BodyText"/>
        <w:bidi w:val="0"/>
        <w:jc w:val="left"/>
        <w:rPr/>
      </w:pPr>
      <w:r>
        <w:rPr/>
        <w:t>Per airport, in seconds: the shift in the mean of take-off minus the filed off-block estimate between each ranking month and the same month of 2025, and what that shift would cost the model's RMSE at that airport if all of it were pushback delay (the worst case):</w:t>
      </w:r>
    </w:p>
    <w:tbl>
      <w:tblPr>
        <w:tblW w:w="8384" w:type="dxa"/>
        <w:jc w:val="left"/>
        <w:tblInd w:w="28" w:type="dxa"/>
        <w:tblLayout w:type="fixed"/>
        <w:tblCellMar>
          <w:top w:w="28" w:type="dxa"/>
          <w:left w:w="28" w:type="dxa"/>
          <w:bottom w:w="28" w:type="dxa"/>
          <w:right w:w="28" w:type="dxa"/>
        </w:tblCellMar>
      </w:tblPr>
      <w:tblGrid>
        <w:gridCol w:w="1107"/>
        <w:gridCol w:w="1472"/>
        <w:gridCol w:w="2557"/>
        <w:gridCol w:w="1059"/>
        <w:gridCol w:w="2189"/>
      </w:tblGrid>
      <w:tr>
        <w:trPr>
          <w:tblHeader w:val="true"/>
        </w:trPr>
        <w:tc>
          <w:tcPr>
            <w:tcW w:w="1107" w:type="dxa"/>
            <w:tcBorders/>
            <w:vAlign w:val="center"/>
          </w:tcPr>
          <w:p>
            <w:pPr>
              <w:pStyle w:val="TableHeading"/>
              <w:suppressLineNumbers/>
              <w:bidi w:val="0"/>
              <w:jc w:val="center"/>
              <w:rPr/>
            </w:pPr>
            <w:r>
              <w:rPr/>
              <w:t>airport</w:t>
            </w:r>
          </w:p>
        </w:tc>
        <w:tc>
          <w:tcPr>
            <w:tcW w:w="1472" w:type="dxa"/>
            <w:tcBorders/>
            <w:vAlign w:val="center"/>
          </w:tcPr>
          <w:p>
            <w:pPr>
              <w:pStyle w:val="TableHeading"/>
              <w:bidi w:val="0"/>
              <w:jc w:val="right"/>
              <w:rPr/>
            </w:pPr>
            <w:r>
              <w:rPr/>
              <w:t>January shift</w:t>
            </w:r>
          </w:p>
        </w:tc>
        <w:tc>
          <w:tcPr>
            <w:tcW w:w="2557" w:type="dxa"/>
            <w:tcBorders/>
            <w:vAlign w:val="center"/>
          </w:tcPr>
          <w:p>
            <w:pPr>
              <w:pStyle w:val="TableHeading"/>
              <w:bidi w:val="0"/>
              <w:jc w:val="right"/>
              <w:rPr/>
            </w:pPr>
            <w:r>
              <w:rPr/>
              <w:t>January worst-case cost</w:t>
            </w:r>
          </w:p>
        </w:tc>
        <w:tc>
          <w:tcPr>
            <w:tcW w:w="1059" w:type="dxa"/>
            <w:tcBorders/>
            <w:vAlign w:val="center"/>
          </w:tcPr>
          <w:p>
            <w:pPr>
              <w:pStyle w:val="TableHeading"/>
              <w:bidi w:val="0"/>
              <w:jc w:val="right"/>
              <w:rPr/>
            </w:pPr>
            <w:r>
              <w:rPr/>
              <w:t>July shift</w:t>
            </w:r>
          </w:p>
        </w:tc>
        <w:tc>
          <w:tcPr>
            <w:tcW w:w="2189" w:type="dxa"/>
            <w:tcBorders/>
            <w:vAlign w:val="center"/>
          </w:tcPr>
          <w:p>
            <w:pPr>
              <w:pStyle w:val="TableHeading"/>
              <w:bidi w:val="0"/>
              <w:jc w:val="right"/>
              <w:rPr/>
            </w:pPr>
            <w:r>
              <w:rPr/>
              <w:t>July worst-case cost</w:t>
            </w:r>
          </w:p>
        </w:tc>
      </w:tr>
      <w:tr>
        <w:trPr/>
        <w:tc>
          <w:tcPr>
            <w:tcW w:w="1107" w:type="dxa"/>
            <w:tcBorders/>
            <w:vAlign w:val="center"/>
          </w:tcPr>
          <w:p>
            <w:pPr>
              <w:pStyle w:val="TableContents"/>
              <w:widowControl w:val="false"/>
              <w:suppressLineNumbers/>
              <w:bidi w:val="0"/>
              <w:jc w:val="left"/>
              <w:rPr/>
            </w:pPr>
            <w:r>
              <w:rPr/>
              <w:t>Frankfurt</w:t>
            </w:r>
          </w:p>
        </w:tc>
        <w:tc>
          <w:tcPr>
            <w:tcW w:w="1472" w:type="dxa"/>
            <w:tcBorders/>
            <w:vAlign w:val="center"/>
          </w:tcPr>
          <w:p>
            <w:pPr>
              <w:pStyle w:val="TableContents"/>
              <w:bidi w:val="0"/>
              <w:jc w:val="right"/>
              <w:rPr/>
            </w:pPr>
            <w:r>
              <w:rPr/>
              <w:t>+224</w:t>
            </w:r>
          </w:p>
        </w:tc>
        <w:tc>
          <w:tcPr>
            <w:tcW w:w="2557" w:type="dxa"/>
            <w:tcBorders/>
            <w:vAlign w:val="center"/>
          </w:tcPr>
          <w:p>
            <w:pPr>
              <w:pStyle w:val="TableContents"/>
              <w:bidi w:val="0"/>
              <w:jc w:val="right"/>
              <w:rPr/>
            </w:pPr>
            <w:r>
              <w:rPr/>
              <w:t>+12.8</w:t>
            </w:r>
          </w:p>
        </w:tc>
        <w:tc>
          <w:tcPr>
            <w:tcW w:w="1059" w:type="dxa"/>
            <w:tcBorders/>
            <w:vAlign w:val="center"/>
          </w:tcPr>
          <w:p>
            <w:pPr>
              <w:pStyle w:val="TableContents"/>
              <w:bidi w:val="0"/>
              <w:jc w:val="right"/>
              <w:rPr/>
            </w:pPr>
            <w:r>
              <w:rPr/>
              <w:t>−</w:t>
            </w:r>
            <w:r>
              <w:rPr/>
              <w:t>135</w:t>
            </w:r>
          </w:p>
        </w:tc>
        <w:tc>
          <w:tcPr>
            <w:tcW w:w="2189" w:type="dxa"/>
            <w:tcBorders/>
            <w:vAlign w:val="center"/>
          </w:tcPr>
          <w:p>
            <w:pPr>
              <w:pStyle w:val="TableContents"/>
              <w:bidi w:val="0"/>
              <w:jc w:val="right"/>
              <w:rPr/>
            </w:pPr>
            <w:r>
              <w:rPr/>
              <w:t>+4.7</w:t>
            </w:r>
          </w:p>
        </w:tc>
      </w:tr>
      <w:tr>
        <w:trPr/>
        <w:tc>
          <w:tcPr>
            <w:tcW w:w="1107" w:type="dxa"/>
            <w:tcBorders/>
            <w:vAlign w:val="center"/>
          </w:tcPr>
          <w:p>
            <w:pPr>
              <w:pStyle w:val="TableContents"/>
              <w:widowControl w:val="false"/>
              <w:suppressLineNumbers/>
              <w:bidi w:val="0"/>
              <w:jc w:val="left"/>
              <w:rPr/>
            </w:pPr>
            <w:r>
              <w:rPr/>
              <w:t>Munich</w:t>
            </w:r>
          </w:p>
        </w:tc>
        <w:tc>
          <w:tcPr>
            <w:tcW w:w="1472" w:type="dxa"/>
            <w:tcBorders/>
            <w:vAlign w:val="center"/>
          </w:tcPr>
          <w:p>
            <w:pPr>
              <w:pStyle w:val="TableContents"/>
              <w:bidi w:val="0"/>
              <w:jc w:val="right"/>
              <w:rPr/>
            </w:pPr>
            <w:r>
              <w:rPr/>
              <w:t>+193</w:t>
            </w:r>
          </w:p>
        </w:tc>
        <w:tc>
          <w:tcPr>
            <w:tcW w:w="2557" w:type="dxa"/>
            <w:tcBorders/>
            <w:vAlign w:val="center"/>
          </w:tcPr>
          <w:p>
            <w:pPr>
              <w:pStyle w:val="TableContents"/>
              <w:bidi w:val="0"/>
              <w:jc w:val="right"/>
              <w:rPr/>
            </w:pPr>
            <w:r>
              <w:rPr/>
              <w:t>+8.0</w:t>
            </w:r>
          </w:p>
        </w:tc>
        <w:tc>
          <w:tcPr>
            <w:tcW w:w="1059" w:type="dxa"/>
            <w:tcBorders/>
            <w:vAlign w:val="center"/>
          </w:tcPr>
          <w:p>
            <w:pPr>
              <w:pStyle w:val="TableContents"/>
              <w:bidi w:val="0"/>
              <w:jc w:val="right"/>
              <w:rPr/>
            </w:pPr>
            <w:r>
              <w:rPr/>
              <w:t>−</w:t>
            </w:r>
            <w:r>
              <w:rPr/>
              <w:t>104</w:t>
            </w:r>
          </w:p>
        </w:tc>
        <w:tc>
          <w:tcPr>
            <w:tcW w:w="2189" w:type="dxa"/>
            <w:tcBorders/>
            <w:vAlign w:val="center"/>
          </w:tcPr>
          <w:p>
            <w:pPr>
              <w:pStyle w:val="TableContents"/>
              <w:bidi w:val="0"/>
              <w:jc w:val="right"/>
              <w:rPr/>
            </w:pPr>
            <w:r>
              <w:rPr/>
              <w:t>+3.0</w:t>
            </w:r>
          </w:p>
        </w:tc>
      </w:tr>
      <w:tr>
        <w:trPr/>
        <w:tc>
          <w:tcPr>
            <w:tcW w:w="1107" w:type="dxa"/>
            <w:tcBorders/>
            <w:vAlign w:val="center"/>
          </w:tcPr>
          <w:p>
            <w:pPr>
              <w:pStyle w:val="TableContents"/>
              <w:widowControl w:val="false"/>
              <w:suppressLineNumbers/>
              <w:bidi w:val="0"/>
              <w:jc w:val="left"/>
              <w:rPr/>
            </w:pPr>
            <w:r>
              <w:rPr/>
              <w:t>Heathrow</w:t>
            </w:r>
          </w:p>
        </w:tc>
        <w:tc>
          <w:tcPr>
            <w:tcW w:w="1472" w:type="dxa"/>
            <w:tcBorders/>
            <w:vAlign w:val="center"/>
          </w:tcPr>
          <w:p>
            <w:pPr>
              <w:pStyle w:val="TableContents"/>
              <w:bidi w:val="0"/>
              <w:jc w:val="right"/>
              <w:rPr/>
            </w:pPr>
            <w:r>
              <w:rPr/>
              <w:t>+47</w:t>
            </w:r>
          </w:p>
        </w:tc>
        <w:tc>
          <w:tcPr>
            <w:tcW w:w="2557" w:type="dxa"/>
            <w:tcBorders/>
            <w:vAlign w:val="center"/>
          </w:tcPr>
          <w:p>
            <w:pPr>
              <w:pStyle w:val="TableContents"/>
              <w:bidi w:val="0"/>
              <w:jc w:val="right"/>
              <w:rPr/>
            </w:pPr>
            <w:r>
              <w:rPr/>
              <w:t>+0.6</w:t>
            </w:r>
          </w:p>
        </w:tc>
        <w:tc>
          <w:tcPr>
            <w:tcW w:w="1059" w:type="dxa"/>
            <w:tcBorders/>
            <w:vAlign w:val="center"/>
          </w:tcPr>
          <w:p>
            <w:pPr>
              <w:pStyle w:val="TableContents"/>
              <w:bidi w:val="0"/>
              <w:jc w:val="right"/>
              <w:rPr/>
            </w:pPr>
            <w:r>
              <w:rPr/>
              <w:t>−</w:t>
            </w:r>
            <w:r>
              <w:rPr/>
              <w:t>127</w:t>
            </w:r>
          </w:p>
        </w:tc>
        <w:tc>
          <w:tcPr>
            <w:tcW w:w="2189" w:type="dxa"/>
            <w:tcBorders/>
            <w:vAlign w:val="center"/>
          </w:tcPr>
          <w:p>
            <w:pPr>
              <w:pStyle w:val="TableContents"/>
              <w:bidi w:val="0"/>
              <w:jc w:val="right"/>
              <w:rPr/>
            </w:pPr>
            <w:r>
              <w:rPr/>
              <w:t>+3.4</w:t>
            </w:r>
          </w:p>
        </w:tc>
      </w:tr>
      <w:tr>
        <w:trPr/>
        <w:tc>
          <w:tcPr>
            <w:tcW w:w="1107" w:type="dxa"/>
            <w:tcBorders/>
            <w:vAlign w:val="center"/>
          </w:tcPr>
          <w:p>
            <w:pPr>
              <w:pStyle w:val="TableContents"/>
              <w:widowControl w:val="false"/>
              <w:suppressLineNumbers/>
              <w:bidi w:val="0"/>
              <w:jc w:val="left"/>
              <w:rPr/>
            </w:pPr>
            <w:r>
              <w:rPr/>
              <w:t>Schiphol</w:t>
            </w:r>
          </w:p>
        </w:tc>
        <w:tc>
          <w:tcPr>
            <w:tcW w:w="1472" w:type="dxa"/>
            <w:tcBorders/>
            <w:vAlign w:val="center"/>
          </w:tcPr>
          <w:p>
            <w:pPr>
              <w:pStyle w:val="TableContents"/>
              <w:bidi w:val="0"/>
              <w:jc w:val="right"/>
              <w:rPr/>
            </w:pPr>
            <w:r>
              <w:rPr/>
              <w:t>+148</w:t>
            </w:r>
          </w:p>
        </w:tc>
        <w:tc>
          <w:tcPr>
            <w:tcW w:w="2557" w:type="dxa"/>
            <w:tcBorders/>
            <w:vAlign w:val="center"/>
          </w:tcPr>
          <w:p>
            <w:pPr>
              <w:pStyle w:val="TableContents"/>
              <w:bidi w:val="0"/>
              <w:jc w:val="right"/>
              <w:rPr/>
            </w:pPr>
            <w:r>
              <w:rPr/>
              <w:t>+3.7</w:t>
            </w:r>
          </w:p>
        </w:tc>
        <w:tc>
          <w:tcPr>
            <w:tcW w:w="1059" w:type="dxa"/>
            <w:tcBorders/>
            <w:vAlign w:val="center"/>
          </w:tcPr>
          <w:p>
            <w:pPr>
              <w:pStyle w:val="TableContents"/>
              <w:bidi w:val="0"/>
              <w:jc w:val="right"/>
              <w:rPr/>
            </w:pPr>
            <w:r>
              <w:rPr/>
              <w:t>−</w:t>
            </w:r>
            <w:r>
              <w:rPr/>
              <w:t>74</w:t>
            </w:r>
          </w:p>
        </w:tc>
        <w:tc>
          <w:tcPr>
            <w:tcW w:w="2189" w:type="dxa"/>
            <w:tcBorders/>
            <w:vAlign w:val="center"/>
          </w:tcPr>
          <w:p>
            <w:pPr>
              <w:pStyle w:val="TableContents"/>
              <w:bidi w:val="0"/>
              <w:jc w:val="right"/>
              <w:rPr/>
            </w:pPr>
            <w:r>
              <w:rPr/>
              <w:t>+0.9</w:t>
            </w:r>
          </w:p>
        </w:tc>
      </w:tr>
      <w:tr>
        <w:trPr/>
        <w:tc>
          <w:tcPr>
            <w:tcW w:w="1107" w:type="dxa"/>
            <w:tcBorders/>
            <w:vAlign w:val="center"/>
          </w:tcPr>
          <w:p>
            <w:pPr>
              <w:pStyle w:val="TableContents"/>
              <w:widowControl w:val="false"/>
              <w:suppressLineNumbers/>
              <w:bidi w:val="0"/>
              <w:jc w:val="left"/>
              <w:rPr/>
            </w:pPr>
            <w:r>
              <w:rPr/>
              <w:t>Barcelona</w:t>
            </w:r>
          </w:p>
        </w:tc>
        <w:tc>
          <w:tcPr>
            <w:tcW w:w="1472" w:type="dxa"/>
            <w:tcBorders/>
            <w:vAlign w:val="center"/>
          </w:tcPr>
          <w:p>
            <w:pPr>
              <w:pStyle w:val="TableContents"/>
              <w:bidi w:val="0"/>
              <w:jc w:val="right"/>
              <w:rPr/>
            </w:pPr>
            <w:r>
              <w:rPr/>
              <w:t>+23</w:t>
            </w:r>
          </w:p>
        </w:tc>
        <w:tc>
          <w:tcPr>
            <w:tcW w:w="2557" w:type="dxa"/>
            <w:tcBorders/>
            <w:vAlign w:val="center"/>
          </w:tcPr>
          <w:p>
            <w:pPr>
              <w:pStyle w:val="TableContents"/>
              <w:bidi w:val="0"/>
              <w:jc w:val="right"/>
              <w:rPr/>
            </w:pPr>
            <w:r>
              <w:rPr/>
              <w:t>+0.1</w:t>
            </w:r>
          </w:p>
        </w:tc>
        <w:tc>
          <w:tcPr>
            <w:tcW w:w="1059" w:type="dxa"/>
            <w:tcBorders/>
            <w:vAlign w:val="center"/>
          </w:tcPr>
          <w:p>
            <w:pPr>
              <w:pStyle w:val="TableContents"/>
              <w:bidi w:val="0"/>
              <w:jc w:val="right"/>
              <w:rPr/>
            </w:pPr>
            <w:r>
              <w:rPr/>
              <w:t>−</w:t>
            </w:r>
            <w:r>
              <w:rPr/>
              <w:t>93</w:t>
            </w:r>
          </w:p>
        </w:tc>
        <w:tc>
          <w:tcPr>
            <w:tcW w:w="2189" w:type="dxa"/>
            <w:tcBorders/>
            <w:vAlign w:val="center"/>
          </w:tcPr>
          <w:p>
            <w:pPr>
              <w:pStyle w:val="TableContents"/>
              <w:bidi w:val="0"/>
              <w:jc w:val="right"/>
              <w:rPr/>
            </w:pPr>
            <w:r>
              <w:rPr/>
              <w:t>+1.2</w:t>
            </w:r>
          </w:p>
        </w:tc>
      </w:tr>
      <w:tr>
        <w:trPr/>
        <w:tc>
          <w:tcPr>
            <w:tcW w:w="1107" w:type="dxa"/>
            <w:tcBorders/>
            <w:vAlign w:val="center"/>
          </w:tcPr>
          <w:p>
            <w:pPr>
              <w:pStyle w:val="TableContents"/>
              <w:widowControl w:val="false"/>
              <w:suppressLineNumbers/>
              <w:bidi w:val="0"/>
              <w:jc w:val="left"/>
              <w:rPr/>
            </w:pPr>
            <w:r>
              <w:rPr/>
              <w:t>Madrid</w:t>
            </w:r>
          </w:p>
        </w:tc>
        <w:tc>
          <w:tcPr>
            <w:tcW w:w="1472" w:type="dxa"/>
            <w:tcBorders/>
            <w:vAlign w:val="center"/>
          </w:tcPr>
          <w:p>
            <w:pPr>
              <w:pStyle w:val="TableContents"/>
              <w:bidi w:val="0"/>
              <w:jc w:val="right"/>
              <w:rPr/>
            </w:pPr>
            <w:r>
              <w:rPr/>
              <w:t>+92</w:t>
            </w:r>
          </w:p>
        </w:tc>
        <w:tc>
          <w:tcPr>
            <w:tcW w:w="2557" w:type="dxa"/>
            <w:tcBorders/>
            <w:vAlign w:val="center"/>
          </w:tcPr>
          <w:p>
            <w:pPr>
              <w:pStyle w:val="TableContents"/>
              <w:bidi w:val="0"/>
              <w:jc w:val="right"/>
              <w:rPr/>
            </w:pPr>
            <w:r>
              <w:rPr/>
              <w:t>+1.7</w:t>
            </w:r>
          </w:p>
        </w:tc>
        <w:tc>
          <w:tcPr>
            <w:tcW w:w="1059" w:type="dxa"/>
            <w:tcBorders/>
            <w:vAlign w:val="center"/>
          </w:tcPr>
          <w:p>
            <w:pPr>
              <w:pStyle w:val="TableContents"/>
              <w:bidi w:val="0"/>
              <w:jc w:val="right"/>
              <w:rPr/>
            </w:pPr>
            <w:r>
              <w:rPr/>
              <w:t>−</w:t>
            </w:r>
            <w:r>
              <w:rPr/>
              <w:t>64</w:t>
            </w:r>
          </w:p>
        </w:tc>
        <w:tc>
          <w:tcPr>
            <w:tcW w:w="2189" w:type="dxa"/>
            <w:tcBorders/>
            <w:vAlign w:val="center"/>
          </w:tcPr>
          <w:p>
            <w:pPr>
              <w:pStyle w:val="TableContents"/>
              <w:bidi w:val="0"/>
              <w:jc w:val="right"/>
              <w:rPr/>
            </w:pPr>
            <w:r>
              <w:rPr/>
              <w:t>+0.7</w:t>
            </w:r>
          </w:p>
        </w:tc>
      </w:tr>
      <w:tr>
        <w:trPr/>
        <w:tc>
          <w:tcPr>
            <w:tcW w:w="1107" w:type="dxa"/>
            <w:tcBorders/>
            <w:vAlign w:val="center"/>
          </w:tcPr>
          <w:p>
            <w:pPr>
              <w:pStyle w:val="TableContents"/>
              <w:widowControl w:val="false"/>
              <w:suppressLineNumbers/>
              <w:bidi w:val="0"/>
              <w:jc w:val="left"/>
              <w:rPr/>
            </w:pPr>
            <w:r>
              <w:rPr/>
              <w:t>Paris</w:t>
            </w:r>
          </w:p>
        </w:tc>
        <w:tc>
          <w:tcPr>
            <w:tcW w:w="1472" w:type="dxa"/>
            <w:tcBorders/>
            <w:vAlign w:val="center"/>
          </w:tcPr>
          <w:p>
            <w:pPr>
              <w:pStyle w:val="TableContents"/>
              <w:bidi w:val="0"/>
              <w:jc w:val="right"/>
              <w:rPr/>
            </w:pPr>
            <w:r>
              <w:rPr/>
              <w:t>−</w:t>
            </w:r>
            <w:r>
              <w:rPr/>
              <w:t>80</w:t>
            </w:r>
          </w:p>
        </w:tc>
        <w:tc>
          <w:tcPr>
            <w:tcW w:w="2557" w:type="dxa"/>
            <w:tcBorders/>
            <w:vAlign w:val="center"/>
          </w:tcPr>
          <w:p>
            <w:pPr>
              <w:pStyle w:val="TableContents"/>
              <w:bidi w:val="0"/>
              <w:jc w:val="right"/>
              <w:rPr/>
            </w:pPr>
            <w:r>
              <w:rPr/>
              <w:t>+1.0</w:t>
            </w:r>
          </w:p>
        </w:tc>
        <w:tc>
          <w:tcPr>
            <w:tcW w:w="1059" w:type="dxa"/>
            <w:tcBorders/>
            <w:vAlign w:val="center"/>
          </w:tcPr>
          <w:p>
            <w:pPr>
              <w:pStyle w:val="TableContents"/>
              <w:bidi w:val="0"/>
              <w:jc w:val="right"/>
              <w:rPr/>
            </w:pPr>
            <w:r>
              <w:rPr/>
              <w:t>−</w:t>
            </w:r>
            <w:r>
              <w:rPr/>
              <w:t>480</w:t>
            </w:r>
          </w:p>
        </w:tc>
        <w:tc>
          <w:tcPr>
            <w:tcW w:w="2189" w:type="dxa"/>
            <w:tcBorders/>
            <w:vAlign w:val="center"/>
          </w:tcPr>
          <w:p>
            <w:pPr>
              <w:pStyle w:val="TableContents"/>
              <w:bidi w:val="0"/>
              <w:jc w:val="right"/>
              <w:rPr/>
            </w:pPr>
            <w:r>
              <w:rPr/>
              <w:t>+31.0</w:t>
            </w:r>
          </w:p>
        </w:tc>
      </w:tr>
      <w:tr>
        <w:trPr/>
        <w:tc>
          <w:tcPr>
            <w:tcW w:w="1107" w:type="dxa"/>
            <w:tcBorders/>
            <w:vAlign w:val="center"/>
          </w:tcPr>
          <w:p>
            <w:pPr>
              <w:pStyle w:val="TableContents"/>
              <w:widowControl w:val="false"/>
              <w:suppressLineNumbers/>
              <w:bidi w:val="0"/>
              <w:jc w:val="left"/>
              <w:rPr/>
            </w:pPr>
            <w:r>
              <w:rPr/>
              <w:t>Fiumicino</w:t>
            </w:r>
          </w:p>
        </w:tc>
        <w:tc>
          <w:tcPr>
            <w:tcW w:w="1472" w:type="dxa"/>
            <w:tcBorders/>
            <w:vAlign w:val="center"/>
          </w:tcPr>
          <w:p>
            <w:pPr>
              <w:pStyle w:val="TableContents"/>
              <w:bidi w:val="0"/>
              <w:jc w:val="right"/>
              <w:rPr/>
            </w:pPr>
            <w:r>
              <w:rPr/>
              <w:t>−</w:t>
            </w:r>
            <w:r>
              <w:rPr/>
              <w:t>35</w:t>
            </w:r>
          </w:p>
        </w:tc>
        <w:tc>
          <w:tcPr>
            <w:tcW w:w="2557" w:type="dxa"/>
            <w:tcBorders/>
            <w:vAlign w:val="center"/>
          </w:tcPr>
          <w:p>
            <w:pPr>
              <w:pStyle w:val="TableContents"/>
              <w:bidi w:val="0"/>
              <w:jc w:val="right"/>
              <w:rPr/>
            </w:pPr>
            <w:r>
              <w:rPr/>
              <w:t>+0.6</w:t>
            </w:r>
          </w:p>
        </w:tc>
        <w:tc>
          <w:tcPr>
            <w:tcW w:w="1059" w:type="dxa"/>
            <w:tcBorders/>
            <w:vAlign w:val="center"/>
          </w:tcPr>
          <w:p>
            <w:pPr>
              <w:pStyle w:val="TableContents"/>
              <w:bidi w:val="0"/>
              <w:jc w:val="right"/>
              <w:rPr/>
            </w:pPr>
            <w:r>
              <w:rPr/>
              <w:t>−</w:t>
            </w:r>
            <w:r>
              <w:rPr/>
              <w:t>83</w:t>
            </w:r>
          </w:p>
        </w:tc>
        <w:tc>
          <w:tcPr>
            <w:tcW w:w="2189" w:type="dxa"/>
            <w:tcBorders/>
            <w:vAlign w:val="center"/>
          </w:tcPr>
          <w:p>
            <w:pPr>
              <w:pStyle w:val="TableContents"/>
              <w:bidi w:val="0"/>
              <w:jc w:val="right"/>
              <w:rPr/>
            </w:pPr>
            <w:r>
              <w:rPr/>
              <w:t>+1.1</w:t>
            </w:r>
          </w:p>
        </w:tc>
      </w:tr>
      <w:tr>
        <w:trPr/>
        <w:tc>
          <w:tcPr>
            <w:tcW w:w="1107" w:type="dxa"/>
            <w:tcBorders/>
            <w:vAlign w:val="center"/>
          </w:tcPr>
          <w:p>
            <w:pPr>
              <w:pStyle w:val="TableContents"/>
              <w:widowControl w:val="false"/>
              <w:suppressLineNumbers/>
              <w:bidi w:val="0"/>
              <w:jc w:val="left"/>
              <w:rPr/>
            </w:pPr>
            <w:r>
              <w:rPr/>
              <w:t>Zurich</w:t>
            </w:r>
          </w:p>
        </w:tc>
        <w:tc>
          <w:tcPr>
            <w:tcW w:w="1472" w:type="dxa"/>
            <w:tcBorders/>
            <w:vAlign w:val="center"/>
          </w:tcPr>
          <w:p>
            <w:pPr>
              <w:pStyle w:val="TableContents"/>
              <w:bidi w:val="0"/>
              <w:jc w:val="right"/>
              <w:rPr/>
            </w:pPr>
            <w:r>
              <w:rPr/>
              <w:t>+178</w:t>
            </w:r>
          </w:p>
        </w:tc>
        <w:tc>
          <w:tcPr>
            <w:tcW w:w="2557" w:type="dxa"/>
            <w:tcBorders/>
            <w:vAlign w:val="center"/>
          </w:tcPr>
          <w:p>
            <w:pPr>
              <w:pStyle w:val="TableContents"/>
              <w:bidi w:val="0"/>
              <w:jc w:val="right"/>
              <w:rPr/>
            </w:pPr>
            <w:r>
              <w:rPr/>
              <w:t>+5.0</w:t>
            </w:r>
          </w:p>
        </w:tc>
        <w:tc>
          <w:tcPr>
            <w:tcW w:w="1059" w:type="dxa"/>
            <w:tcBorders/>
            <w:vAlign w:val="center"/>
          </w:tcPr>
          <w:p>
            <w:pPr>
              <w:pStyle w:val="TableContents"/>
              <w:bidi w:val="0"/>
              <w:jc w:val="right"/>
              <w:rPr/>
            </w:pPr>
            <w:r>
              <w:rPr/>
              <w:t>−</w:t>
            </w:r>
            <w:r>
              <w:rPr/>
              <w:t>69</w:t>
            </w:r>
          </w:p>
        </w:tc>
        <w:tc>
          <w:tcPr>
            <w:tcW w:w="2189" w:type="dxa"/>
            <w:tcBorders/>
            <w:vAlign w:val="center"/>
          </w:tcPr>
          <w:p>
            <w:pPr>
              <w:pStyle w:val="TableContents"/>
              <w:bidi w:val="0"/>
              <w:jc w:val="right"/>
              <w:rPr/>
            </w:pPr>
            <w:r>
              <w:rPr/>
              <w:t>+0.7</w:t>
            </w:r>
          </w:p>
        </w:tc>
      </w:tr>
      <w:tr>
        <w:trPr/>
        <w:tc>
          <w:tcPr>
            <w:tcW w:w="1107" w:type="dxa"/>
            <w:tcBorders/>
            <w:vAlign w:val="center"/>
          </w:tcPr>
          <w:p>
            <w:pPr>
              <w:pStyle w:val="TableContents"/>
              <w:widowControl w:val="false"/>
              <w:suppressLineNumbers/>
              <w:bidi w:val="0"/>
              <w:jc w:val="left"/>
              <w:rPr/>
            </w:pPr>
            <w:r>
              <w:rPr/>
              <w:t>Istanbul</w:t>
            </w:r>
          </w:p>
        </w:tc>
        <w:tc>
          <w:tcPr>
            <w:tcW w:w="1472" w:type="dxa"/>
            <w:tcBorders/>
            <w:vAlign w:val="center"/>
          </w:tcPr>
          <w:p>
            <w:pPr>
              <w:pStyle w:val="TableContents"/>
              <w:bidi w:val="0"/>
              <w:jc w:val="right"/>
              <w:rPr/>
            </w:pPr>
            <w:r>
              <w:rPr/>
              <w:t>+288</w:t>
            </w:r>
          </w:p>
        </w:tc>
        <w:tc>
          <w:tcPr>
            <w:tcW w:w="2557" w:type="dxa"/>
            <w:tcBorders/>
            <w:vAlign w:val="center"/>
          </w:tcPr>
          <w:p>
            <w:pPr>
              <w:pStyle w:val="TableContents"/>
              <w:bidi w:val="0"/>
              <w:jc w:val="right"/>
              <w:rPr/>
            </w:pPr>
            <w:r>
              <w:rPr/>
              <w:t>+20.3</w:t>
            </w:r>
          </w:p>
        </w:tc>
        <w:tc>
          <w:tcPr>
            <w:tcW w:w="1059" w:type="dxa"/>
            <w:tcBorders/>
            <w:vAlign w:val="center"/>
          </w:tcPr>
          <w:p>
            <w:pPr>
              <w:pStyle w:val="TableContents"/>
              <w:bidi w:val="0"/>
              <w:jc w:val="right"/>
              <w:rPr/>
            </w:pPr>
            <w:r>
              <w:rPr/>
              <w:t>−</w:t>
            </w:r>
            <w:r>
              <w:rPr/>
              <w:t>192</w:t>
            </w:r>
          </w:p>
        </w:tc>
        <w:tc>
          <w:tcPr>
            <w:tcW w:w="2189" w:type="dxa"/>
            <w:tcBorders/>
            <w:vAlign w:val="center"/>
          </w:tcPr>
          <w:p>
            <w:pPr>
              <w:pStyle w:val="TableContents"/>
              <w:bidi w:val="0"/>
              <w:jc w:val="right"/>
              <w:rPr/>
            </w:pPr>
            <w:r>
              <w:rPr/>
              <w:t>+7.1</w:t>
            </w:r>
          </w:p>
        </w:tc>
      </w:tr>
      <w:tr>
        <w:trPr/>
        <w:tc>
          <w:tcPr>
            <w:tcW w:w="1107" w:type="dxa"/>
            <w:tcBorders/>
            <w:vAlign w:val="center"/>
          </w:tcPr>
          <w:p>
            <w:pPr>
              <w:pStyle w:val="TableContents"/>
              <w:widowControl w:val="false"/>
              <w:suppressLineNumbers/>
              <w:bidi w:val="0"/>
              <w:jc w:val="left"/>
              <w:rPr/>
            </w:pPr>
            <w:r>
              <w:rPr/>
              <w:t>pooled</w:t>
            </w:r>
          </w:p>
        </w:tc>
        <w:tc>
          <w:tcPr>
            <w:tcW w:w="1472" w:type="dxa"/>
            <w:tcBorders/>
            <w:vAlign w:val="center"/>
          </w:tcPr>
          <w:p>
            <w:pPr>
              <w:pStyle w:val="TableContents"/>
              <w:bidi w:val="0"/>
              <w:jc w:val="left"/>
              <w:rPr>
                <w:sz w:val="4"/>
                <w:szCs w:val="4"/>
              </w:rPr>
            </w:pPr>
            <w:r>
              <w:rPr>
                <w:sz w:val="4"/>
                <w:szCs w:val="4"/>
              </w:rPr>
            </w:r>
          </w:p>
        </w:tc>
        <w:tc>
          <w:tcPr>
            <w:tcW w:w="2557" w:type="dxa"/>
            <w:tcBorders/>
            <w:vAlign w:val="center"/>
          </w:tcPr>
          <w:p>
            <w:pPr>
              <w:pStyle w:val="TableContents"/>
              <w:bidi w:val="0"/>
              <w:jc w:val="right"/>
              <w:rPr/>
            </w:pPr>
            <w:r>
              <w:rPr/>
              <w:t>+5.6</w:t>
            </w:r>
          </w:p>
        </w:tc>
        <w:tc>
          <w:tcPr>
            <w:tcW w:w="1059" w:type="dxa"/>
            <w:tcBorders/>
            <w:vAlign w:val="center"/>
          </w:tcPr>
          <w:p>
            <w:pPr>
              <w:pStyle w:val="TableContents"/>
              <w:bidi w:val="0"/>
              <w:jc w:val="left"/>
              <w:rPr>
                <w:sz w:val="4"/>
                <w:szCs w:val="4"/>
              </w:rPr>
            </w:pPr>
            <w:r>
              <w:rPr>
                <w:sz w:val="4"/>
                <w:szCs w:val="4"/>
              </w:rPr>
            </w:r>
          </w:p>
        </w:tc>
        <w:tc>
          <w:tcPr>
            <w:tcW w:w="2189" w:type="dxa"/>
            <w:tcBorders/>
            <w:vAlign w:val="center"/>
          </w:tcPr>
          <w:p>
            <w:pPr>
              <w:pStyle w:val="TableContents"/>
              <w:bidi w:val="0"/>
              <w:jc w:val="right"/>
              <w:rPr/>
            </w:pPr>
            <w:r>
              <w:rPr/>
              <w:t>+5.1</w:t>
            </w:r>
          </w:p>
        </w:tc>
      </w:tr>
    </w:tbl>
    <w:p>
      <w:pPr>
        <w:pStyle w:val="BodyText"/>
        <w:bidi w:val="0"/>
        <w:jc w:val="left"/>
        <w:rPr/>
      </w:pPr>
      <w:r>
        <w:rPr>
          <w:rStyle w:val="Strong"/>
        </w:rPr>
        <w:t>The winter regime.</w:t>
      </w:r>
      <w:r>
        <w:rPr/>
        <w:t xml:space="preserve"> January 2026 froze for 48% of Frankfurt's hours against 30% in 2025, and for 65% of Zurich's against 41%; Istanbul went from no freezing hour to 15%. This is where a model fitted on 2025 extrapolates, and the weather flags are what it extrapolates along, which is the argument for regime flags rather than continuous weather drivers.</w:t>
      </w:r>
    </w:p>
    <w:p>
      <w:pPr>
        <w:pStyle w:val="BodyText"/>
        <w:bidi w:val="0"/>
        <w:jc w:val="left"/>
        <w:rPr/>
      </w:pPr>
      <w:r>
        <w:rPr/>
        <w:t>What a winter month outside the model's experience costs is on the record once in the training year. Istanbul's February 2025 froze for 22.6% of its hours against a 2015 to 2024 range of 0.0% to 16.7%, and had precipitation in 39.1% against 9.1% to 23.5%. Read with that month held out, the shipped model scores 520.8 s there with a bias of −92 s and no row over four hours, against 173.4 to 237.1 s at six ordinary airports over the year (§8.3). The seven February days above the month's figure had 10 to 20 freezing hours and plan lags of +1,454 to +2,486 s. January 2026 at the same airport froze for 14.8% of its hours against that February's 22.6%. Of its 31 days, 3 fall inside those seven days' range of freezing hours, 10 inside their range of plan lags, and 3 inside both; on freezing hours, 29 fall inside the range of the ordinary February days. That comparison is descriptive: the ranges come from 28 days of one airport-month, and no figure here says what January 2026 will score (Annex G).</w:t>
      </w:r>
    </w:p>
    <w:p>
      <w:pPr>
        <w:pStyle w:val="BodyText"/>
        <w:bidi w:val="0"/>
        <w:jc w:val="left"/>
        <w:rPr/>
      </w:pPr>
      <w:r>
        <w:rPr>
          <w:rStyle w:val="Strong"/>
        </w:rPr>
        <w:t>The record-quality term's coverage.</w:t>
      </w:r>
      <w:r>
        <w:rPr/>
        <w:t xml:space="preserve"> The term is fitted on one airport's 2025 feed. An airport that begins defaulting block times in 2026 is not covered, and no rule fitted on 2025 could cover it. Pooling the term's cells across airports would cover more rows, but it assumes that every airport defaults block times at the same rate. The per-airport rates refute that in every bucket a pooled cell would serve, in each of the three training sets the legs use, as §4 shows. What remains is the exposure itself, which is bounded and is stated rather than turned into a score: 279 ranking rows sit where a pooled rule would have covered them, 138 of them at Amsterdam in January 2026, and each such row at an airport whose feed starts defaulting would be an error of about a day.</w:t>
      </w:r>
    </w:p>
    <w:p>
      <w:pPr>
        <w:pStyle w:val="BodyText"/>
        <w:bidi w:val="0"/>
        <w:jc w:val="left"/>
        <w:rPr/>
      </w:pPr>
      <w:r>
        <w:rPr>
          <w:rStyle w:val="Strong"/>
        </w:rPr>
        <w:t>And one extrapolation the final fit does not make.</w:t>
      </w:r>
      <w:r>
        <w:rPr/>
        <w:t xml:space="preserve"> The July leg's Heathrow figures, the afternoon concentration of §9.5 among them, are read from a model trained on January to June 2025, which holds no July. The final model is fitted on the whole training year, which holds July 2025's afternoons, with the hour and the runway in its frame. The leg therefore measures an extrapolation the final model does not make in the same form, and its Heathrow figures are a diagnostic rather than a bound on the ranking months.</w:t>
      </w:r>
    </w:p>
    <w:p>
      <w:pPr>
        <w:pStyle w:val="BodyText"/>
        <w:bidi w:val="0"/>
        <w:jc w:val="left"/>
        <w:rPr/>
      </w:pPr>
      <w:r>
        <w:rPr/>
        <w:t xml:space="preserve">Sources: </w:t>
      </w:r>
      <w:r>
        <w:rPr>
          <w:rStyle w:val="SourceText"/>
        </w:rPr>
        <w:t>reports/congestion.md</w:t>
      </w:r>
      <w:r>
        <w:rPr/>
        <w:t xml:space="preserve">, </w:t>
      </w:r>
      <w:r>
        <w:rPr>
          <w:rStyle w:val="Emphasis"/>
        </w:rPr>
        <w:t>Regime exposure</w:t>
      </w:r>
      <w:r>
        <w:rPr/>
        <w:t xml:space="preserve"> and </w:t>
      </w:r>
      <w:r>
        <w:rPr>
          <w:rStyle w:val="Emphasis"/>
        </w:rPr>
        <w:t>The weather regime</w:t>
      </w:r>
      <w:r>
        <w:rPr/>
        <w:t xml:space="preserve">; </w:t>
      </w:r>
      <w:r>
        <w:rPr>
          <w:rStyle w:val="SourceText"/>
        </w:rPr>
        <w:t>reports/tails.md</w:t>
      </w:r>
      <w:r>
        <w:rPr/>
        <w:t xml:space="preserve">, </w:t>
      </w:r>
      <w:r>
        <w:rPr>
          <w:rStyle w:val="Emphasis"/>
        </w:rPr>
        <w:t>The pooled record-quality rule, measured</w:t>
      </w:r>
      <w:r>
        <w:rPr/>
        <w:t xml:space="preserve"> and </w:t>
      </w:r>
      <w:r>
        <w:rPr>
          <w:rStyle w:val="Emphasis"/>
        </w:rPr>
        <w:t>What the term is, stated plainly</w:t>
      </w:r>
      <w:r>
        <w:rPr/>
        <w:t xml:space="preserve">; </w:t>
      </w:r>
      <w:r>
        <w:rPr>
          <w:rStyle w:val="SourceText"/>
        </w:rPr>
        <w:t>reports/residual.md</w:t>
      </w:r>
      <w:r>
        <w:rPr/>
        <w:t xml:space="preserve">, </w:t>
      </w:r>
      <w:r>
        <w:rPr>
          <w:rStyle w:val="Emphasis"/>
        </w:rPr>
        <w:t>EGLL's July</w:t>
      </w:r>
      <w:r>
        <w:rPr/>
        <w:t xml:space="preserve">; </w:t>
      </w:r>
      <w:r>
        <w:rPr>
          <w:rStyle w:val="SourceText"/>
        </w:rPr>
        <w:t>reports/monthly_ladder.md</w:t>
      </w:r>
      <w:r>
        <w:rPr/>
        <w:t xml:space="preserve">, </w:t>
      </w:r>
      <w:r>
        <w:rPr>
          <w:rStyle w:val="Emphasis"/>
        </w:rPr>
        <w:t>Annex E: the historic weather context</w:t>
      </w:r>
      <w:r>
        <w:rPr/>
        <w:t xml:space="preserve">; </w:t>
      </w:r>
      <w:r>
        <w:rPr>
          <w:rStyle w:val="SourceText"/>
        </w:rPr>
        <w:t>reports/monthly_seeds.md</w:t>
      </w:r>
      <w:r>
        <w:rPr/>
        <w:t xml:space="preserve">, </w:t>
      </w:r>
      <w:r>
        <w:rPr>
          <w:rStyle w:val="Emphasis"/>
        </w:rPr>
        <w:t>Per airport and month: the five-seed average</w:t>
      </w:r>
      <w:r>
        <w:rPr/>
        <w:t xml:space="preserve">; </w:t>
      </w:r>
      <w:r>
        <w:rPr>
          <w:rStyle w:val="SourceText"/>
        </w:rPr>
        <w:t>reports/istanbul.md</w:t>
      </w:r>
      <w:r>
        <w:rPr/>
        <w:t xml:space="preserve">, </w:t>
      </w:r>
      <w:r>
        <w:rPr>
          <w:rStyle w:val="Emphasis"/>
        </w:rPr>
        <w:t>LTFM, February 2025, day by day</w:t>
      </w:r>
      <w:r>
        <w:rPr/>
        <w:t xml:space="preserve">, </w:t>
      </w:r>
      <w:r>
        <w:rPr>
          <w:rStyle w:val="Emphasis"/>
        </w:rPr>
        <w:t>LTFM, January 2026 (ranking month), day by day</w:t>
      </w:r>
      <w:r>
        <w:rPr/>
        <w:t xml:space="preserve"> and </w:t>
      </w:r>
      <w:r>
        <w:rPr>
          <w:rStyle w:val="Emphasis"/>
        </w:rPr>
        <w:t>January 2026 against February 2025's days</w:t>
      </w:r>
      <w:r>
        <w:rPr/>
        <w:t>.</w:t>
      </w:r>
    </w:p>
    <w:p>
      <w:pPr>
        <w:pStyle w:val="Heading3"/>
        <w:bidi w:val="0"/>
        <w:jc w:val="left"/>
        <w:rPr/>
      </w:pPr>
      <w:r>
        <w:rPr/>
        <w:t>7.4 A block aimed at one place that paid in another: the shrunk encoding</w:t>
      </w:r>
    </w:p>
    <w:p>
      <w:pPr>
        <w:pStyle w:val="BodyText"/>
        <w:bidi w:val="0"/>
        <w:jc w:val="left"/>
        <w:rPr/>
      </w:pPr>
      <w:r>
        <w:rPr>
          <w:rStyle w:val="Emphasis"/>
        </w:rPr>
        <w:t>The measurement, the decision and the model agree: the version this section chooses is carried into the rung the base configuration is fitted from, through an inference-time encoder that computes the encoding once over the training year and is tested against the same leakage modes as the fold-wise one.</w:t>
      </w:r>
    </w:p>
    <w:p>
      <w:pPr>
        <w:pStyle w:val="BodyText"/>
        <w:bidi w:val="0"/>
        <w:jc w:val="left"/>
        <w:rPr/>
      </w:pPr>
      <w:r>
        <w:rPr>
          <w:rStyle w:val="Strong"/>
        </w:rPr>
        <w:t>What was built, and against what.</w:t>
      </w:r>
      <w:r>
        <w:rPr/>
        <w:t xml:space="preserve"> §5.4 says where the identifier model has nothing to memorize, and that the geometry is the better prior where it runs out. The obvious way to spend that inside the booster is an empirical-Bayes encoding of the (airport, stand, runway) pair: its out-of-fold training mean shrunk toward the geometric prediction rather than toward a group mean, </w:t>
      </w:r>
      <w:r>
        <w:rPr>
          <w:rStyle w:val="SourceText"/>
        </w:rPr>
        <w:t>(n × ȳ + k × ĝ) / (n + k)</w:t>
      </w:r>
      <w:r>
        <w:rPr/>
        <w:t xml:space="preserve">, with </w:t>
      </w:r>
      <w:r>
        <w:rPr>
          <w:rStyle w:val="SourceText"/>
        </w:rPr>
        <w:t>k</w:t>
      </w:r>
      <w:r>
        <w:rPr/>
        <w:t xml:space="preserve"> estimated per airport as the ratio of within-pair to between-pair variance, the sampling noise of each pair mean subtracted, and the same construction at stand level as a second feature. It was pre-registered against a specific bucket: pairs seen one to ten times, where the identifier exists and its mean is a handful of draws. The ceiling it was built against was computed before the three versions (arms) were fitted. Each bucket's airport-mean error was scaled by the ratio that the control, the </w:t>
      </w:r>
      <w:r>
        <w:rPr>
          <w:rStyle w:val="SourceText"/>
        </w:rPr>
        <w:t>+ weather</w:t>
      </w:r>
      <w:r>
        <w:rPr/>
        <w:t xml:space="preserve"> rung they are compared against, achieves on the well-observed bucket, and the difference was called the attainable headroom. As the report computes it under the parameters that ship, it comes to +0.32 s pooled, all of it in the thin buckets, none by construction in the bucket that carries 91% of the rows.</w:t>
      </w:r>
    </w:p>
    <w:p>
      <w:pPr>
        <w:pStyle w:val="BodyText"/>
        <w:bidi w:val="0"/>
        <w:jc w:val="left"/>
        <w:rPr/>
      </w:pPr>
      <w:r>
        <w:rPr>
          <w:rStyle w:val="Strong"/>
        </w:rPr>
        <w:t>What was guarded.</w:t>
      </w:r>
      <w:r>
        <w:rPr/>
        <w:t xml:space="preserve"> Four leakage modes are guarded, each with a test that plants the leak and asserts nothing moves. The encoding is recomputed inside every fold, so a held-out pair sees </w:t>
      </w:r>
      <w:r>
        <w:rPr>
          <w:rStyle w:val="SourceText"/>
        </w:rPr>
        <w:t>n = 0</w:t>
      </w:r>
      <w:r>
        <w:rPr/>
        <w:t xml:space="preserve"> and encodes to the bare prior. </w:t>
      </w:r>
      <w:r>
        <w:rPr>
          <w:rStyle w:val="SourceText"/>
        </w:rPr>
        <w:t>ȳ</w:t>
      </w:r>
      <w:r>
        <w:rPr/>
        <w:t xml:space="preserve"> is out of fold within training too, so a row's own target never enters its own feature (the single-</w:t>
      </w:r>
      <w:r>
        <w:rPr>
          <w:rStyle w:val="SourceText"/>
        </w:rPr>
        <w:t>k</w:t>
      </w:r>
      <w:r>
        <w:rPr/>
        <w:t xml:space="preserve"> version failed that test by twelve seconds, which is how the out-of-fold </w:t>
      </w:r>
      <w:r>
        <w:rPr>
          <w:rStyle w:val="SourceText"/>
        </w:rPr>
        <w:t>k</w:t>
      </w:r>
      <w:r>
        <w:rPr/>
        <w:t xml:space="preserve"> came to exist). </w:t>
      </w:r>
      <w:r>
        <w:rPr>
          <w:rStyle w:val="SourceText"/>
        </w:rPr>
        <w:t>ȳ</w:t>
      </w:r>
      <w:r>
        <w:rPr/>
        <w:t xml:space="preserve"> reads unflagged rows only, so one defaulted block time cannot become a three-row pair's encoding. The one overlap that cannot be guarded, the prior being fitted on hundreds of thousands of rows of which a thin pair contributes a handful, is stated rather than left to be found. </w:t>
      </w:r>
      <w:r>
        <w:rPr>
          <w:rStyle w:val="SourceText"/>
        </w:rPr>
        <w:t>k</w:t>
      </w:r>
      <w:r>
        <w:rPr/>
        <w:t xml:space="preserve"> was checked for route-length dependence by a rule fixed before the run. At first, with the encoding fitted on the unflagged training rows, the check read immaterial, at a ratio of 1.29 against a threshold of 1.5. With it fitted since on the rows every fit reads, the check is material on the ladder's December leg, at 1.56, so there the pair-level </w:t>
      </w:r>
      <w:r>
        <w:rPr>
          <w:rStyle w:val="SourceText"/>
        </w:rPr>
        <w:t>k</w:t>
      </w:r>
      <w:r>
        <w:rPr/>
        <w:t xml:space="preserve"> moves with route length and the stand-level </w:t>
      </w:r>
      <w:r>
        <w:rPr>
          <w:rStyle w:val="SourceText"/>
        </w:rPr>
        <w:t>k</w:t>
      </w:r>
      <w:r>
        <w:rPr/>
        <w:t xml:space="preserve"> does not. The encoding the final model fits runs the same check over the whole training year and records its reading in the manifest written beside the prediction file. A </w:t>
      </w:r>
      <w:r>
        <w:rPr>
          <w:rStyle w:val="SourceText"/>
        </w:rPr>
        <w:t>k/2</w:t>
      </w:r>
      <w:r>
        <w:rPr/>
        <w:t>–</w:t>
      </w:r>
      <w:r>
        <w:rPr>
          <w:rStyle w:val="SourceText"/>
        </w:rPr>
        <w:t>2k</w:t>
      </w:r>
      <w:r>
        <w:rPr/>
        <w:t xml:space="preserve"> sensitivity moves the arms by at most half a second; </w:t>
      </w:r>
      <w:r>
        <w:rPr>
          <w:rStyle w:val="SourceText"/>
        </w:rPr>
        <w:t>k</w:t>
      </w:r>
      <w:r>
        <w:rPr/>
        <w:t xml:space="preserve"> is not tuned.</w:t>
      </w:r>
    </w:p>
    <w:p>
      <w:pPr>
        <w:pStyle w:val="BodyText"/>
        <w:bidi w:val="0"/>
        <w:jc w:val="left"/>
        <w:rPr/>
      </w:pPr>
      <w:r>
        <w:rPr>
          <w:rStyle w:val="Strong"/>
        </w:rPr>
        <w:t>A gate that was voided rather than failed.</w:t>
      </w:r>
      <w:r>
        <w:rPr/>
        <w:t xml:space="preserve"> The rule fixed in advance required a positive difference in differences on the held-out-pair folds. That condition cannot credit the component the block exists for: a held-out pair encodes to the prior identically, so the pair encoding carries none of the pair's own mean exactly where the split measures. The scope of that is worth stating precisely, because overstating it would be self-serving. The gate is applied to a whole </w:t>
      </w:r>
      <w:r>
        <w:rPr>
          <w:rStyle w:val="Emphasis"/>
        </w:rPr>
        <w:t>arm</w:t>
      </w:r>
      <w:r>
        <w:rPr/>
        <w:t xml:space="preserve">, and it validly measures the rest of one, the stand-level encoding and the removal of the </w:t>
      </w:r>
      <w:r>
        <w:rPr>
          <w:rStyle w:val="SourceText"/>
        </w:rPr>
        <w:t>stand</w:t>
      </w:r>
      <w:r>
        <w:rPr/>
        <w:t xml:space="preserve"> categorical, which it reads as decisively negative. It is not an instrument incapable of returning a positive number; it is an instrument blind to the pair encoding. A gate that cannot see the thing under test is not a test of it. It was therefore voided as a test of the pair encoding, and the arms took no credit from it. They were decided on the two instruments that can see a pair encoding, the forward splits and the frequency strata, with the ranking set's own bucket mix as the pooled figure. It is worth acknowledging that this replacement rule was written after the numbers were seen, which is a real weakening and is said in the report. The condition that does the rejecting (no worse than the control on either forward split) is the original rule's own second half, unchanged, and it is what rejects the first arm at +3.2 s on July.</w:t>
      </w:r>
    </w:p>
    <w:p>
      <w:pPr>
        <w:pStyle w:val="BodyText"/>
        <w:bidi w:val="0"/>
        <w:jc w:val="left"/>
        <w:rPr/>
      </w:pPr>
      <w:r>
        <w:rPr>
          <w:rStyle w:val="Strong"/>
        </w:rPr>
        <w:t>What chooses between the two arms that pass is a mechanism, not their scores.</w:t>
      </w:r>
      <w:r>
        <w:rPr/>
        <w:t xml:space="preserve"> §5.3 measures what a designator carries that the routed distance cannot compute. An intersection departure enters the runway at a taxiway junction rather than at the threshold, and the signature of that is up to 96 s per designator and constant within one. It is absorbed by any model that knows the designator, and it is not recoverable by an encoding shrunk toward a matrix that routes to the threshold. So the runway categorical stays and only the stand is replaced, for a reason measured before these versions were fitted and independent of their numbers. The never-seen bucket corroborates and does not decide: it is a few hundred rows, and a decision resting on it would be a post-hoc rule resting on a thin stratum.</w:t>
      </w:r>
    </w:p>
    <w:p>
      <w:pPr>
        <w:pStyle w:val="BodyText"/>
        <w:bidi w:val="0"/>
        <w:jc w:val="left"/>
        <w:rPr/>
      </w:pPr>
      <w:r>
        <w:rPr>
          <w:rStyle w:val="Strong"/>
        </w:rPr>
        <w:t>What it bought, and where.</w:t>
      </w:r>
      <w:r>
        <w:rPr/>
        <w:t xml:space="preserve"> </w:t>
      </w:r>
      <w:r>
        <w:rPr>
          <w:rStyle w:val="SourceText"/>
        </w:rPr>
        <w:t>+ shrunk encoding, replacing the stand</w:t>
      </w:r>
      <w:r>
        <w:rPr/>
        <w:t xml:space="preserve"> passes the rule: 228.3 s against 233.2 in December, 342.2 against 344.1 in July, 229.6 against 234.5 at the ranking mix, and +8.1 s worse than the control on the never-seen bucket against +14.8 for the other passing version. The pooled figure puts that other version ahead, 229.4 s against 229.6, so choosing the version with the mechanism costs 0.17 s pooled, and the report states that cost rather than passing over it. Decomposed by bucket in the sum-of-squares domain, </w:t>
      </w:r>
      <w:r>
        <w:rPr>
          <w:rStyle w:val="Strong"/>
        </w:rPr>
        <w:t>84% of the ranking-weighted gain comes from pairs seen more than a hundred times</w:t>
      </w:r>
      <w:r>
        <w:rPr/>
        <w:t xml:space="preserve">, the bucket the ceiling had assigned no headroom at all, against 18% from the </w:t>
      </w:r>
      <w:r>
        <w:rPr>
          <w:rStyle w:val="SourceText"/>
        </w:rPr>
        <w:t>1-10</w:t>
      </w:r>
      <w:r>
        <w:rPr/>
        <w:t xml:space="preserve"> and </w:t>
      </w:r>
      <w:r>
        <w:rPr>
          <w:rStyle w:val="SourceText"/>
        </w:rPr>
        <w:t>11-100</w:t>
      </w:r>
      <w:r>
        <w:rPr/>
        <w:t xml:space="preserve"> buckets together and 1.2% given back on pairs never seen. On the strata it was aimed at it takes 17.2 s of the 30.8 s of headroom the </w:t>
      </w:r>
      <w:r>
        <w:rPr>
          <w:rStyle w:val="SourceText"/>
        </w:rPr>
        <w:t>1-10</w:t>
      </w:r>
      <w:r>
        <w:rPr/>
        <w:t xml:space="preserve"> bucket has, which at that bucket's 0.64% of the rows is worth 0.16 s pooled. The honest name for the block is smoothed memorization that buys real score on well-observed pairs. It is reported under that name, and §9.4 says what the ceiling that missed it was actually measuring.</w:t>
      </w:r>
    </w:p>
    <w:p>
      <w:pPr>
        <w:pStyle w:val="BodyText"/>
        <w:bidi w:val="0"/>
        <w:jc w:val="left"/>
        <w:rPr/>
      </w:pPr>
      <w:r>
        <w:rPr/>
        <w:t xml:space="preserve">Two consequences follow. The prior is </w:t>
      </w:r>
      <w:r>
        <w:rPr>
          <w:rStyle w:val="SourceText"/>
        </w:rPr>
        <w:t>ĝ</w:t>
      </w:r>
      <w:r>
        <w:rPr/>
        <w:t xml:space="preserve">, so the encoding is geometry-bearing, and the ladder's bookkeeping now counts it as such; an ablation that removed the geometry block and left the encoding in would not have removed the geometry. And the claim contrast of §7.2 is measured at </w:t>
      </w:r>
      <w:r>
        <w:rPr>
          <w:rStyle w:val="SourceText"/>
        </w:rPr>
        <w:t>identifiers + time → identifiers + time + geometry</w:t>
      </w:r>
      <w:r>
        <w:rPr/>
        <w:t>, near the foot of the ladder, where neither rung carries the encoding, so the claim figure of §7.2 is untouched by this decision, by construction and not by luck.</w:t>
      </w:r>
    </w:p>
    <w:p>
      <w:pPr>
        <w:pStyle w:val="BodyText"/>
        <w:bidi w:val="0"/>
        <w:jc w:val="left"/>
        <w:rPr/>
      </w:pPr>
      <w:r>
        <w:rPr/>
        <w:t xml:space="preserve">Sources: </w:t>
      </w:r>
      <w:r>
        <w:rPr>
          <w:rStyle w:val="SourceText"/>
        </w:rPr>
        <w:t>reports/baseline.md</w:t>
      </w:r>
      <w:r>
        <w:rPr/>
        <w:t xml:space="preserve">, </w:t>
      </w:r>
      <w:r>
        <w:rPr>
          <w:rStyle w:val="Emphasis"/>
        </w:rPr>
        <w:t>The shrunk identifier encoding</w:t>
      </w:r>
      <w:r>
        <w:rPr/>
        <w:t xml:space="preserve"> and its subsections; </w:t>
      </w:r>
      <w:r>
        <w:rPr>
          <w:rStyle w:val="SourceText"/>
        </w:rPr>
        <w:t>reports/migration-2026-09-10.md</w:t>
      </w:r>
      <w:r>
        <w:rPr/>
        <w:t xml:space="preserve">, </w:t>
      </w:r>
      <w:r>
        <w:rPr>
          <w:rStyle w:val="Emphasis"/>
        </w:rPr>
        <w:t>The encoding's rows, 2026-09-19</w:t>
      </w:r>
      <w:r>
        <w:rPr/>
        <w:t xml:space="preserve">, a dated record, for the check as it read before that day; </w:t>
      </w:r>
      <w:r>
        <w:rPr>
          <w:rStyle w:val="SourceText"/>
        </w:rPr>
        <w:t>tests/test_encoding.py</w:t>
      </w:r>
      <w:r>
        <w:rPr/>
        <w:t xml:space="preserve"> for the four guards.</w:t>
      </w:r>
    </w:p>
    <w:p>
      <w:pPr>
        <w:pStyle w:val="Heading2"/>
        <w:bidi w:val="0"/>
        <w:jc w:val="left"/>
        <w:rPr/>
      </w:pPr>
      <w:r>
        <w:rPr/>
        <w:t>8. Results</w:t>
      </w:r>
    </w:p>
    <w:p>
      <w:pPr>
        <w:pStyle w:val="BodyText"/>
        <w:bidi w:val="0"/>
        <w:jc w:val="left"/>
        <w:rPr/>
      </w:pPr>
      <w:r>
        <w:rPr>
          <w:rStyle w:val="Emphasis"/>
        </w:rPr>
        <w:t>This section reports what the validation readings of §3.5 show about the final model and the models that preceded it, pooled, by month, by airport and by source of delay, with and without the two rules of §3.3. Of primary consideration is that no upload to the challenge's leaderboard was used to choose a feature, a rung, a parameter or a rule; §8.7.2 discloses the one decision that was taken on a score. §8.1 to §8.6 read the base configuration, the booster on which every later change builds. §8.7 sets out each later change in order, and §8.8 reads the final model step by step.</w:t>
      </w:r>
    </w:p>
    <w:p>
      <w:pPr>
        <w:pStyle w:val="Heading3"/>
        <w:bidi w:val="0"/>
        <w:jc w:val="left"/>
        <w:rPr/>
      </w:pPr>
      <w:r>
        <w:rPr/>
        <w:t>8.1 The base configuration, and what it scores on the forward splits</w:t>
      </w:r>
    </w:p>
    <w:p>
      <w:pPr>
        <w:pStyle w:val="BodyText"/>
        <w:bidi w:val="0"/>
        <w:jc w:val="left"/>
        <w:rPr/>
      </w:pPr>
      <w:r>
        <w:rPr/>
        <w:t xml:space="preserve">The base configuration is the rung named in </w:t>
      </w:r>
      <w:r>
        <w:rPr>
          <w:rStyle w:val="SourceText"/>
        </w:rPr>
        <w:t>taxiout.models.SUBMISSION_KEY</w:t>
      </w:r>
      <w:r>
        <w:rPr/>
        <w:t xml:space="preserve">, </w:t>
      </w:r>
      <w:r>
        <w:rPr>
          <w:rStyle w:val="SourceText"/>
        </w:rPr>
        <w:t>+ plan differences</w:t>
      </w:r>
      <w:r>
        <w:rPr/>
        <w:t xml:space="preserve">: the arm §7.4 chose, with the four blocks of §6.5 above it. It is fitted without the recorded-taxi tail, under five random seeds and averaged, with the record-quality term on the 383 rows it covers and the plan-shift rule of §4 on one. Every figure in this subsection is taken from </w:t>
      </w:r>
      <w:r>
        <w:rPr>
          <w:rStyle w:val="SourceText"/>
        </w:rPr>
        <w:t>reports/baseline.md</w:t>
      </w:r>
      <w:r>
        <w:rPr/>
        <w:t>, under the booster parameters described in §7.1.2. The average is measured on the pooled figures over the rows the record-quality term leaves to the model. Every figure with the term, at the ranking mix and per airport on the forward splits is the ladder's own single seed of the same rung, and the text says so where it quotes one.</w:t>
      </w:r>
    </w:p>
    <w:p>
      <w:pPr>
        <w:pStyle w:val="BodyText"/>
        <w:bidi w:val="0"/>
        <w:jc w:val="left"/>
        <w:rPr/>
      </w:pPr>
      <w:r>
        <w:rPr/>
        <w:t xml:space="preserve">On the December split, which stands in for January 2026 at all ten airports, the base configuration scores </w:t>
      </w:r>
      <w:r>
        <w:rPr>
          <w:rStyle w:val="Strong"/>
        </w:rPr>
        <w:t>213.55 s</w:t>
      </w:r>
      <w:r>
        <w:rPr/>
        <w:t xml:space="preserve"> over the rows the record-quality term leaves to it. On the July split, which stands in for July 2026 at all ten, it scores </w:t>
      </w:r>
      <w:r>
        <w:rPr>
          <w:rStyle w:val="Strong"/>
        </w:rPr>
        <w:t>320.90 s</w:t>
      </w:r>
      <w:r>
        <w:rPr/>
        <w:t>, and 234.20 s on the three. The ten-airport figure is the one that stands in for the scored month. The three-airport figure is retained beside it as a second July reading (§7.1). §9.5 says what separates the two: one Fiumicino row. The ladder's single seed of the same rung scores 214.7 s, 322.4 and 235.11 on the same rows, so the average is worth 1.11 s, 1.46 and 0.90. On that single seed, with the term substituted on the rows it covers, December reads 234.0 s and July over all ten 368.2; with those rows left to the physical model alone, 364.8 and 620.5. The gap between the ex-flagged figures and the every-row ones comes from 88 rows in December and 335 in July, all at Fiumicino, whose recorded taxi-out no aircraft produced. The term is what closes it, and §4 says why that is the RMSE-optimal treatment rather than a trick. Pooled at the ranking set's own bucket mix rather than December's, the single seed is 216.0 s, and its bias is +7 s in December and −3 in July.</w:t>
      </w:r>
    </w:p>
    <w:tbl>
      <w:tblPr>
        <w:tblW w:w="10324" w:type="dxa"/>
        <w:jc w:val="left"/>
        <w:tblInd w:w="28" w:type="dxa"/>
        <w:tblLayout w:type="fixed"/>
        <w:tblCellMar>
          <w:top w:w="28" w:type="dxa"/>
          <w:left w:w="28" w:type="dxa"/>
          <w:bottom w:w="28" w:type="dxa"/>
          <w:right w:w="28" w:type="dxa"/>
        </w:tblCellMar>
      </w:tblPr>
      <w:tblGrid>
        <w:gridCol w:w="5507"/>
        <w:gridCol w:w="1897"/>
        <w:gridCol w:w="1298"/>
        <w:gridCol w:w="1622"/>
      </w:tblGrid>
      <w:tr>
        <w:trPr>
          <w:tblHeader w:val="true"/>
        </w:trPr>
        <w:tc>
          <w:tcPr>
            <w:tcW w:w="5507" w:type="dxa"/>
            <w:tcBorders/>
            <w:vAlign w:val="center"/>
          </w:tcPr>
          <w:p>
            <w:pPr>
              <w:pStyle w:val="TableHeading"/>
              <w:suppressLineNumbers/>
              <w:bidi w:val="0"/>
              <w:jc w:val="center"/>
              <w:rPr/>
            </w:pPr>
            <w:r>
              <w:rPr/>
              <w:t>RMSE, seconds</w:t>
            </w:r>
          </w:p>
        </w:tc>
        <w:tc>
          <w:tcPr>
            <w:tcW w:w="1897" w:type="dxa"/>
            <w:tcBorders/>
            <w:vAlign w:val="center"/>
          </w:tcPr>
          <w:p>
            <w:pPr>
              <w:pStyle w:val="TableHeading"/>
              <w:bidi w:val="0"/>
              <w:jc w:val="right"/>
              <w:rPr/>
            </w:pPr>
            <w:r>
              <w:rPr/>
              <w:t>December, all ten</w:t>
            </w:r>
          </w:p>
        </w:tc>
        <w:tc>
          <w:tcPr>
            <w:tcW w:w="1298" w:type="dxa"/>
            <w:tcBorders/>
            <w:vAlign w:val="center"/>
          </w:tcPr>
          <w:p>
            <w:pPr>
              <w:pStyle w:val="TableHeading"/>
              <w:bidi w:val="0"/>
              <w:jc w:val="right"/>
              <w:rPr/>
            </w:pPr>
            <w:r>
              <w:rPr/>
              <w:t>July, all ten</w:t>
            </w:r>
          </w:p>
        </w:tc>
        <w:tc>
          <w:tcPr>
            <w:tcW w:w="1622" w:type="dxa"/>
            <w:tcBorders/>
            <w:vAlign w:val="center"/>
          </w:tcPr>
          <w:p>
            <w:pPr>
              <w:pStyle w:val="TableHeading"/>
              <w:bidi w:val="0"/>
              <w:jc w:val="right"/>
              <w:rPr/>
            </w:pPr>
            <w:r>
              <w:rPr/>
              <w:t>July, the three</w:t>
            </w:r>
          </w:p>
        </w:tc>
      </w:tr>
      <w:tr>
        <w:trPr/>
        <w:tc>
          <w:tcPr>
            <w:tcW w:w="5507" w:type="dxa"/>
            <w:tcBorders/>
            <w:vAlign w:val="center"/>
          </w:tcPr>
          <w:p>
            <w:pPr>
              <w:pStyle w:val="TableContents"/>
              <w:widowControl w:val="false"/>
              <w:suppressLineNumbers/>
              <w:bidi w:val="0"/>
              <w:jc w:val="left"/>
              <w:rPr/>
            </w:pPr>
            <w:r>
              <w:rPr/>
              <w:t>base configuration, five seeds, rows the term leaves to it</w:t>
            </w:r>
          </w:p>
        </w:tc>
        <w:tc>
          <w:tcPr>
            <w:tcW w:w="1897" w:type="dxa"/>
            <w:tcBorders/>
            <w:vAlign w:val="center"/>
          </w:tcPr>
          <w:p>
            <w:pPr>
              <w:pStyle w:val="TableContents"/>
              <w:bidi w:val="0"/>
              <w:jc w:val="right"/>
              <w:rPr/>
            </w:pPr>
            <w:r>
              <w:rPr/>
              <w:t>213.55</w:t>
            </w:r>
          </w:p>
        </w:tc>
        <w:tc>
          <w:tcPr>
            <w:tcW w:w="1298" w:type="dxa"/>
            <w:tcBorders/>
            <w:vAlign w:val="center"/>
          </w:tcPr>
          <w:p>
            <w:pPr>
              <w:pStyle w:val="TableContents"/>
              <w:bidi w:val="0"/>
              <w:jc w:val="right"/>
              <w:rPr/>
            </w:pPr>
            <w:r>
              <w:rPr/>
              <w:t>320.90</w:t>
            </w:r>
          </w:p>
        </w:tc>
        <w:tc>
          <w:tcPr>
            <w:tcW w:w="1622" w:type="dxa"/>
            <w:tcBorders/>
            <w:vAlign w:val="center"/>
          </w:tcPr>
          <w:p>
            <w:pPr>
              <w:pStyle w:val="TableContents"/>
              <w:bidi w:val="0"/>
              <w:jc w:val="right"/>
              <w:rPr/>
            </w:pPr>
            <w:r>
              <w:rPr/>
              <w:t>234.20</w:t>
            </w:r>
          </w:p>
        </w:tc>
      </w:tr>
      <w:tr>
        <w:trPr/>
        <w:tc>
          <w:tcPr>
            <w:tcW w:w="5507" w:type="dxa"/>
            <w:tcBorders/>
            <w:vAlign w:val="center"/>
          </w:tcPr>
          <w:p>
            <w:pPr>
              <w:pStyle w:val="TableContents"/>
              <w:widowControl w:val="false"/>
              <w:suppressLineNumbers/>
              <w:bidi w:val="0"/>
              <w:jc w:val="left"/>
              <w:rPr/>
            </w:pPr>
            <w:r>
              <w:rPr/>
              <w:t>the ladder's single seed, same rows</w:t>
            </w:r>
          </w:p>
        </w:tc>
        <w:tc>
          <w:tcPr>
            <w:tcW w:w="1897" w:type="dxa"/>
            <w:tcBorders/>
            <w:vAlign w:val="center"/>
          </w:tcPr>
          <w:p>
            <w:pPr>
              <w:pStyle w:val="TableContents"/>
              <w:bidi w:val="0"/>
              <w:jc w:val="right"/>
              <w:rPr/>
            </w:pPr>
            <w:r>
              <w:rPr/>
              <w:t>214.7</w:t>
            </w:r>
          </w:p>
        </w:tc>
        <w:tc>
          <w:tcPr>
            <w:tcW w:w="1298" w:type="dxa"/>
            <w:tcBorders/>
            <w:vAlign w:val="center"/>
          </w:tcPr>
          <w:p>
            <w:pPr>
              <w:pStyle w:val="TableContents"/>
              <w:bidi w:val="0"/>
              <w:jc w:val="right"/>
              <w:rPr/>
            </w:pPr>
            <w:r>
              <w:rPr/>
              <w:t>322.4</w:t>
            </w:r>
          </w:p>
        </w:tc>
        <w:tc>
          <w:tcPr>
            <w:tcW w:w="1622" w:type="dxa"/>
            <w:tcBorders/>
            <w:vAlign w:val="center"/>
          </w:tcPr>
          <w:p>
            <w:pPr>
              <w:pStyle w:val="TableContents"/>
              <w:bidi w:val="0"/>
              <w:jc w:val="right"/>
              <w:rPr/>
            </w:pPr>
            <w:r>
              <w:rPr/>
              <w:t>235.11</w:t>
            </w:r>
          </w:p>
        </w:tc>
      </w:tr>
      <w:tr>
        <w:trPr/>
        <w:tc>
          <w:tcPr>
            <w:tcW w:w="5507" w:type="dxa"/>
            <w:tcBorders/>
            <w:vAlign w:val="center"/>
          </w:tcPr>
          <w:p>
            <w:pPr>
              <w:pStyle w:val="TableContents"/>
              <w:widowControl w:val="false"/>
              <w:suppressLineNumbers/>
              <w:bidi w:val="0"/>
              <w:jc w:val="left"/>
              <w:rPr/>
            </w:pPr>
            <w:r>
              <w:rPr/>
              <w:t>single seed, every row, the term on its rows</w:t>
            </w:r>
          </w:p>
        </w:tc>
        <w:tc>
          <w:tcPr>
            <w:tcW w:w="1897" w:type="dxa"/>
            <w:tcBorders/>
            <w:vAlign w:val="center"/>
          </w:tcPr>
          <w:p>
            <w:pPr>
              <w:pStyle w:val="TableContents"/>
              <w:bidi w:val="0"/>
              <w:jc w:val="right"/>
              <w:rPr/>
            </w:pPr>
            <w:r>
              <w:rPr/>
              <w:t>234.0</w:t>
            </w:r>
          </w:p>
        </w:tc>
        <w:tc>
          <w:tcPr>
            <w:tcW w:w="1298" w:type="dxa"/>
            <w:tcBorders/>
            <w:vAlign w:val="center"/>
          </w:tcPr>
          <w:p>
            <w:pPr>
              <w:pStyle w:val="TableContents"/>
              <w:bidi w:val="0"/>
              <w:jc w:val="right"/>
              <w:rPr/>
            </w:pPr>
            <w:r>
              <w:rPr/>
              <w:t>368.2</w:t>
            </w:r>
          </w:p>
        </w:tc>
        <w:tc>
          <w:tcPr>
            <w:tcW w:w="1622" w:type="dxa"/>
            <w:tcBorders/>
            <w:vAlign w:val="center"/>
          </w:tcPr>
          <w:p>
            <w:pPr>
              <w:pStyle w:val="TableContents"/>
              <w:bidi w:val="0"/>
              <w:jc w:val="left"/>
              <w:rPr>
                <w:sz w:val="4"/>
                <w:szCs w:val="4"/>
              </w:rPr>
            </w:pPr>
            <w:r>
              <w:rPr>
                <w:sz w:val="4"/>
                <w:szCs w:val="4"/>
              </w:rPr>
            </w:r>
          </w:p>
        </w:tc>
      </w:tr>
      <w:tr>
        <w:trPr/>
        <w:tc>
          <w:tcPr>
            <w:tcW w:w="5507" w:type="dxa"/>
            <w:tcBorders/>
            <w:vAlign w:val="center"/>
          </w:tcPr>
          <w:p>
            <w:pPr>
              <w:pStyle w:val="TableContents"/>
              <w:widowControl w:val="false"/>
              <w:suppressLineNumbers/>
              <w:bidi w:val="0"/>
              <w:jc w:val="left"/>
              <w:rPr/>
            </w:pPr>
            <w:r>
              <w:rPr/>
              <w:t>single seed, every row, no term</w:t>
            </w:r>
          </w:p>
        </w:tc>
        <w:tc>
          <w:tcPr>
            <w:tcW w:w="1897" w:type="dxa"/>
            <w:tcBorders/>
            <w:vAlign w:val="center"/>
          </w:tcPr>
          <w:p>
            <w:pPr>
              <w:pStyle w:val="TableContents"/>
              <w:bidi w:val="0"/>
              <w:jc w:val="right"/>
              <w:rPr/>
            </w:pPr>
            <w:r>
              <w:rPr/>
              <w:t>364.8</w:t>
            </w:r>
          </w:p>
        </w:tc>
        <w:tc>
          <w:tcPr>
            <w:tcW w:w="1298" w:type="dxa"/>
            <w:tcBorders/>
            <w:vAlign w:val="center"/>
          </w:tcPr>
          <w:p>
            <w:pPr>
              <w:pStyle w:val="TableContents"/>
              <w:bidi w:val="0"/>
              <w:jc w:val="right"/>
              <w:rPr/>
            </w:pPr>
            <w:r>
              <w:rPr/>
              <w:t>620.5</w:t>
            </w:r>
          </w:p>
        </w:tc>
        <w:tc>
          <w:tcPr>
            <w:tcW w:w="1622" w:type="dxa"/>
            <w:tcBorders/>
            <w:vAlign w:val="center"/>
          </w:tcPr>
          <w:p>
            <w:pPr>
              <w:pStyle w:val="TableContents"/>
              <w:bidi w:val="0"/>
              <w:jc w:val="left"/>
              <w:rPr>
                <w:sz w:val="4"/>
                <w:szCs w:val="4"/>
              </w:rPr>
            </w:pPr>
            <w:r>
              <w:rPr>
                <w:sz w:val="4"/>
                <w:szCs w:val="4"/>
              </w:rPr>
            </w:r>
          </w:p>
        </w:tc>
      </w:tr>
    </w:tbl>
    <w:p>
      <w:pPr>
        <w:pStyle w:val="BodyText"/>
        <w:bidi w:val="0"/>
        <w:jc w:val="left"/>
        <w:rPr/>
      </w:pPr>
      <w:r>
        <w:rPr/>
        <w:t>The first row is the base configuration, read the way the paper reads every model. The second is the seed every other figure in this subsection is fitted with. The last two count every row, as the scorer does, with and without the record-quality term on the 88 December and 335 July rows it covers. The plan-shift rule touches no December row and one July row, the 87,002 s departure of §9.5, and §4 and Annex I give what it does there.</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w:t>
      </w:r>
      <w:r>
        <w:rPr>
          <w:rStyle w:val="Emphasis"/>
        </w:rPr>
        <w:t>The ablation ladder</w:t>
      </w:r>
      <w:r>
        <w:rPr/>
        <w:t xml:space="preserve">, </w:t>
      </w:r>
      <w:r>
        <w:rPr>
          <w:rStyle w:val="Emphasis"/>
        </w:rPr>
        <w:t>Error by pair frequency</w:t>
      </w:r>
      <w:r>
        <w:rPr/>
        <w:t xml:space="preserve">, </w:t>
      </w:r>
      <w:r>
        <w:rPr>
          <w:rStyle w:val="Emphasis"/>
        </w:rPr>
        <w:t>Seed averaging</w:t>
      </w:r>
      <w:r>
        <w:rPr/>
        <w:t xml:space="preserve"> and </w:t>
      </w:r>
      <w:r>
        <w:rPr>
          <w:rStyle w:val="Emphasis"/>
        </w:rPr>
        <w:t>Per airport</w:t>
      </w:r>
      <w:r>
        <w:rPr/>
        <w:t xml:space="preserve">; </w:t>
      </w:r>
      <w:r>
        <w:rPr>
          <w:rStyle w:val="SourceText"/>
        </w:rPr>
        <w:t>reports/tails.md</w:t>
      </w:r>
      <w:r>
        <w:rPr/>
        <w:t xml:space="preserve">, </w:t>
      </w:r>
      <w:r>
        <w:rPr>
          <w:rStyle w:val="Emphasis"/>
        </w:rPr>
        <w:t>What it touches in the ranking set</w:t>
      </w:r>
      <w:r>
        <w:rPr/>
        <w:t xml:space="preserve">; </w:t>
      </w:r>
      <w:r>
        <w:rPr>
          <w:rStyle w:val="SourceText"/>
        </w:rPr>
        <w:t>reports/planshift.md</w:t>
      </w:r>
      <w:r>
        <w:rPr/>
        <w:t xml:space="preserve">, </w:t>
      </w:r>
      <w:r>
        <w:rPr>
          <w:rStyle w:val="Emphasis"/>
        </w:rPr>
        <w:t>Per held-out month and on the two forward legs</w:t>
      </w:r>
      <w:r>
        <w:rPr/>
        <w:t>.</w:t>
      </w:r>
    </w:p>
    <w:p>
      <w:pPr>
        <w:pStyle w:val="Heading3"/>
        <w:bidi w:val="0"/>
        <w:jc w:val="left"/>
        <w:rPr/>
      </w:pPr>
      <w:r>
        <w:rPr/>
        <w:t>8.2 Every month of the year</w:t>
      </w:r>
    </w:p>
    <w:p>
      <w:pPr>
        <w:pStyle w:val="BodyText"/>
        <w:bidi w:val="0"/>
        <w:jc w:val="left"/>
        <w:rPr/>
      </w:pPr>
      <w:r>
        <w:rPr/>
        <w:t>Read with each month of 2025 held out in turn and the other eleven training (§3.5), the same model gives a figure and a floor in every month. The model is the five-seed average, the base configuration, refitted on each split and scored on its month. The design is not forward in time, and the forward splits of §8.1 remain the proxies for the two test months. Three readings of every month are given, as everywhere in this paper: excluding the rows the record-quality term covers, as the scorer's rule implies; the same over the rows whose recorded taxi-out is four hours or less, a diagnostic that leaves out the seven day-shift rows the term does not cover and that the scorer counts (Annex F); and every row with the term substituted on its rows, which is how the final model predicts. The floor is the seed floor of §3.6 measured in that month.</w:t>
      </w:r>
    </w:p>
    <w:tbl>
      <w:tblPr>
        <w:tblW w:w="10539" w:type="dxa"/>
        <w:jc w:val="left"/>
        <w:tblInd w:w="28" w:type="dxa"/>
        <w:tblLayout w:type="fixed"/>
        <w:tblCellMar>
          <w:top w:w="28" w:type="dxa"/>
          <w:left w:w="28" w:type="dxa"/>
          <w:bottom w:w="28" w:type="dxa"/>
          <w:right w:w="28" w:type="dxa"/>
        </w:tblCellMar>
      </w:tblPr>
      <w:tblGrid>
        <w:gridCol w:w="1551"/>
        <w:gridCol w:w="1238"/>
        <w:gridCol w:w="1779"/>
        <w:gridCol w:w="1948"/>
        <w:gridCol w:w="807"/>
        <w:gridCol w:w="2184"/>
        <w:gridCol w:w="1032"/>
      </w:tblGrid>
      <w:tr>
        <w:trPr>
          <w:tblHeader w:val="true"/>
        </w:trPr>
        <w:tc>
          <w:tcPr>
            <w:tcW w:w="1551" w:type="dxa"/>
            <w:tcBorders/>
            <w:vAlign w:val="center"/>
          </w:tcPr>
          <w:p>
            <w:pPr>
              <w:pStyle w:val="TableHeading"/>
              <w:suppressLineNumbers/>
              <w:bidi w:val="0"/>
              <w:jc w:val="center"/>
              <w:rPr/>
            </w:pPr>
            <w:r>
              <w:rPr/>
              <w:t>month</w:t>
            </w:r>
          </w:p>
        </w:tc>
        <w:tc>
          <w:tcPr>
            <w:tcW w:w="1238" w:type="dxa"/>
            <w:tcBorders/>
            <w:vAlign w:val="center"/>
          </w:tcPr>
          <w:p>
            <w:pPr>
              <w:pStyle w:val="TableHeading"/>
              <w:bidi w:val="0"/>
              <w:jc w:val="right"/>
              <w:rPr/>
            </w:pPr>
            <w:r>
              <w:rPr/>
              <w:t>rows scored</w:t>
            </w:r>
          </w:p>
        </w:tc>
        <w:tc>
          <w:tcPr>
            <w:tcW w:w="1779" w:type="dxa"/>
            <w:tcBorders/>
            <w:vAlign w:val="center"/>
          </w:tcPr>
          <w:p>
            <w:pPr>
              <w:pStyle w:val="TableHeading"/>
              <w:bidi w:val="0"/>
              <w:jc w:val="right"/>
              <w:rPr/>
            </w:pPr>
            <w:r>
              <w:rPr/>
              <w:t>five-seed average (s)</w:t>
            </w:r>
          </w:p>
        </w:tc>
        <w:tc>
          <w:tcPr>
            <w:tcW w:w="1948" w:type="dxa"/>
            <w:tcBorders/>
            <w:vAlign w:val="center"/>
          </w:tcPr>
          <w:p>
            <w:pPr>
              <w:pStyle w:val="TableHeading"/>
              <w:bidi w:val="0"/>
              <w:jc w:val="right"/>
              <w:rPr/>
            </w:pPr>
            <w:r>
              <w:rPr/>
              <w:t>4 h or less, diagnostic (s)</w:t>
            </w:r>
          </w:p>
        </w:tc>
        <w:tc>
          <w:tcPr>
            <w:tcW w:w="807" w:type="dxa"/>
            <w:tcBorders/>
            <w:vAlign w:val="center"/>
          </w:tcPr>
          <w:p>
            <w:pPr>
              <w:pStyle w:val="TableHeading"/>
              <w:bidi w:val="0"/>
              <w:jc w:val="right"/>
              <w:rPr/>
            </w:pPr>
            <w:r>
              <w:rPr/>
              <w:t>floor (s)</w:t>
            </w:r>
          </w:p>
        </w:tc>
        <w:tc>
          <w:tcPr>
            <w:tcW w:w="2184" w:type="dxa"/>
            <w:tcBorders/>
            <w:vAlign w:val="center"/>
          </w:tcPr>
          <w:p>
            <w:pPr>
              <w:pStyle w:val="TableHeading"/>
              <w:bidi w:val="0"/>
              <w:jc w:val="right"/>
              <w:rPr/>
            </w:pPr>
            <w:r>
              <w:rPr/>
              <w:t>every row, with the term (s)</w:t>
            </w:r>
          </w:p>
        </w:tc>
        <w:tc>
          <w:tcPr>
            <w:tcW w:w="1032" w:type="dxa"/>
            <w:tcBorders/>
            <w:vAlign w:val="center"/>
          </w:tcPr>
          <w:p>
            <w:pPr>
              <w:pStyle w:val="TableHeading"/>
              <w:bidi w:val="0"/>
              <w:jc w:val="right"/>
              <w:rPr/>
            </w:pPr>
            <w:r>
              <w:rPr/>
              <w:t>term rows</w:t>
            </w:r>
          </w:p>
        </w:tc>
      </w:tr>
      <w:tr>
        <w:trPr/>
        <w:tc>
          <w:tcPr>
            <w:tcW w:w="1551" w:type="dxa"/>
            <w:tcBorders/>
            <w:vAlign w:val="center"/>
          </w:tcPr>
          <w:p>
            <w:pPr>
              <w:pStyle w:val="TableContents"/>
              <w:widowControl w:val="false"/>
              <w:suppressLineNumbers/>
              <w:bidi w:val="0"/>
              <w:jc w:val="left"/>
              <w:rPr/>
            </w:pPr>
            <w:r>
              <w:rPr/>
              <w:t>January</w:t>
            </w:r>
          </w:p>
        </w:tc>
        <w:tc>
          <w:tcPr>
            <w:tcW w:w="1238" w:type="dxa"/>
            <w:tcBorders/>
            <w:vAlign w:val="center"/>
          </w:tcPr>
          <w:p>
            <w:pPr>
              <w:pStyle w:val="TableContents"/>
              <w:bidi w:val="0"/>
              <w:jc w:val="right"/>
              <w:rPr/>
            </w:pPr>
            <w:r>
              <w:rPr/>
              <w:t>153,646</w:t>
            </w:r>
          </w:p>
        </w:tc>
        <w:tc>
          <w:tcPr>
            <w:tcW w:w="1779" w:type="dxa"/>
            <w:tcBorders/>
            <w:vAlign w:val="center"/>
          </w:tcPr>
          <w:p>
            <w:pPr>
              <w:pStyle w:val="TableContents"/>
              <w:bidi w:val="0"/>
              <w:jc w:val="right"/>
              <w:rPr/>
            </w:pPr>
            <w:r>
              <w:rPr/>
              <w:t>346.8</w:t>
            </w:r>
          </w:p>
        </w:tc>
        <w:tc>
          <w:tcPr>
            <w:tcW w:w="1948" w:type="dxa"/>
            <w:tcBorders/>
            <w:vAlign w:val="center"/>
          </w:tcPr>
          <w:p>
            <w:pPr>
              <w:pStyle w:val="TableContents"/>
              <w:bidi w:val="0"/>
              <w:jc w:val="right"/>
              <w:rPr/>
            </w:pPr>
            <w:r>
              <w:rPr/>
              <w:t>231.8 (2 out)</w:t>
            </w:r>
          </w:p>
        </w:tc>
        <w:tc>
          <w:tcPr>
            <w:tcW w:w="807" w:type="dxa"/>
            <w:tcBorders/>
            <w:vAlign w:val="center"/>
          </w:tcPr>
          <w:p>
            <w:pPr>
              <w:pStyle w:val="TableContents"/>
              <w:bidi w:val="0"/>
              <w:jc w:val="right"/>
              <w:rPr/>
            </w:pPr>
            <w:r>
              <w:rPr/>
              <w:t>0.33</w:t>
            </w:r>
          </w:p>
        </w:tc>
        <w:tc>
          <w:tcPr>
            <w:tcW w:w="2184" w:type="dxa"/>
            <w:tcBorders/>
            <w:vAlign w:val="center"/>
          </w:tcPr>
          <w:p>
            <w:pPr>
              <w:pStyle w:val="TableContents"/>
              <w:bidi w:val="0"/>
              <w:jc w:val="right"/>
              <w:rPr/>
            </w:pPr>
            <w:r>
              <w:rPr/>
              <w:t>356.1</w:t>
            </w:r>
          </w:p>
        </w:tc>
        <w:tc>
          <w:tcPr>
            <w:tcW w:w="1032" w:type="dxa"/>
            <w:tcBorders/>
            <w:vAlign w:val="center"/>
          </w:tcPr>
          <w:p>
            <w:pPr>
              <w:pStyle w:val="TableContents"/>
              <w:bidi w:val="0"/>
              <w:jc w:val="right"/>
              <w:rPr/>
            </w:pPr>
            <w:r>
              <w:rPr/>
              <w:t>60</w:t>
            </w:r>
          </w:p>
        </w:tc>
      </w:tr>
      <w:tr>
        <w:trPr/>
        <w:tc>
          <w:tcPr>
            <w:tcW w:w="1551" w:type="dxa"/>
            <w:tcBorders/>
            <w:vAlign w:val="center"/>
          </w:tcPr>
          <w:p>
            <w:pPr>
              <w:pStyle w:val="TableContents"/>
              <w:widowControl w:val="false"/>
              <w:suppressLineNumbers/>
              <w:bidi w:val="0"/>
              <w:jc w:val="left"/>
              <w:rPr/>
            </w:pPr>
            <w:r>
              <w:rPr/>
              <w:t>February</w:t>
            </w:r>
          </w:p>
        </w:tc>
        <w:tc>
          <w:tcPr>
            <w:tcW w:w="1238" w:type="dxa"/>
            <w:tcBorders/>
            <w:vAlign w:val="center"/>
          </w:tcPr>
          <w:p>
            <w:pPr>
              <w:pStyle w:val="TableContents"/>
              <w:bidi w:val="0"/>
              <w:jc w:val="right"/>
              <w:rPr/>
            </w:pPr>
            <w:r>
              <w:rPr/>
              <w:t>143,674</w:t>
            </w:r>
          </w:p>
        </w:tc>
        <w:tc>
          <w:tcPr>
            <w:tcW w:w="1779" w:type="dxa"/>
            <w:tcBorders/>
            <w:vAlign w:val="center"/>
          </w:tcPr>
          <w:p>
            <w:pPr>
              <w:pStyle w:val="TableContents"/>
              <w:bidi w:val="0"/>
              <w:jc w:val="right"/>
              <w:rPr/>
            </w:pPr>
            <w:r>
              <w:rPr/>
              <w:t>267.9</w:t>
            </w:r>
          </w:p>
        </w:tc>
        <w:tc>
          <w:tcPr>
            <w:tcW w:w="1948" w:type="dxa"/>
            <w:tcBorders/>
            <w:vAlign w:val="center"/>
          </w:tcPr>
          <w:p>
            <w:pPr>
              <w:pStyle w:val="TableContents"/>
              <w:bidi w:val="0"/>
              <w:jc w:val="right"/>
              <w:rPr/>
            </w:pPr>
            <w:r>
              <w:rPr/>
              <w:t>264.0 (1 out)</w:t>
            </w:r>
          </w:p>
        </w:tc>
        <w:tc>
          <w:tcPr>
            <w:tcW w:w="807" w:type="dxa"/>
            <w:tcBorders/>
            <w:vAlign w:val="center"/>
          </w:tcPr>
          <w:p>
            <w:pPr>
              <w:pStyle w:val="TableContents"/>
              <w:bidi w:val="0"/>
              <w:jc w:val="right"/>
              <w:rPr/>
            </w:pPr>
            <w:r>
              <w:rPr/>
              <w:t>1.56</w:t>
            </w:r>
          </w:p>
        </w:tc>
        <w:tc>
          <w:tcPr>
            <w:tcW w:w="2184" w:type="dxa"/>
            <w:tcBorders/>
            <w:vAlign w:val="center"/>
          </w:tcPr>
          <w:p>
            <w:pPr>
              <w:pStyle w:val="TableContents"/>
              <w:bidi w:val="0"/>
              <w:jc w:val="right"/>
              <w:rPr/>
            </w:pPr>
            <w:r>
              <w:rPr/>
              <w:t>282.2</w:t>
            </w:r>
          </w:p>
        </w:tc>
        <w:tc>
          <w:tcPr>
            <w:tcW w:w="1032" w:type="dxa"/>
            <w:tcBorders/>
            <w:vAlign w:val="center"/>
          </w:tcPr>
          <w:p>
            <w:pPr>
              <w:pStyle w:val="TableContents"/>
              <w:bidi w:val="0"/>
              <w:jc w:val="right"/>
              <w:rPr/>
            </w:pPr>
            <w:r>
              <w:rPr/>
              <w:t>58</w:t>
            </w:r>
          </w:p>
        </w:tc>
      </w:tr>
      <w:tr>
        <w:trPr/>
        <w:tc>
          <w:tcPr>
            <w:tcW w:w="1551" w:type="dxa"/>
            <w:tcBorders/>
            <w:vAlign w:val="center"/>
          </w:tcPr>
          <w:p>
            <w:pPr>
              <w:pStyle w:val="TableContents"/>
              <w:widowControl w:val="false"/>
              <w:suppressLineNumbers/>
              <w:bidi w:val="0"/>
              <w:jc w:val="left"/>
              <w:rPr/>
            </w:pPr>
            <w:r>
              <w:rPr/>
              <w:t>March</w:t>
            </w:r>
          </w:p>
        </w:tc>
        <w:tc>
          <w:tcPr>
            <w:tcW w:w="1238" w:type="dxa"/>
            <w:tcBorders/>
            <w:vAlign w:val="center"/>
          </w:tcPr>
          <w:p>
            <w:pPr>
              <w:pStyle w:val="TableContents"/>
              <w:bidi w:val="0"/>
              <w:jc w:val="right"/>
              <w:rPr/>
            </w:pPr>
            <w:r>
              <w:rPr/>
              <w:t>164,390</w:t>
            </w:r>
          </w:p>
        </w:tc>
        <w:tc>
          <w:tcPr>
            <w:tcW w:w="1779" w:type="dxa"/>
            <w:tcBorders/>
            <w:vAlign w:val="center"/>
          </w:tcPr>
          <w:p>
            <w:pPr>
              <w:pStyle w:val="TableContents"/>
              <w:bidi w:val="0"/>
              <w:jc w:val="right"/>
              <w:rPr/>
            </w:pPr>
            <w:r>
              <w:rPr/>
              <w:t>200.3</w:t>
            </w:r>
          </w:p>
        </w:tc>
        <w:tc>
          <w:tcPr>
            <w:tcW w:w="1948" w:type="dxa"/>
            <w:tcBorders/>
            <w:vAlign w:val="center"/>
          </w:tcPr>
          <w:p>
            <w:pPr>
              <w:pStyle w:val="TableContents"/>
              <w:bidi w:val="0"/>
              <w:jc w:val="right"/>
              <w:rPr/>
            </w:pPr>
            <w:r>
              <w:rPr/>
              <w:t>196.4 (1 out)</w:t>
            </w:r>
          </w:p>
        </w:tc>
        <w:tc>
          <w:tcPr>
            <w:tcW w:w="807" w:type="dxa"/>
            <w:tcBorders/>
            <w:vAlign w:val="center"/>
          </w:tcPr>
          <w:p>
            <w:pPr>
              <w:pStyle w:val="TableContents"/>
              <w:bidi w:val="0"/>
              <w:jc w:val="right"/>
              <w:rPr/>
            </w:pPr>
            <w:r>
              <w:rPr/>
              <w:t>0.36</w:t>
            </w:r>
          </w:p>
        </w:tc>
        <w:tc>
          <w:tcPr>
            <w:tcW w:w="2184" w:type="dxa"/>
            <w:tcBorders/>
            <w:vAlign w:val="center"/>
          </w:tcPr>
          <w:p>
            <w:pPr>
              <w:pStyle w:val="TableContents"/>
              <w:bidi w:val="0"/>
              <w:jc w:val="right"/>
              <w:rPr/>
            </w:pPr>
            <w:r>
              <w:rPr/>
              <w:t>215.8</w:t>
            </w:r>
          </w:p>
        </w:tc>
        <w:tc>
          <w:tcPr>
            <w:tcW w:w="1032" w:type="dxa"/>
            <w:tcBorders/>
            <w:vAlign w:val="center"/>
          </w:tcPr>
          <w:p>
            <w:pPr>
              <w:pStyle w:val="TableContents"/>
              <w:bidi w:val="0"/>
              <w:jc w:val="right"/>
              <w:rPr/>
            </w:pPr>
            <w:r>
              <w:rPr/>
              <w:t>59</w:t>
            </w:r>
          </w:p>
        </w:tc>
      </w:tr>
      <w:tr>
        <w:trPr/>
        <w:tc>
          <w:tcPr>
            <w:tcW w:w="1551" w:type="dxa"/>
            <w:tcBorders/>
            <w:vAlign w:val="center"/>
          </w:tcPr>
          <w:p>
            <w:pPr>
              <w:pStyle w:val="TableContents"/>
              <w:widowControl w:val="false"/>
              <w:suppressLineNumbers/>
              <w:bidi w:val="0"/>
              <w:jc w:val="left"/>
              <w:rPr/>
            </w:pPr>
            <w:r>
              <w:rPr/>
              <w:t>April</w:t>
            </w:r>
          </w:p>
        </w:tc>
        <w:tc>
          <w:tcPr>
            <w:tcW w:w="1238" w:type="dxa"/>
            <w:tcBorders/>
            <w:vAlign w:val="center"/>
          </w:tcPr>
          <w:p>
            <w:pPr>
              <w:pStyle w:val="TableContents"/>
              <w:bidi w:val="0"/>
              <w:jc w:val="right"/>
              <w:rPr/>
            </w:pPr>
            <w:r>
              <w:rPr/>
              <w:t>175,218</w:t>
            </w:r>
          </w:p>
        </w:tc>
        <w:tc>
          <w:tcPr>
            <w:tcW w:w="1779" w:type="dxa"/>
            <w:tcBorders/>
            <w:vAlign w:val="center"/>
          </w:tcPr>
          <w:p>
            <w:pPr>
              <w:pStyle w:val="TableContents"/>
              <w:bidi w:val="0"/>
              <w:jc w:val="right"/>
              <w:rPr/>
            </w:pPr>
            <w:r>
              <w:rPr/>
              <w:t>188.3</w:t>
            </w:r>
          </w:p>
        </w:tc>
        <w:tc>
          <w:tcPr>
            <w:tcW w:w="1948" w:type="dxa"/>
            <w:tcBorders/>
            <w:vAlign w:val="center"/>
          </w:tcPr>
          <w:p>
            <w:pPr>
              <w:pStyle w:val="TableContents"/>
              <w:bidi w:val="0"/>
              <w:jc w:val="right"/>
              <w:rPr/>
            </w:pPr>
            <w:r>
              <w:rPr/>
              <w:t>188.3</w:t>
            </w:r>
          </w:p>
        </w:tc>
        <w:tc>
          <w:tcPr>
            <w:tcW w:w="807" w:type="dxa"/>
            <w:tcBorders/>
            <w:vAlign w:val="center"/>
          </w:tcPr>
          <w:p>
            <w:pPr>
              <w:pStyle w:val="TableContents"/>
              <w:bidi w:val="0"/>
              <w:jc w:val="right"/>
              <w:rPr/>
            </w:pPr>
            <w:r>
              <w:rPr/>
              <w:t>0.07</w:t>
            </w:r>
          </w:p>
        </w:tc>
        <w:tc>
          <w:tcPr>
            <w:tcW w:w="2184" w:type="dxa"/>
            <w:tcBorders/>
            <w:vAlign w:val="center"/>
          </w:tcPr>
          <w:p>
            <w:pPr>
              <w:pStyle w:val="TableContents"/>
              <w:bidi w:val="0"/>
              <w:jc w:val="right"/>
              <w:rPr/>
            </w:pPr>
            <w:r>
              <w:rPr/>
              <w:t>205.5</w:t>
            </w:r>
          </w:p>
        </w:tc>
        <w:tc>
          <w:tcPr>
            <w:tcW w:w="1032" w:type="dxa"/>
            <w:tcBorders/>
            <w:vAlign w:val="center"/>
          </w:tcPr>
          <w:p>
            <w:pPr>
              <w:pStyle w:val="TableContents"/>
              <w:bidi w:val="0"/>
              <w:jc w:val="right"/>
              <w:rPr/>
            </w:pPr>
            <w:r>
              <w:rPr/>
              <w:t>70</w:t>
            </w:r>
          </w:p>
        </w:tc>
      </w:tr>
      <w:tr>
        <w:trPr/>
        <w:tc>
          <w:tcPr>
            <w:tcW w:w="1551" w:type="dxa"/>
            <w:tcBorders/>
            <w:vAlign w:val="center"/>
          </w:tcPr>
          <w:p>
            <w:pPr>
              <w:pStyle w:val="TableContents"/>
              <w:widowControl w:val="false"/>
              <w:suppressLineNumbers/>
              <w:bidi w:val="0"/>
              <w:jc w:val="left"/>
              <w:rPr/>
            </w:pPr>
            <w:r>
              <w:rPr/>
              <w:t>May</w:t>
            </w:r>
          </w:p>
        </w:tc>
        <w:tc>
          <w:tcPr>
            <w:tcW w:w="1238" w:type="dxa"/>
            <w:tcBorders/>
            <w:vAlign w:val="center"/>
          </w:tcPr>
          <w:p>
            <w:pPr>
              <w:pStyle w:val="TableContents"/>
              <w:bidi w:val="0"/>
              <w:jc w:val="right"/>
              <w:rPr/>
            </w:pPr>
            <w:r>
              <w:rPr/>
              <w:t>185,104</w:t>
            </w:r>
          </w:p>
        </w:tc>
        <w:tc>
          <w:tcPr>
            <w:tcW w:w="1779" w:type="dxa"/>
            <w:tcBorders/>
            <w:vAlign w:val="center"/>
          </w:tcPr>
          <w:p>
            <w:pPr>
              <w:pStyle w:val="TableContents"/>
              <w:bidi w:val="0"/>
              <w:jc w:val="right"/>
              <w:rPr/>
            </w:pPr>
            <w:r>
              <w:rPr/>
              <w:t>281.8</w:t>
            </w:r>
          </w:p>
        </w:tc>
        <w:tc>
          <w:tcPr>
            <w:tcW w:w="1948" w:type="dxa"/>
            <w:tcBorders/>
            <w:vAlign w:val="center"/>
          </w:tcPr>
          <w:p>
            <w:pPr>
              <w:pStyle w:val="TableContents"/>
              <w:bidi w:val="0"/>
              <w:jc w:val="right"/>
              <w:rPr/>
            </w:pPr>
            <w:r>
              <w:rPr/>
              <w:t>195.9 (1 out)</w:t>
            </w:r>
          </w:p>
        </w:tc>
        <w:tc>
          <w:tcPr>
            <w:tcW w:w="807" w:type="dxa"/>
            <w:tcBorders/>
            <w:vAlign w:val="center"/>
          </w:tcPr>
          <w:p>
            <w:pPr>
              <w:pStyle w:val="TableContents"/>
              <w:bidi w:val="0"/>
              <w:jc w:val="right"/>
              <w:rPr/>
            </w:pPr>
            <w:r>
              <w:rPr/>
              <w:t>0.13</w:t>
            </w:r>
          </w:p>
        </w:tc>
        <w:tc>
          <w:tcPr>
            <w:tcW w:w="2184" w:type="dxa"/>
            <w:tcBorders/>
            <w:vAlign w:val="center"/>
          </w:tcPr>
          <w:p>
            <w:pPr>
              <w:pStyle w:val="TableContents"/>
              <w:bidi w:val="0"/>
              <w:jc w:val="right"/>
              <w:rPr/>
            </w:pPr>
            <w:r>
              <w:rPr/>
              <w:t>302.2</w:t>
            </w:r>
          </w:p>
        </w:tc>
        <w:tc>
          <w:tcPr>
            <w:tcW w:w="1032" w:type="dxa"/>
            <w:tcBorders/>
            <w:vAlign w:val="center"/>
          </w:tcPr>
          <w:p>
            <w:pPr>
              <w:pStyle w:val="TableContents"/>
              <w:bidi w:val="0"/>
              <w:jc w:val="right"/>
              <w:rPr/>
            </w:pPr>
            <w:r>
              <w:rPr/>
              <w:t>98</w:t>
            </w:r>
          </w:p>
        </w:tc>
      </w:tr>
      <w:tr>
        <w:trPr/>
        <w:tc>
          <w:tcPr>
            <w:tcW w:w="1551" w:type="dxa"/>
            <w:tcBorders/>
            <w:vAlign w:val="center"/>
          </w:tcPr>
          <w:p>
            <w:pPr>
              <w:pStyle w:val="TableContents"/>
              <w:widowControl w:val="false"/>
              <w:suppressLineNumbers/>
              <w:bidi w:val="0"/>
              <w:jc w:val="left"/>
              <w:rPr/>
            </w:pPr>
            <w:r>
              <w:rPr/>
              <w:t>June</w:t>
            </w:r>
          </w:p>
        </w:tc>
        <w:tc>
          <w:tcPr>
            <w:tcW w:w="1238" w:type="dxa"/>
            <w:tcBorders/>
            <w:vAlign w:val="center"/>
          </w:tcPr>
          <w:p>
            <w:pPr>
              <w:pStyle w:val="TableContents"/>
              <w:bidi w:val="0"/>
              <w:jc w:val="right"/>
              <w:rPr/>
            </w:pPr>
            <w:r>
              <w:rPr/>
              <w:t>182,957</w:t>
            </w:r>
          </w:p>
        </w:tc>
        <w:tc>
          <w:tcPr>
            <w:tcW w:w="1779" w:type="dxa"/>
            <w:tcBorders/>
            <w:vAlign w:val="center"/>
          </w:tcPr>
          <w:p>
            <w:pPr>
              <w:pStyle w:val="TableContents"/>
              <w:bidi w:val="0"/>
              <w:jc w:val="right"/>
              <w:rPr/>
            </w:pPr>
            <w:r>
              <w:rPr/>
              <w:t>218.0</w:t>
            </w:r>
          </w:p>
        </w:tc>
        <w:tc>
          <w:tcPr>
            <w:tcW w:w="1948" w:type="dxa"/>
            <w:tcBorders/>
            <w:vAlign w:val="center"/>
          </w:tcPr>
          <w:p>
            <w:pPr>
              <w:pStyle w:val="TableContents"/>
              <w:bidi w:val="0"/>
              <w:jc w:val="right"/>
              <w:rPr/>
            </w:pPr>
            <w:r>
              <w:rPr/>
              <w:t>218.0</w:t>
            </w:r>
          </w:p>
        </w:tc>
        <w:tc>
          <w:tcPr>
            <w:tcW w:w="807" w:type="dxa"/>
            <w:tcBorders/>
            <w:vAlign w:val="center"/>
          </w:tcPr>
          <w:p>
            <w:pPr>
              <w:pStyle w:val="TableContents"/>
              <w:bidi w:val="0"/>
              <w:jc w:val="right"/>
              <w:rPr/>
            </w:pPr>
            <w:r>
              <w:rPr/>
              <w:t>0.21</w:t>
            </w:r>
          </w:p>
        </w:tc>
        <w:tc>
          <w:tcPr>
            <w:tcW w:w="2184" w:type="dxa"/>
            <w:tcBorders/>
            <w:vAlign w:val="center"/>
          </w:tcPr>
          <w:p>
            <w:pPr>
              <w:pStyle w:val="TableContents"/>
              <w:bidi w:val="0"/>
              <w:jc w:val="right"/>
              <w:rPr/>
            </w:pPr>
            <w:r>
              <w:rPr/>
              <w:t>318.3</w:t>
            </w:r>
          </w:p>
        </w:tc>
        <w:tc>
          <w:tcPr>
            <w:tcW w:w="1032" w:type="dxa"/>
            <w:tcBorders/>
            <w:vAlign w:val="center"/>
          </w:tcPr>
          <w:p>
            <w:pPr>
              <w:pStyle w:val="TableContents"/>
              <w:bidi w:val="0"/>
              <w:jc w:val="right"/>
              <w:rPr/>
            </w:pPr>
            <w:r>
              <w:rPr/>
              <w:t>185</w:t>
            </w:r>
          </w:p>
        </w:tc>
      </w:tr>
      <w:tr>
        <w:trPr/>
        <w:tc>
          <w:tcPr>
            <w:tcW w:w="1551" w:type="dxa"/>
            <w:tcBorders/>
            <w:vAlign w:val="center"/>
          </w:tcPr>
          <w:p>
            <w:pPr>
              <w:pStyle w:val="TableContents"/>
              <w:widowControl w:val="false"/>
              <w:suppressLineNumbers/>
              <w:bidi w:val="0"/>
              <w:jc w:val="left"/>
              <w:rPr/>
            </w:pPr>
            <w:r>
              <w:rPr/>
              <w:t>July</w:t>
            </w:r>
          </w:p>
        </w:tc>
        <w:tc>
          <w:tcPr>
            <w:tcW w:w="1238" w:type="dxa"/>
            <w:tcBorders/>
            <w:vAlign w:val="center"/>
          </w:tcPr>
          <w:p>
            <w:pPr>
              <w:pStyle w:val="TableContents"/>
              <w:bidi w:val="0"/>
              <w:jc w:val="right"/>
              <w:rPr/>
            </w:pPr>
            <w:r>
              <w:rPr/>
              <w:t>190,378</w:t>
            </w:r>
          </w:p>
        </w:tc>
        <w:tc>
          <w:tcPr>
            <w:tcW w:w="1779" w:type="dxa"/>
            <w:tcBorders/>
            <w:vAlign w:val="center"/>
          </w:tcPr>
          <w:p>
            <w:pPr>
              <w:pStyle w:val="TableContents"/>
              <w:bidi w:val="0"/>
              <w:jc w:val="right"/>
              <w:rPr/>
            </w:pPr>
            <w:r>
              <w:rPr/>
              <w:t>311.7</w:t>
            </w:r>
          </w:p>
        </w:tc>
        <w:tc>
          <w:tcPr>
            <w:tcW w:w="1948" w:type="dxa"/>
            <w:tcBorders/>
            <w:vAlign w:val="center"/>
          </w:tcPr>
          <w:p>
            <w:pPr>
              <w:pStyle w:val="TableContents"/>
              <w:bidi w:val="0"/>
              <w:jc w:val="right"/>
              <w:rPr/>
            </w:pPr>
            <w:r>
              <w:rPr/>
              <w:t>251.3 (2 out)</w:t>
            </w:r>
          </w:p>
        </w:tc>
        <w:tc>
          <w:tcPr>
            <w:tcW w:w="807" w:type="dxa"/>
            <w:tcBorders/>
            <w:vAlign w:val="center"/>
          </w:tcPr>
          <w:p>
            <w:pPr>
              <w:pStyle w:val="TableContents"/>
              <w:bidi w:val="0"/>
              <w:jc w:val="right"/>
              <w:rPr/>
            </w:pPr>
            <w:r>
              <w:rPr/>
              <w:t>0.58</w:t>
            </w:r>
          </w:p>
        </w:tc>
        <w:tc>
          <w:tcPr>
            <w:tcW w:w="2184" w:type="dxa"/>
            <w:tcBorders/>
            <w:vAlign w:val="center"/>
          </w:tcPr>
          <w:p>
            <w:pPr>
              <w:pStyle w:val="TableContents"/>
              <w:bidi w:val="0"/>
              <w:jc w:val="right"/>
              <w:rPr/>
            </w:pPr>
            <w:r>
              <w:rPr/>
              <w:t>355.5</w:t>
            </w:r>
          </w:p>
        </w:tc>
        <w:tc>
          <w:tcPr>
            <w:tcW w:w="1032" w:type="dxa"/>
            <w:tcBorders/>
            <w:vAlign w:val="center"/>
          </w:tcPr>
          <w:p>
            <w:pPr>
              <w:pStyle w:val="TableContents"/>
              <w:bidi w:val="0"/>
              <w:jc w:val="right"/>
              <w:rPr/>
            </w:pPr>
            <w:r>
              <w:rPr/>
              <w:t>335</w:t>
            </w:r>
          </w:p>
        </w:tc>
      </w:tr>
      <w:tr>
        <w:trPr/>
        <w:tc>
          <w:tcPr>
            <w:tcW w:w="1551" w:type="dxa"/>
            <w:tcBorders/>
            <w:vAlign w:val="center"/>
          </w:tcPr>
          <w:p>
            <w:pPr>
              <w:pStyle w:val="TableContents"/>
              <w:widowControl w:val="false"/>
              <w:suppressLineNumbers/>
              <w:bidi w:val="0"/>
              <w:jc w:val="left"/>
              <w:rPr/>
            </w:pPr>
            <w:r>
              <w:rPr/>
              <w:t>August</w:t>
            </w:r>
          </w:p>
        </w:tc>
        <w:tc>
          <w:tcPr>
            <w:tcW w:w="1238" w:type="dxa"/>
            <w:tcBorders/>
            <w:vAlign w:val="center"/>
          </w:tcPr>
          <w:p>
            <w:pPr>
              <w:pStyle w:val="TableContents"/>
              <w:bidi w:val="0"/>
              <w:jc w:val="right"/>
              <w:rPr/>
            </w:pPr>
            <w:r>
              <w:rPr/>
              <w:t>190,985</w:t>
            </w:r>
          </w:p>
        </w:tc>
        <w:tc>
          <w:tcPr>
            <w:tcW w:w="1779" w:type="dxa"/>
            <w:tcBorders/>
            <w:vAlign w:val="center"/>
          </w:tcPr>
          <w:p>
            <w:pPr>
              <w:pStyle w:val="TableContents"/>
              <w:bidi w:val="0"/>
              <w:jc w:val="right"/>
              <w:rPr/>
            </w:pPr>
            <w:r>
              <w:rPr/>
              <w:t>216.3</w:t>
            </w:r>
          </w:p>
        </w:tc>
        <w:tc>
          <w:tcPr>
            <w:tcW w:w="1948" w:type="dxa"/>
            <w:tcBorders/>
            <w:vAlign w:val="center"/>
          </w:tcPr>
          <w:p>
            <w:pPr>
              <w:pStyle w:val="TableContents"/>
              <w:bidi w:val="0"/>
              <w:jc w:val="right"/>
              <w:rPr/>
            </w:pPr>
            <w:r>
              <w:rPr/>
              <w:t>216.3</w:t>
            </w:r>
          </w:p>
        </w:tc>
        <w:tc>
          <w:tcPr>
            <w:tcW w:w="807" w:type="dxa"/>
            <w:tcBorders/>
            <w:vAlign w:val="center"/>
          </w:tcPr>
          <w:p>
            <w:pPr>
              <w:pStyle w:val="TableContents"/>
              <w:bidi w:val="0"/>
              <w:jc w:val="right"/>
              <w:rPr/>
            </w:pPr>
            <w:r>
              <w:rPr/>
              <w:t>0.26</w:t>
            </w:r>
          </w:p>
        </w:tc>
        <w:tc>
          <w:tcPr>
            <w:tcW w:w="2184" w:type="dxa"/>
            <w:tcBorders/>
            <w:vAlign w:val="center"/>
          </w:tcPr>
          <w:p>
            <w:pPr>
              <w:pStyle w:val="TableContents"/>
              <w:bidi w:val="0"/>
              <w:jc w:val="right"/>
              <w:rPr/>
            </w:pPr>
            <w:r>
              <w:rPr/>
              <w:t>273.5</w:t>
            </w:r>
          </w:p>
        </w:tc>
        <w:tc>
          <w:tcPr>
            <w:tcW w:w="1032" w:type="dxa"/>
            <w:tcBorders/>
            <w:vAlign w:val="center"/>
          </w:tcPr>
          <w:p>
            <w:pPr>
              <w:pStyle w:val="TableContents"/>
              <w:bidi w:val="0"/>
              <w:jc w:val="right"/>
              <w:rPr/>
            </w:pPr>
            <w:r>
              <w:rPr/>
              <w:t>197</w:t>
            </w:r>
          </w:p>
        </w:tc>
      </w:tr>
      <w:tr>
        <w:trPr/>
        <w:tc>
          <w:tcPr>
            <w:tcW w:w="1551" w:type="dxa"/>
            <w:tcBorders/>
            <w:vAlign w:val="center"/>
          </w:tcPr>
          <w:p>
            <w:pPr>
              <w:pStyle w:val="TableContents"/>
              <w:widowControl w:val="false"/>
              <w:suppressLineNumbers/>
              <w:bidi w:val="0"/>
              <w:jc w:val="left"/>
              <w:rPr/>
            </w:pPr>
            <w:r>
              <w:rPr/>
              <w:t>September</w:t>
            </w:r>
          </w:p>
        </w:tc>
        <w:tc>
          <w:tcPr>
            <w:tcW w:w="1238" w:type="dxa"/>
            <w:tcBorders/>
            <w:vAlign w:val="center"/>
          </w:tcPr>
          <w:p>
            <w:pPr>
              <w:pStyle w:val="TableContents"/>
              <w:bidi w:val="0"/>
              <w:jc w:val="right"/>
              <w:rPr/>
            </w:pPr>
            <w:r>
              <w:rPr/>
              <w:t>183,782</w:t>
            </w:r>
          </w:p>
        </w:tc>
        <w:tc>
          <w:tcPr>
            <w:tcW w:w="1779" w:type="dxa"/>
            <w:tcBorders/>
            <w:vAlign w:val="center"/>
          </w:tcPr>
          <w:p>
            <w:pPr>
              <w:pStyle w:val="TableContents"/>
              <w:bidi w:val="0"/>
              <w:jc w:val="right"/>
              <w:rPr/>
            </w:pPr>
            <w:r>
              <w:rPr/>
              <w:t>211.8</w:t>
            </w:r>
          </w:p>
        </w:tc>
        <w:tc>
          <w:tcPr>
            <w:tcW w:w="1948" w:type="dxa"/>
            <w:tcBorders/>
            <w:vAlign w:val="center"/>
          </w:tcPr>
          <w:p>
            <w:pPr>
              <w:pStyle w:val="TableContents"/>
              <w:bidi w:val="0"/>
              <w:jc w:val="right"/>
              <w:rPr/>
            </w:pPr>
            <w:r>
              <w:rPr/>
              <w:t>211.8</w:t>
            </w:r>
          </w:p>
        </w:tc>
        <w:tc>
          <w:tcPr>
            <w:tcW w:w="807" w:type="dxa"/>
            <w:tcBorders/>
            <w:vAlign w:val="center"/>
          </w:tcPr>
          <w:p>
            <w:pPr>
              <w:pStyle w:val="TableContents"/>
              <w:bidi w:val="0"/>
              <w:jc w:val="right"/>
              <w:rPr/>
            </w:pPr>
            <w:r>
              <w:rPr/>
              <w:t>0.21</w:t>
            </w:r>
          </w:p>
        </w:tc>
        <w:tc>
          <w:tcPr>
            <w:tcW w:w="2184" w:type="dxa"/>
            <w:tcBorders/>
            <w:vAlign w:val="center"/>
          </w:tcPr>
          <w:p>
            <w:pPr>
              <w:pStyle w:val="TableContents"/>
              <w:bidi w:val="0"/>
              <w:jc w:val="right"/>
              <w:rPr/>
            </w:pPr>
            <w:r>
              <w:rPr/>
              <w:t>251.1</w:t>
            </w:r>
          </w:p>
        </w:tc>
        <w:tc>
          <w:tcPr>
            <w:tcW w:w="1032" w:type="dxa"/>
            <w:tcBorders/>
            <w:vAlign w:val="center"/>
          </w:tcPr>
          <w:p>
            <w:pPr>
              <w:pStyle w:val="TableContents"/>
              <w:bidi w:val="0"/>
              <w:jc w:val="right"/>
              <w:rPr/>
            </w:pPr>
            <w:r>
              <w:rPr/>
              <w:t>168</w:t>
            </w:r>
          </w:p>
        </w:tc>
      </w:tr>
      <w:tr>
        <w:trPr/>
        <w:tc>
          <w:tcPr>
            <w:tcW w:w="1551" w:type="dxa"/>
            <w:tcBorders/>
            <w:vAlign w:val="center"/>
          </w:tcPr>
          <w:p>
            <w:pPr>
              <w:pStyle w:val="TableContents"/>
              <w:widowControl w:val="false"/>
              <w:suppressLineNumbers/>
              <w:bidi w:val="0"/>
              <w:jc w:val="left"/>
              <w:rPr/>
            </w:pPr>
            <w:r>
              <w:rPr/>
              <w:t>October</w:t>
            </w:r>
          </w:p>
        </w:tc>
        <w:tc>
          <w:tcPr>
            <w:tcW w:w="1238" w:type="dxa"/>
            <w:tcBorders/>
            <w:vAlign w:val="center"/>
          </w:tcPr>
          <w:p>
            <w:pPr>
              <w:pStyle w:val="TableContents"/>
              <w:bidi w:val="0"/>
              <w:jc w:val="right"/>
              <w:rPr/>
            </w:pPr>
            <w:r>
              <w:rPr/>
              <w:t>185,559</w:t>
            </w:r>
          </w:p>
        </w:tc>
        <w:tc>
          <w:tcPr>
            <w:tcW w:w="1779" w:type="dxa"/>
            <w:tcBorders/>
            <w:vAlign w:val="center"/>
          </w:tcPr>
          <w:p>
            <w:pPr>
              <w:pStyle w:val="TableContents"/>
              <w:bidi w:val="0"/>
              <w:jc w:val="right"/>
              <w:rPr/>
            </w:pPr>
            <w:r>
              <w:rPr/>
              <w:t>211.4</w:t>
            </w:r>
          </w:p>
        </w:tc>
        <w:tc>
          <w:tcPr>
            <w:tcW w:w="1948" w:type="dxa"/>
            <w:tcBorders/>
            <w:vAlign w:val="center"/>
          </w:tcPr>
          <w:p>
            <w:pPr>
              <w:pStyle w:val="TableContents"/>
              <w:bidi w:val="0"/>
              <w:jc w:val="right"/>
              <w:rPr/>
            </w:pPr>
            <w:r>
              <w:rPr/>
              <w:t>211.4</w:t>
            </w:r>
          </w:p>
        </w:tc>
        <w:tc>
          <w:tcPr>
            <w:tcW w:w="807" w:type="dxa"/>
            <w:tcBorders/>
            <w:vAlign w:val="center"/>
          </w:tcPr>
          <w:p>
            <w:pPr>
              <w:pStyle w:val="TableContents"/>
              <w:bidi w:val="0"/>
              <w:jc w:val="right"/>
              <w:rPr/>
            </w:pPr>
            <w:r>
              <w:rPr/>
              <w:t>0.29</w:t>
            </w:r>
          </w:p>
        </w:tc>
        <w:tc>
          <w:tcPr>
            <w:tcW w:w="2184" w:type="dxa"/>
            <w:tcBorders/>
            <w:vAlign w:val="center"/>
          </w:tcPr>
          <w:p>
            <w:pPr>
              <w:pStyle w:val="TableContents"/>
              <w:bidi w:val="0"/>
              <w:jc w:val="right"/>
              <w:rPr/>
            </w:pPr>
            <w:r>
              <w:rPr/>
              <w:t>228.4</w:t>
            </w:r>
          </w:p>
        </w:tc>
        <w:tc>
          <w:tcPr>
            <w:tcW w:w="1032" w:type="dxa"/>
            <w:tcBorders/>
            <w:vAlign w:val="center"/>
          </w:tcPr>
          <w:p>
            <w:pPr>
              <w:pStyle w:val="TableContents"/>
              <w:bidi w:val="0"/>
              <w:jc w:val="right"/>
              <w:rPr/>
            </w:pPr>
            <w:r>
              <w:rPr/>
              <w:t>115</w:t>
            </w:r>
          </w:p>
        </w:tc>
      </w:tr>
      <w:tr>
        <w:trPr/>
        <w:tc>
          <w:tcPr>
            <w:tcW w:w="1551" w:type="dxa"/>
            <w:tcBorders/>
            <w:vAlign w:val="center"/>
          </w:tcPr>
          <w:p>
            <w:pPr>
              <w:pStyle w:val="TableContents"/>
              <w:widowControl w:val="false"/>
              <w:suppressLineNumbers/>
              <w:bidi w:val="0"/>
              <w:jc w:val="left"/>
              <w:rPr/>
            </w:pPr>
            <w:r>
              <w:rPr/>
              <w:t>November</w:t>
            </w:r>
          </w:p>
        </w:tc>
        <w:tc>
          <w:tcPr>
            <w:tcW w:w="1238" w:type="dxa"/>
            <w:tcBorders/>
            <w:vAlign w:val="center"/>
          </w:tcPr>
          <w:p>
            <w:pPr>
              <w:pStyle w:val="TableContents"/>
              <w:bidi w:val="0"/>
              <w:jc w:val="right"/>
              <w:rPr/>
            </w:pPr>
            <w:r>
              <w:rPr/>
              <w:t>162,280</w:t>
            </w:r>
          </w:p>
        </w:tc>
        <w:tc>
          <w:tcPr>
            <w:tcW w:w="1779" w:type="dxa"/>
            <w:tcBorders/>
            <w:vAlign w:val="center"/>
          </w:tcPr>
          <w:p>
            <w:pPr>
              <w:pStyle w:val="TableContents"/>
              <w:bidi w:val="0"/>
              <w:jc w:val="right"/>
              <w:rPr/>
            </w:pPr>
            <w:r>
              <w:rPr/>
              <w:t>210.3</w:t>
            </w:r>
          </w:p>
        </w:tc>
        <w:tc>
          <w:tcPr>
            <w:tcW w:w="1948" w:type="dxa"/>
            <w:tcBorders/>
            <w:vAlign w:val="center"/>
          </w:tcPr>
          <w:p>
            <w:pPr>
              <w:pStyle w:val="TableContents"/>
              <w:bidi w:val="0"/>
              <w:jc w:val="right"/>
              <w:rPr/>
            </w:pPr>
            <w:r>
              <w:rPr/>
              <w:t>210.3</w:t>
            </w:r>
          </w:p>
        </w:tc>
        <w:tc>
          <w:tcPr>
            <w:tcW w:w="807" w:type="dxa"/>
            <w:tcBorders/>
            <w:vAlign w:val="center"/>
          </w:tcPr>
          <w:p>
            <w:pPr>
              <w:pStyle w:val="TableContents"/>
              <w:bidi w:val="0"/>
              <w:jc w:val="right"/>
              <w:rPr/>
            </w:pPr>
            <w:r>
              <w:rPr/>
              <w:t>0.39</w:t>
            </w:r>
          </w:p>
        </w:tc>
        <w:tc>
          <w:tcPr>
            <w:tcW w:w="2184" w:type="dxa"/>
            <w:tcBorders/>
            <w:vAlign w:val="center"/>
          </w:tcPr>
          <w:p>
            <w:pPr>
              <w:pStyle w:val="TableContents"/>
              <w:bidi w:val="0"/>
              <w:jc w:val="right"/>
              <w:rPr/>
            </w:pPr>
            <w:r>
              <w:rPr/>
              <w:t>229.9</w:t>
            </w:r>
          </w:p>
        </w:tc>
        <w:tc>
          <w:tcPr>
            <w:tcW w:w="1032" w:type="dxa"/>
            <w:tcBorders/>
            <w:vAlign w:val="center"/>
          </w:tcPr>
          <w:p>
            <w:pPr>
              <w:pStyle w:val="TableContents"/>
              <w:bidi w:val="0"/>
              <w:jc w:val="right"/>
              <w:rPr/>
            </w:pPr>
            <w:r>
              <w:rPr/>
              <w:t>52</w:t>
            </w:r>
          </w:p>
        </w:tc>
      </w:tr>
      <w:tr>
        <w:trPr/>
        <w:tc>
          <w:tcPr>
            <w:tcW w:w="1551" w:type="dxa"/>
            <w:tcBorders/>
            <w:vAlign w:val="center"/>
          </w:tcPr>
          <w:p>
            <w:pPr>
              <w:pStyle w:val="TableContents"/>
              <w:widowControl w:val="false"/>
              <w:suppressLineNumbers/>
              <w:bidi w:val="0"/>
              <w:jc w:val="left"/>
              <w:rPr/>
            </w:pPr>
            <w:r>
              <w:rPr/>
              <w:t>December</w:t>
            </w:r>
          </w:p>
        </w:tc>
        <w:tc>
          <w:tcPr>
            <w:tcW w:w="1238" w:type="dxa"/>
            <w:tcBorders/>
            <w:vAlign w:val="center"/>
          </w:tcPr>
          <w:p>
            <w:pPr>
              <w:pStyle w:val="TableContents"/>
              <w:bidi w:val="0"/>
              <w:jc w:val="right"/>
              <w:rPr/>
            </w:pPr>
            <w:r>
              <w:rPr/>
              <w:t>165,589</w:t>
            </w:r>
          </w:p>
        </w:tc>
        <w:tc>
          <w:tcPr>
            <w:tcW w:w="1779" w:type="dxa"/>
            <w:tcBorders/>
            <w:vAlign w:val="center"/>
          </w:tcPr>
          <w:p>
            <w:pPr>
              <w:pStyle w:val="TableContents"/>
              <w:bidi w:val="0"/>
              <w:jc w:val="right"/>
              <w:rPr/>
            </w:pPr>
            <w:r>
              <w:rPr/>
              <w:t>213.6</w:t>
            </w:r>
          </w:p>
        </w:tc>
        <w:tc>
          <w:tcPr>
            <w:tcW w:w="1948" w:type="dxa"/>
            <w:tcBorders/>
            <w:vAlign w:val="center"/>
          </w:tcPr>
          <w:p>
            <w:pPr>
              <w:pStyle w:val="TableContents"/>
              <w:bidi w:val="0"/>
              <w:jc w:val="right"/>
              <w:rPr/>
            </w:pPr>
            <w:r>
              <w:rPr/>
              <w:t>213.6</w:t>
            </w:r>
          </w:p>
        </w:tc>
        <w:tc>
          <w:tcPr>
            <w:tcW w:w="807" w:type="dxa"/>
            <w:tcBorders/>
            <w:vAlign w:val="center"/>
          </w:tcPr>
          <w:p>
            <w:pPr>
              <w:pStyle w:val="TableContents"/>
              <w:bidi w:val="0"/>
              <w:jc w:val="right"/>
              <w:rPr/>
            </w:pPr>
            <w:r>
              <w:rPr/>
              <w:t>0.23</w:t>
            </w:r>
          </w:p>
        </w:tc>
        <w:tc>
          <w:tcPr>
            <w:tcW w:w="2184" w:type="dxa"/>
            <w:tcBorders/>
            <w:vAlign w:val="center"/>
          </w:tcPr>
          <w:p>
            <w:pPr>
              <w:pStyle w:val="TableContents"/>
              <w:bidi w:val="0"/>
              <w:jc w:val="right"/>
              <w:rPr/>
            </w:pPr>
            <w:r>
              <w:rPr/>
              <w:t>232.9</w:t>
            </w:r>
          </w:p>
        </w:tc>
        <w:tc>
          <w:tcPr>
            <w:tcW w:w="1032" w:type="dxa"/>
            <w:tcBorders/>
            <w:vAlign w:val="center"/>
          </w:tcPr>
          <w:p>
            <w:pPr>
              <w:pStyle w:val="TableContents"/>
              <w:bidi w:val="0"/>
              <w:jc w:val="right"/>
              <w:rPr/>
            </w:pPr>
            <w:r>
              <w:rPr/>
              <w:t>88</w:t>
            </w:r>
          </w:p>
        </w:tc>
      </w:tr>
      <w:tr>
        <w:trPr/>
        <w:tc>
          <w:tcPr>
            <w:tcW w:w="1551" w:type="dxa"/>
            <w:tcBorders/>
            <w:vAlign w:val="center"/>
          </w:tcPr>
          <w:p>
            <w:pPr>
              <w:pStyle w:val="TableContents"/>
              <w:widowControl w:val="false"/>
              <w:suppressLineNumbers/>
              <w:bidi w:val="0"/>
              <w:jc w:val="left"/>
              <w:rPr/>
            </w:pPr>
            <w:r>
              <w:rPr>
                <w:rStyle w:val="Strong"/>
              </w:rPr>
              <w:t>the year, pooled</w:t>
            </w:r>
          </w:p>
        </w:tc>
        <w:tc>
          <w:tcPr>
            <w:tcW w:w="1238" w:type="dxa"/>
            <w:tcBorders/>
            <w:vAlign w:val="center"/>
          </w:tcPr>
          <w:p>
            <w:pPr>
              <w:pStyle w:val="TableContents"/>
              <w:bidi w:val="0"/>
              <w:jc w:val="right"/>
              <w:rPr/>
            </w:pPr>
            <w:r>
              <w:rPr/>
              <w:t>2,083,562</w:t>
            </w:r>
          </w:p>
        </w:tc>
        <w:tc>
          <w:tcPr>
            <w:tcW w:w="1779" w:type="dxa"/>
            <w:tcBorders/>
            <w:vAlign w:val="center"/>
          </w:tcPr>
          <w:p>
            <w:pPr>
              <w:pStyle w:val="TableContents"/>
              <w:bidi w:val="0"/>
              <w:jc w:val="right"/>
              <w:rPr/>
            </w:pPr>
            <w:r>
              <w:rPr>
                <w:rStyle w:val="Strong"/>
              </w:rPr>
              <w:t>243.7</w:t>
            </w:r>
          </w:p>
        </w:tc>
        <w:tc>
          <w:tcPr>
            <w:tcW w:w="1948" w:type="dxa"/>
            <w:tcBorders/>
            <w:vAlign w:val="center"/>
          </w:tcPr>
          <w:p>
            <w:pPr>
              <w:pStyle w:val="TableContents"/>
              <w:bidi w:val="0"/>
              <w:jc w:val="right"/>
              <w:rPr/>
            </w:pPr>
            <w:r>
              <w:rPr/>
              <w:t>217.8 (7 out)</w:t>
            </w:r>
          </w:p>
        </w:tc>
        <w:tc>
          <w:tcPr>
            <w:tcW w:w="807" w:type="dxa"/>
            <w:tcBorders/>
            <w:vAlign w:val="center"/>
          </w:tcPr>
          <w:p>
            <w:pPr>
              <w:pStyle w:val="TableContents"/>
              <w:bidi w:val="0"/>
              <w:jc w:val="right"/>
              <w:rPr/>
            </w:pPr>
            <w:r>
              <w:rPr/>
              <w:t>0.16</w:t>
            </w:r>
          </w:p>
        </w:tc>
        <w:tc>
          <w:tcPr>
            <w:tcW w:w="2184" w:type="dxa"/>
            <w:tcBorders/>
            <w:vAlign w:val="center"/>
          </w:tcPr>
          <w:p>
            <w:pPr>
              <w:pStyle w:val="TableContents"/>
              <w:bidi w:val="0"/>
              <w:jc w:val="right"/>
              <w:rPr/>
            </w:pPr>
            <w:r>
              <w:rPr/>
              <w:t>275.9</w:t>
            </w:r>
          </w:p>
        </w:tc>
        <w:tc>
          <w:tcPr>
            <w:tcW w:w="1032" w:type="dxa"/>
            <w:tcBorders/>
            <w:vAlign w:val="center"/>
          </w:tcPr>
          <w:p>
            <w:pPr>
              <w:pStyle w:val="TableContents"/>
              <w:bidi w:val="0"/>
              <w:jc w:val="right"/>
              <w:rPr/>
            </w:pPr>
            <w:r>
              <w:rPr/>
              <w:t>1,485</w:t>
            </w:r>
          </w:p>
        </w:tc>
      </w:tr>
    </w:tbl>
    <w:p>
      <w:pPr>
        <w:pStyle w:val="BodyText"/>
        <w:bidi w:val="0"/>
        <w:jc w:val="left"/>
        <w:rPr/>
      </w:pPr>
      <w:r>
        <w:rPr/>
        <w:t>The year's row pools the squared errors of the twelve months' rows and is not a mean of the monthly figures; every total row in this paper is pooled the same way. Held-out December is the ladder's December split, since both train on January to November, and its five seeds are the five of §8.1: 213.6 s here is the 213.55 s there at the report's precision. The three readings are three different statements. The first is what the scorer's rule implies for the rows the model predicts. The gap between the first and the second is seven rows in the whole year, recorded taxi-outs of 15,059 to 87,341 s at Paris, Fiumicino and Zurich that no term covers; in May one such row is 51.5% of its month's squared error, and in January two are 17.6% and 37.4%. The gap between the first and the third is the term's 1,485 rows, all at Fiumicino, scored at the term's prediction. The five-seed average beats every one of its five single seeds in eleven of the twelve months. The exception is February, at 267.93 s against the best seed's 267.83, inside that month's floor of 1.56 s, the widest of the twelve.</w:t>
      </w:r>
    </w:p>
    <w:p>
      <w:pPr>
        <w:pStyle w:val="BodyText"/>
        <w:bidi w:val="0"/>
        <w:jc w:val="left"/>
        <w:rPr/>
      </w:pPr>
      <w:r>
        <w:rPr/>
        <w:t xml:space="preserve">Sources: </w:t>
      </w:r>
      <w:r>
        <w:rPr>
          <w:rStyle w:val="SourceText"/>
        </w:rPr>
        <w:t>reports/monthly_seeds.md</w:t>
      </w:r>
      <w:r>
        <w:rPr/>
        <w:t xml:space="preserve">, </w:t>
      </w:r>
      <w:r>
        <w:rPr>
          <w:rStyle w:val="Emphasis"/>
        </w:rPr>
        <w:t>Per month and over the year</w:t>
      </w:r>
      <w:r>
        <w:rPr/>
        <w:t xml:space="preserve">; </w:t>
      </w:r>
      <w:r>
        <w:rPr>
          <w:rStyle w:val="SourceText"/>
        </w:rPr>
        <w:t>reports/monthly_ladder.md</w:t>
      </w:r>
      <w:r>
        <w:rPr/>
        <w:t xml:space="preserve">, </w:t>
      </w:r>
      <w:r>
        <w:rPr>
          <w:rStyle w:val="Emphasis"/>
        </w:rPr>
        <w:t>Annex F: the rows over four hours</w:t>
      </w:r>
      <w:r>
        <w:rPr/>
        <w:t>.</w:t>
      </w:r>
    </w:p>
    <w:p>
      <w:pPr>
        <w:pStyle w:val="Heading3"/>
        <w:bidi w:val="0"/>
        <w:jc w:val="left"/>
        <w:rPr/>
      </w:pPr>
      <w:r>
        <w:rPr/>
        <w:t>8.3 Every airport, every month</w:t>
      </w:r>
    </w:p>
    <w:p>
      <w:pPr>
        <w:pStyle w:val="BodyText"/>
        <w:bidi w:val="0"/>
        <w:jc w:val="left"/>
        <w:rPr/>
      </w:pPr>
      <w:r>
        <w:rPr/>
        <w:t>The table gives the same model per airport and month: RMSE excluding the rows the term covers, with the margins pooled from the rows they cover. A bracket is the diagnostic reading over the rows of four hours or less where an airport has rows over four hours in that month, with the count it leaves out. The bias per cell is in Annex C.</w:t>
      </w:r>
    </w:p>
    <w:tbl>
      <w:tblPr>
        <w:tblW w:w="10539" w:type="dxa"/>
        <w:jc w:val="left"/>
        <w:tblInd w:w="28" w:type="dxa"/>
        <w:tblLayout w:type="fixed"/>
        <w:tblCellMar>
          <w:top w:w="28" w:type="dxa"/>
          <w:left w:w="28" w:type="dxa"/>
          <w:bottom w:w="28" w:type="dxa"/>
          <w:right w:w="28" w:type="dxa"/>
        </w:tblCellMar>
      </w:tblPr>
      <w:tblGrid>
        <w:gridCol w:w="1107"/>
        <w:gridCol w:w="810"/>
        <w:gridCol w:w="810"/>
        <w:gridCol w:w="810"/>
        <w:gridCol w:w="646"/>
        <w:gridCol w:w="810"/>
        <w:gridCol w:w="646"/>
        <w:gridCol w:w="810"/>
        <w:gridCol w:w="646"/>
        <w:gridCol w:w="646"/>
        <w:gridCol w:w="646"/>
        <w:gridCol w:w="646"/>
        <w:gridCol w:w="646"/>
        <w:gridCol w:w="860"/>
      </w:tblGrid>
      <w:tr>
        <w:trPr>
          <w:tblHeader w:val="true"/>
        </w:trPr>
        <w:tc>
          <w:tcPr>
            <w:tcW w:w="1107" w:type="dxa"/>
            <w:tcBorders/>
            <w:vAlign w:val="center"/>
          </w:tcPr>
          <w:p>
            <w:pPr>
              <w:pStyle w:val="TableHeading"/>
              <w:suppressLineNumbers/>
              <w:bidi w:val="0"/>
              <w:jc w:val="center"/>
              <w:rPr/>
            </w:pPr>
            <w:r>
              <w:rPr/>
              <w:t>airport</w:t>
            </w:r>
          </w:p>
        </w:tc>
        <w:tc>
          <w:tcPr>
            <w:tcW w:w="810" w:type="dxa"/>
            <w:tcBorders/>
            <w:vAlign w:val="center"/>
          </w:tcPr>
          <w:p>
            <w:pPr>
              <w:pStyle w:val="TableHeading"/>
              <w:bidi w:val="0"/>
              <w:jc w:val="right"/>
              <w:rPr/>
            </w:pPr>
            <w:r>
              <w:rPr/>
              <w:t>Jan</w:t>
            </w:r>
          </w:p>
        </w:tc>
        <w:tc>
          <w:tcPr>
            <w:tcW w:w="810" w:type="dxa"/>
            <w:tcBorders/>
            <w:vAlign w:val="center"/>
          </w:tcPr>
          <w:p>
            <w:pPr>
              <w:pStyle w:val="TableHeading"/>
              <w:bidi w:val="0"/>
              <w:jc w:val="right"/>
              <w:rPr/>
            </w:pPr>
            <w:r>
              <w:rPr/>
              <w:t>Feb</w:t>
            </w:r>
          </w:p>
        </w:tc>
        <w:tc>
          <w:tcPr>
            <w:tcW w:w="810" w:type="dxa"/>
            <w:tcBorders/>
            <w:vAlign w:val="center"/>
          </w:tcPr>
          <w:p>
            <w:pPr>
              <w:pStyle w:val="TableHeading"/>
              <w:bidi w:val="0"/>
              <w:jc w:val="right"/>
              <w:rPr/>
            </w:pPr>
            <w:r>
              <w:rPr/>
              <w:t>Mar</w:t>
            </w:r>
          </w:p>
        </w:tc>
        <w:tc>
          <w:tcPr>
            <w:tcW w:w="646" w:type="dxa"/>
            <w:tcBorders/>
            <w:vAlign w:val="center"/>
          </w:tcPr>
          <w:p>
            <w:pPr>
              <w:pStyle w:val="TableHeading"/>
              <w:bidi w:val="0"/>
              <w:jc w:val="right"/>
              <w:rPr/>
            </w:pPr>
            <w:r>
              <w:rPr/>
              <w:t>Apr</w:t>
            </w:r>
          </w:p>
        </w:tc>
        <w:tc>
          <w:tcPr>
            <w:tcW w:w="810" w:type="dxa"/>
            <w:tcBorders/>
            <w:vAlign w:val="center"/>
          </w:tcPr>
          <w:p>
            <w:pPr>
              <w:pStyle w:val="TableHeading"/>
              <w:bidi w:val="0"/>
              <w:jc w:val="right"/>
              <w:rPr/>
            </w:pPr>
            <w:r>
              <w:rPr/>
              <w:t>May</w:t>
            </w:r>
          </w:p>
        </w:tc>
        <w:tc>
          <w:tcPr>
            <w:tcW w:w="646" w:type="dxa"/>
            <w:tcBorders/>
            <w:vAlign w:val="center"/>
          </w:tcPr>
          <w:p>
            <w:pPr>
              <w:pStyle w:val="TableHeading"/>
              <w:bidi w:val="0"/>
              <w:jc w:val="right"/>
              <w:rPr/>
            </w:pPr>
            <w:r>
              <w:rPr/>
              <w:t>Jun</w:t>
            </w:r>
          </w:p>
        </w:tc>
        <w:tc>
          <w:tcPr>
            <w:tcW w:w="810" w:type="dxa"/>
            <w:tcBorders/>
            <w:vAlign w:val="center"/>
          </w:tcPr>
          <w:p>
            <w:pPr>
              <w:pStyle w:val="TableHeading"/>
              <w:bidi w:val="0"/>
              <w:jc w:val="right"/>
              <w:rPr/>
            </w:pPr>
            <w:r>
              <w:rPr/>
              <w:t>Jul</w:t>
            </w:r>
          </w:p>
        </w:tc>
        <w:tc>
          <w:tcPr>
            <w:tcW w:w="646" w:type="dxa"/>
            <w:tcBorders/>
            <w:vAlign w:val="center"/>
          </w:tcPr>
          <w:p>
            <w:pPr>
              <w:pStyle w:val="TableHeading"/>
              <w:bidi w:val="0"/>
              <w:jc w:val="right"/>
              <w:rPr/>
            </w:pPr>
            <w:r>
              <w:rPr/>
              <w:t>Aug</w:t>
            </w:r>
          </w:p>
        </w:tc>
        <w:tc>
          <w:tcPr>
            <w:tcW w:w="646" w:type="dxa"/>
            <w:tcBorders/>
            <w:vAlign w:val="center"/>
          </w:tcPr>
          <w:p>
            <w:pPr>
              <w:pStyle w:val="TableHeading"/>
              <w:bidi w:val="0"/>
              <w:jc w:val="right"/>
              <w:rPr/>
            </w:pPr>
            <w:r>
              <w:rPr/>
              <w:t>Sep</w:t>
            </w:r>
          </w:p>
        </w:tc>
        <w:tc>
          <w:tcPr>
            <w:tcW w:w="646" w:type="dxa"/>
            <w:tcBorders/>
            <w:vAlign w:val="center"/>
          </w:tcPr>
          <w:p>
            <w:pPr>
              <w:pStyle w:val="TableHeading"/>
              <w:bidi w:val="0"/>
              <w:jc w:val="right"/>
              <w:rPr/>
            </w:pPr>
            <w:r>
              <w:rPr/>
              <w:t>Oct</w:t>
            </w:r>
          </w:p>
        </w:tc>
        <w:tc>
          <w:tcPr>
            <w:tcW w:w="646" w:type="dxa"/>
            <w:tcBorders/>
            <w:vAlign w:val="center"/>
          </w:tcPr>
          <w:p>
            <w:pPr>
              <w:pStyle w:val="TableHeading"/>
              <w:bidi w:val="0"/>
              <w:jc w:val="right"/>
              <w:rPr/>
            </w:pPr>
            <w:r>
              <w:rPr/>
              <w:t>Nov</w:t>
            </w:r>
          </w:p>
        </w:tc>
        <w:tc>
          <w:tcPr>
            <w:tcW w:w="646" w:type="dxa"/>
            <w:tcBorders/>
            <w:vAlign w:val="center"/>
          </w:tcPr>
          <w:p>
            <w:pPr>
              <w:pStyle w:val="TableHeading"/>
              <w:bidi w:val="0"/>
              <w:jc w:val="right"/>
              <w:rPr/>
            </w:pPr>
            <w:r>
              <w:rPr/>
              <w:t>Dec</w:t>
            </w:r>
          </w:p>
        </w:tc>
        <w:tc>
          <w:tcPr>
            <w:tcW w:w="860" w:type="dxa"/>
            <w:tcBorders/>
            <w:vAlign w:val="center"/>
          </w:tcPr>
          <w:p>
            <w:pPr>
              <w:pStyle w:val="TableHeading"/>
              <w:bidi w:val="0"/>
              <w:jc w:val="right"/>
              <w:rPr/>
            </w:pPr>
            <w:r>
              <w:rPr/>
              <w:t>year</w:t>
            </w:r>
          </w:p>
        </w:tc>
      </w:tr>
      <w:tr>
        <w:trPr/>
        <w:tc>
          <w:tcPr>
            <w:tcW w:w="1107" w:type="dxa"/>
            <w:tcBorders/>
            <w:vAlign w:val="center"/>
          </w:tcPr>
          <w:p>
            <w:pPr>
              <w:pStyle w:val="TableContents"/>
              <w:widowControl w:val="false"/>
              <w:suppressLineNumbers/>
              <w:bidi w:val="0"/>
              <w:jc w:val="left"/>
              <w:rPr/>
            </w:pPr>
            <w:r>
              <w:rPr/>
              <w:t>Frankfurt</w:t>
            </w:r>
          </w:p>
        </w:tc>
        <w:tc>
          <w:tcPr>
            <w:tcW w:w="810" w:type="dxa"/>
            <w:tcBorders/>
            <w:vAlign w:val="center"/>
          </w:tcPr>
          <w:p>
            <w:pPr>
              <w:pStyle w:val="TableContents"/>
              <w:bidi w:val="0"/>
              <w:jc w:val="right"/>
              <w:rPr/>
            </w:pPr>
            <w:r>
              <w:rPr/>
              <w:t>223.3</w:t>
            </w:r>
          </w:p>
        </w:tc>
        <w:tc>
          <w:tcPr>
            <w:tcW w:w="810" w:type="dxa"/>
            <w:tcBorders/>
            <w:vAlign w:val="center"/>
          </w:tcPr>
          <w:p>
            <w:pPr>
              <w:pStyle w:val="TableContents"/>
              <w:bidi w:val="0"/>
              <w:jc w:val="right"/>
              <w:rPr/>
            </w:pPr>
            <w:r>
              <w:rPr/>
              <w:t>172.4</w:t>
            </w:r>
          </w:p>
        </w:tc>
        <w:tc>
          <w:tcPr>
            <w:tcW w:w="810" w:type="dxa"/>
            <w:tcBorders/>
            <w:vAlign w:val="center"/>
          </w:tcPr>
          <w:p>
            <w:pPr>
              <w:pStyle w:val="TableContents"/>
              <w:bidi w:val="0"/>
              <w:jc w:val="right"/>
              <w:rPr/>
            </w:pPr>
            <w:r>
              <w:rPr/>
              <w:t>153.2</w:t>
            </w:r>
          </w:p>
        </w:tc>
        <w:tc>
          <w:tcPr>
            <w:tcW w:w="646" w:type="dxa"/>
            <w:tcBorders/>
            <w:vAlign w:val="center"/>
          </w:tcPr>
          <w:p>
            <w:pPr>
              <w:pStyle w:val="TableContents"/>
              <w:bidi w:val="0"/>
              <w:jc w:val="right"/>
              <w:rPr/>
            </w:pPr>
            <w:r>
              <w:rPr/>
              <w:t>150.5</w:t>
            </w:r>
          </w:p>
        </w:tc>
        <w:tc>
          <w:tcPr>
            <w:tcW w:w="810" w:type="dxa"/>
            <w:tcBorders/>
            <w:vAlign w:val="center"/>
          </w:tcPr>
          <w:p>
            <w:pPr>
              <w:pStyle w:val="TableContents"/>
              <w:bidi w:val="0"/>
              <w:jc w:val="right"/>
              <w:rPr/>
            </w:pPr>
            <w:r>
              <w:rPr/>
              <w:t>170.5</w:t>
            </w:r>
          </w:p>
        </w:tc>
        <w:tc>
          <w:tcPr>
            <w:tcW w:w="646" w:type="dxa"/>
            <w:tcBorders/>
            <w:vAlign w:val="center"/>
          </w:tcPr>
          <w:p>
            <w:pPr>
              <w:pStyle w:val="TableContents"/>
              <w:bidi w:val="0"/>
              <w:jc w:val="right"/>
              <w:rPr/>
            </w:pPr>
            <w:r>
              <w:rPr/>
              <w:t>163.6</w:t>
            </w:r>
          </w:p>
        </w:tc>
        <w:tc>
          <w:tcPr>
            <w:tcW w:w="810" w:type="dxa"/>
            <w:tcBorders/>
            <w:vAlign w:val="center"/>
          </w:tcPr>
          <w:p>
            <w:pPr>
              <w:pStyle w:val="TableContents"/>
              <w:bidi w:val="0"/>
              <w:jc w:val="right"/>
              <w:rPr/>
            </w:pPr>
            <w:r>
              <w:rPr/>
              <w:t>186.1</w:t>
            </w:r>
          </w:p>
        </w:tc>
        <w:tc>
          <w:tcPr>
            <w:tcW w:w="646" w:type="dxa"/>
            <w:tcBorders/>
            <w:vAlign w:val="center"/>
          </w:tcPr>
          <w:p>
            <w:pPr>
              <w:pStyle w:val="TableContents"/>
              <w:bidi w:val="0"/>
              <w:jc w:val="right"/>
              <w:rPr/>
            </w:pPr>
            <w:r>
              <w:rPr/>
              <w:t>156.1</w:t>
            </w:r>
          </w:p>
        </w:tc>
        <w:tc>
          <w:tcPr>
            <w:tcW w:w="646" w:type="dxa"/>
            <w:tcBorders/>
            <w:vAlign w:val="center"/>
          </w:tcPr>
          <w:p>
            <w:pPr>
              <w:pStyle w:val="TableContents"/>
              <w:bidi w:val="0"/>
              <w:jc w:val="right"/>
              <w:rPr/>
            </w:pPr>
            <w:r>
              <w:rPr/>
              <w:t>157.6</w:t>
            </w:r>
          </w:p>
        </w:tc>
        <w:tc>
          <w:tcPr>
            <w:tcW w:w="646" w:type="dxa"/>
            <w:tcBorders/>
            <w:vAlign w:val="center"/>
          </w:tcPr>
          <w:p>
            <w:pPr>
              <w:pStyle w:val="TableContents"/>
              <w:bidi w:val="0"/>
              <w:jc w:val="right"/>
              <w:rPr/>
            </w:pPr>
            <w:r>
              <w:rPr/>
              <w:t>152.0</w:t>
            </w:r>
          </w:p>
        </w:tc>
        <w:tc>
          <w:tcPr>
            <w:tcW w:w="646" w:type="dxa"/>
            <w:tcBorders/>
            <w:vAlign w:val="center"/>
          </w:tcPr>
          <w:p>
            <w:pPr>
              <w:pStyle w:val="TableContents"/>
              <w:bidi w:val="0"/>
              <w:jc w:val="right"/>
              <w:rPr/>
            </w:pPr>
            <w:r>
              <w:rPr/>
              <w:t>207.9</w:t>
            </w:r>
          </w:p>
        </w:tc>
        <w:tc>
          <w:tcPr>
            <w:tcW w:w="646" w:type="dxa"/>
            <w:tcBorders/>
            <w:vAlign w:val="center"/>
          </w:tcPr>
          <w:p>
            <w:pPr>
              <w:pStyle w:val="TableContents"/>
              <w:bidi w:val="0"/>
              <w:jc w:val="right"/>
              <w:rPr/>
            </w:pPr>
            <w:r>
              <w:rPr/>
              <w:t>187.9</w:t>
            </w:r>
          </w:p>
        </w:tc>
        <w:tc>
          <w:tcPr>
            <w:tcW w:w="860" w:type="dxa"/>
            <w:tcBorders/>
            <w:vAlign w:val="center"/>
          </w:tcPr>
          <w:p>
            <w:pPr>
              <w:pStyle w:val="TableContents"/>
              <w:bidi w:val="0"/>
              <w:jc w:val="right"/>
              <w:rPr/>
            </w:pPr>
            <w:r>
              <w:rPr/>
              <w:t>173.4</w:t>
            </w:r>
          </w:p>
        </w:tc>
      </w:tr>
      <w:tr>
        <w:trPr/>
        <w:tc>
          <w:tcPr>
            <w:tcW w:w="1107" w:type="dxa"/>
            <w:tcBorders/>
            <w:vAlign w:val="center"/>
          </w:tcPr>
          <w:p>
            <w:pPr>
              <w:pStyle w:val="TableContents"/>
              <w:widowControl w:val="false"/>
              <w:suppressLineNumbers/>
              <w:bidi w:val="0"/>
              <w:jc w:val="left"/>
              <w:rPr/>
            </w:pPr>
            <w:r>
              <w:rPr/>
              <w:t>Munich</w:t>
            </w:r>
          </w:p>
        </w:tc>
        <w:tc>
          <w:tcPr>
            <w:tcW w:w="810" w:type="dxa"/>
            <w:tcBorders/>
            <w:vAlign w:val="center"/>
          </w:tcPr>
          <w:p>
            <w:pPr>
              <w:pStyle w:val="TableContents"/>
              <w:bidi w:val="0"/>
              <w:jc w:val="right"/>
              <w:rPr/>
            </w:pPr>
            <w:r>
              <w:rPr/>
              <w:t>212.0</w:t>
            </w:r>
          </w:p>
        </w:tc>
        <w:tc>
          <w:tcPr>
            <w:tcW w:w="810" w:type="dxa"/>
            <w:tcBorders/>
            <w:vAlign w:val="center"/>
          </w:tcPr>
          <w:p>
            <w:pPr>
              <w:pStyle w:val="TableContents"/>
              <w:bidi w:val="0"/>
              <w:jc w:val="right"/>
              <w:rPr/>
            </w:pPr>
            <w:r>
              <w:rPr/>
              <w:t>182.0</w:t>
            </w:r>
          </w:p>
        </w:tc>
        <w:tc>
          <w:tcPr>
            <w:tcW w:w="810" w:type="dxa"/>
            <w:tcBorders/>
            <w:vAlign w:val="center"/>
          </w:tcPr>
          <w:p>
            <w:pPr>
              <w:pStyle w:val="TableContents"/>
              <w:bidi w:val="0"/>
              <w:jc w:val="right"/>
              <w:rPr/>
            </w:pPr>
            <w:r>
              <w:rPr/>
              <w:t>152.3</w:t>
            </w:r>
          </w:p>
        </w:tc>
        <w:tc>
          <w:tcPr>
            <w:tcW w:w="646" w:type="dxa"/>
            <w:tcBorders/>
            <w:vAlign w:val="center"/>
          </w:tcPr>
          <w:p>
            <w:pPr>
              <w:pStyle w:val="TableContents"/>
              <w:bidi w:val="0"/>
              <w:jc w:val="right"/>
              <w:rPr/>
            </w:pPr>
            <w:r>
              <w:rPr/>
              <w:t>131.6</w:t>
            </w:r>
          </w:p>
        </w:tc>
        <w:tc>
          <w:tcPr>
            <w:tcW w:w="810" w:type="dxa"/>
            <w:tcBorders/>
            <w:vAlign w:val="center"/>
          </w:tcPr>
          <w:p>
            <w:pPr>
              <w:pStyle w:val="TableContents"/>
              <w:bidi w:val="0"/>
              <w:jc w:val="right"/>
              <w:rPr/>
            </w:pPr>
            <w:r>
              <w:rPr/>
              <w:t>142.4</w:t>
            </w:r>
          </w:p>
        </w:tc>
        <w:tc>
          <w:tcPr>
            <w:tcW w:w="646" w:type="dxa"/>
            <w:tcBorders/>
            <w:vAlign w:val="center"/>
          </w:tcPr>
          <w:p>
            <w:pPr>
              <w:pStyle w:val="TableContents"/>
              <w:bidi w:val="0"/>
              <w:jc w:val="right"/>
              <w:rPr/>
            </w:pPr>
            <w:r>
              <w:rPr/>
              <w:t>170.6</w:t>
            </w:r>
          </w:p>
        </w:tc>
        <w:tc>
          <w:tcPr>
            <w:tcW w:w="810" w:type="dxa"/>
            <w:tcBorders/>
            <w:vAlign w:val="center"/>
          </w:tcPr>
          <w:p>
            <w:pPr>
              <w:pStyle w:val="TableContents"/>
              <w:bidi w:val="0"/>
              <w:jc w:val="right"/>
              <w:rPr/>
            </w:pPr>
            <w:r>
              <w:rPr/>
              <w:t>183.5</w:t>
            </w:r>
          </w:p>
        </w:tc>
        <w:tc>
          <w:tcPr>
            <w:tcW w:w="646" w:type="dxa"/>
            <w:tcBorders/>
            <w:vAlign w:val="center"/>
          </w:tcPr>
          <w:p>
            <w:pPr>
              <w:pStyle w:val="TableContents"/>
              <w:bidi w:val="0"/>
              <w:jc w:val="right"/>
              <w:rPr/>
            </w:pPr>
            <w:r>
              <w:rPr/>
              <w:t>156.1</w:t>
            </w:r>
          </w:p>
        </w:tc>
        <w:tc>
          <w:tcPr>
            <w:tcW w:w="646" w:type="dxa"/>
            <w:tcBorders/>
            <w:vAlign w:val="center"/>
          </w:tcPr>
          <w:p>
            <w:pPr>
              <w:pStyle w:val="TableContents"/>
              <w:bidi w:val="0"/>
              <w:jc w:val="right"/>
              <w:rPr/>
            </w:pPr>
            <w:r>
              <w:rPr/>
              <w:t>183.1</w:t>
            </w:r>
          </w:p>
        </w:tc>
        <w:tc>
          <w:tcPr>
            <w:tcW w:w="646" w:type="dxa"/>
            <w:tcBorders/>
            <w:vAlign w:val="center"/>
          </w:tcPr>
          <w:p>
            <w:pPr>
              <w:pStyle w:val="TableContents"/>
              <w:bidi w:val="0"/>
              <w:jc w:val="right"/>
              <w:rPr/>
            </w:pPr>
            <w:r>
              <w:rPr/>
              <w:t>159.7</w:t>
            </w:r>
          </w:p>
        </w:tc>
        <w:tc>
          <w:tcPr>
            <w:tcW w:w="646" w:type="dxa"/>
            <w:tcBorders/>
            <w:vAlign w:val="center"/>
          </w:tcPr>
          <w:p>
            <w:pPr>
              <w:pStyle w:val="TableContents"/>
              <w:bidi w:val="0"/>
              <w:jc w:val="right"/>
              <w:rPr/>
            </w:pPr>
            <w:r>
              <w:rPr/>
              <w:t>194.8</w:t>
            </w:r>
          </w:p>
        </w:tc>
        <w:tc>
          <w:tcPr>
            <w:tcW w:w="646" w:type="dxa"/>
            <w:tcBorders/>
            <w:vAlign w:val="center"/>
          </w:tcPr>
          <w:p>
            <w:pPr>
              <w:pStyle w:val="TableContents"/>
              <w:bidi w:val="0"/>
              <w:jc w:val="right"/>
              <w:rPr/>
            </w:pPr>
            <w:r>
              <w:rPr/>
              <w:t>242.5</w:t>
            </w:r>
          </w:p>
        </w:tc>
        <w:tc>
          <w:tcPr>
            <w:tcW w:w="860" w:type="dxa"/>
            <w:tcBorders/>
            <w:vAlign w:val="center"/>
          </w:tcPr>
          <w:p>
            <w:pPr>
              <w:pStyle w:val="TableContents"/>
              <w:bidi w:val="0"/>
              <w:jc w:val="right"/>
              <w:rPr/>
            </w:pPr>
            <w:r>
              <w:rPr/>
              <w:t>176.1</w:t>
            </w:r>
          </w:p>
        </w:tc>
      </w:tr>
      <w:tr>
        <w:trPr/>
        <w:tc>
          <w:tcPr>
            <w:tcW w:w="1107" w:type="dxa"/>
            <w:tcBorders/>
            <w:vAlign w:val="center"/>
          </w:tcPr>
          <w:p>
            <w:pPr>
              <w:pStyle w:val="TableContents"/>
              <w:widowControl w:val="false"/>
              <w:suppressLineNumbers/>
              <w:bidi w:val="0"/>
              <w:jc w:val="left"/>
              <w:rPr/>
            </w:pPr>
            <w:r>
              <w:rPr/>
              <w:t>Heathrow</w:t>
            </w:r>
          </w:p>
        </w:tc>
        <w:tc>
          <w:tcPr>
            <w:tcW w:w="810" w:type="dxa"/>
            <w:tcBorders/>
            <w:vAlign w:val="center"/>
          </w:tcPr>
          <w:p>
            <w:pPr>
              <w:pStyle w:val="TableContents"/>
              <w:bidi w:val="0"/>
              <w:jc w:val="right"/>
              <w:rPr/>
            </w:pPr>
            <w:r>
              <w:rPr/>
              <w:t>249.6</w:t>
            </w:r>
          </w:p>
        </w:tc>
        <w:tc>
          <w:tcPr>
            <w:tcW w:w="810" w:type="dxa"/>
            <w:tcBorders/>
            <w:vAlign w:val="center"/>
          </w:tcPr>
          <w:p>
            <w:pPr>
              <w:pStyle w:val="TableContents"/>
              <w:bidi w:val="0"/>
              <w:jc w:val="right"/>
              <w:rPr/>
            </w:pPr>
            <w:r>
              <w:rPr/>
              <w:t>211.9</w:t>
            </w:r>
          </w:p>
        </w:tc>
        <w:tc>
          <w:tcPr>
            <w:tcW w:w="810" w:type="dxa"/>
            <w:tcBorders/>
            <w:vAlign w:val="center"/>
          </w:tcPr>
          <w:p>
            <w:pPr>
              <w:pStyle w:val="TableContents"/>
              <w:bidi w:val="0"/>
              <w:jc w:val="right"/>
              <w:rPr/>
            </w:pPr>
            <w:r>
              <w:rPr/>
              <w:t>234.8</w:t>
            </w:r>
          </w:p>
        </w:tc>
        <w:tc>
          <w:tcPr>
            <w:tcW w:w="646" w:type="dxa"/>
            <w:tcBorders/>
            <w:vAlign w:val="center"/>
          </w:tcPr>
          <w:p>
            <w:pPr>
              <w:pStyle w:val="TableContents"/>
              <w:bidi w:val="0"/>
              <w:jc w:val="right"/>
              <w:rPr/>
            </w:pPr>
            <w:r>
              <w:rPr/>
              <w:t>202.3</w:t>
            </w:r>
          </w:p>
        </w:tc>
        <w:tc>
          <w:tcPr>
            <w:tcW w:w="810" w:type="dxa"/>
            <w:tcBorders/>
            <w:vAlign w:val="center"/>
          </w:tcPr>
          <w:p>
            <w:pPr>
              <w:pStyle w:val="TableContents"/>
              <w:bidi w:val="0"/>
              <w:jc w:val="right"/>
              <w:rPr/>
            </w:pPr>
            <w:r>
              <w:rPr/>
              <w:t>218.9</w:t>
            </w:r>
          </w:p>
        </w:tc>
        <w:tc>
          <w:tcPr>
            <w:tcW w:w="646" w:type="dxa"/>
            <w:tcBorders/>
            <w:vAlign w:val="center"/>
          </w:tcPr>
          <w:p>
            <w:pPr>
              <w:pStyle w:val="TableContents"/>
              <w:bidi w:val="0"/>
              <w:jc w:val="right"/>
              <w:rPr/>
            </w:pPr>
            <w:r>
              <w:rPr/>
              <w:t>244.4</w:t>
            </w:r>
          </w:p>
        </w:tc>
        <w:tc>
          <w:tcPr>
            <w:tcW w:w="810" w:type="dxa"/>
            <w:tcBorders/>
            <w:vAlign w:val="center"/>
          </w:tcPr>
          <w:p>
            <w:pPr>
              <w:pStyle w:val="TableContents"/>
              <w:bidi w:val="0"/>
              <w:jc w:val="right"/>
              <w:rPr/>
            </w:pPr>
            <w:r>
              <w:rPr/>
              <w:t>301.4</w:t>
            </w:r>
          </w:p>
        </w:tc>
        <w:tc>
          <w:tcPr>
            <w:tcW w:w="646" w:type="dxa"/>
            <w:tcBorders/>
            <w:vAlign w:val="center"/>
          </w:tcPr>
          <w:p>
            <w:pPr>
              <w:pStyle w:val="TableContents"/>
              <w:bidi w:val="0"/>
              <w:jc w:val="right"/>
              <w:rPr/>
            </w:pPr>
            <w:r>
              <w:rPr/>
              <w:t>233.0</w:t>
            </w:r>
          </w:p>
        </w:tc>
        <w:tc>
          <w:tcPr>
            <w:tcW w:w="646" w:type="dxa"/>
            <w:tcBorders/>
            <w:vAlign w:val="center"/>
          </w:tcPr>
          <w:p>
            <w:pPr>
              <w:pStyle w:val="TableContents"/>
              <w:bidi w:val="0"/>
              <w:jc w:val="right"/>
              <w:rPr/>
            </w:pPr>
            <w:r>
              <w:rPr/>
              <w:t>248.9</w:t>
            </w:r>
          </w:p>
        </w:tc>
        <w:tc>
          <w:tcPr>
            <w:tcW w:w="646" w:type="dxa"/>
            <w:tcBorders/>
            <w:vAlign w:val="center"/>
          </w:tcPr>
          <w:p>
            <w:pPr>
              <w:pStyle w:val="TableContents"/>
              <w:bidi w:val="0"/>
              <w:jc w:val="right"/>
              <w:rPr/>
            </w:pPr>
            <w:r>
              <w:rPr/>
              <w:t>229.3</w:t>
            </w:r>
          </w:p>
        </w:tc>
        <w:tc>
          <w:tcPr>
            <w:tcW w:w="646" w:type="dxa"/>
            <w:tcBorders/>
            <w:vAlign w:val="center"/>
          </w:tcPr>
          <w:p>
            <w:pPr>
              <w:pStyle w:val="TableContents"/>
              <w:bidi w:val="0"/>
              <w:jc w:val="right"/>
              <w:rPr/>
            </w:pPr>
            <w:r>
              <w:rPr/>
              <w:t>213.6</w:t>
            </w:r>
          </w:p>
        </w:tc>
        <w:tc>
          <w:tcPr>
            <w:tcW w:w="646" w:type="dxa"/>
            <w:tcBorders/>
            <w:vAlign w:val="center"/>
          </w:tcPr>
          <w:p>
            <w:pPr>
              <w:pStyle w:val="TableContents"/>
              <w:bidi w:val="0"/>
              <w:jc w:val="right"/>
              <w:rPr/>
            </w:pPr>
            <w:r>
              <w:rPr/>
              <w:t>237.9</w:t>
            </w:r>
          </w:p>
        </w:tc>
        <w:tc>
          <w:tcPr>
            <w:tcW w:w="860" w:type="dxa"/>
            <w:tcBorders/>
            <w:vAlign w:val="center"/>
          </w:tcPr>
          <w:p>
            <w:pPr>
              <w:pStyle w:val="TableContents"/>
              <w:bidi w:val="0"/>
              <w:jc w:val="right"/>
              <w:rPr/>
            </w:pPr>
            <w:r>
              <w:rPr/>
              <w:t>237.1</w:t>
            </w:r>
          </w:p>
        </w:tc>
      </w:tr>
      <w:tr>
        <w:trPr/>
        <w:tc>
          <w:tcPr>
            <w:tcW w:w="1107" w:type="dxa"/>
            <w:tcBorders/>
            <w:vAlign w:val="center"/>
          </w:tcPr>
          <w:p>
            <w:pPr>
              <w:pStyle w:val="TableContents"/>
              <w:widowControl w:val="false"/>
              <w:suppressLineNumbers/>
              <w:bidi w:val="0"/>
              <w:jc w:val="left"/>
              <w:rPr/>
            </w:pPr>
            <w:r>
              <w:rPr/>
              <w:t>Schiphol</w:t>
            </w:r>
          </w:p>
        </w:tc>
        <w:tc>
          <w:tcPr>
            <w:tcW w:w="810" w:type="dxa"/>
            <w:tcBorders/>
            <w:vAlign w:val="center"/>
          </w:tcPr>
          <w:p>
            <w:pPr>
              <w:pStyle w:val="TableContents"/>
              <w:bidi w:val="0"/>
              <w:jc w:val="right"/>
              <w:rPr/>
            </w:pPr>
            <w:r>
              <w:rPr/>
              <w:t>250.5</w:t>
            </w:r>
          </w:p>
        </w:tc>
        <w:tc>
          <w:tcPr>
            <w:tcW w:w="810" w:type="dxa"/>
            <w:tcBorders/>
            <w:vAlign w:val="center"/>
          </w:tcPr>
          <w:p>
            <w:pPr>
              <w:pStyle w:val="TableContents"/>
              <w:bidi w:val="0"/>
              <w:jc w:val="right"/>
              <w:rPr/>
            </w:pPr>
            <w:r>
              <w:rPr/>
              <w:t>196.8</w:t>
            </w:r>
          </w:p>
        </w:tc>
        <w:tc>
          <w:tcPr>
            <w:tcW w:w="810" w:type="dxa"/>
            <w:tcBorders/>
            <w:vAlign w:val="center"/>
          </w:tcPr>
          <w:p>
            <w:pPr>
              <w:pStyle w:val="TableContents"/>
              <w:bidi w:val="0"/>
              <w:jc w:val="right"/>
              <w:rPr/>
            </w:pPr>
            <w:r>
              <w:rPr/>
              <w:t>186.8</w:t>
            </w:r>
          </w:p>
        </w:tc>
        <w:tc>
          <w:tcPr>
            <w:tcW w:w="646" w:type="dxa"/>
            <w:tcBorders/>
            <w:vAlign w:val="center"/>
          </w:tcPr>
          <w:p>
            <w:pPr>
              <w:pStyle w:val="TableContents"/>
              <w:bidi w:val="0"/>
              <w:jc w:val="right"/>
              <w:rPr/>
            </w:pPr>
            <w:r>
              <w:rPr/>
              <w:t>151.1</w:t>
            </w:r>
          </w:p>
        </w:tc>
        <w:tc>
          <w:tcPr>
            <w:tcW w:w="810" w:type="dxa"/>
            <w:tcBorders/>
            <w:vAlign w:val="center"/>
          </w:tcPr>
          <w:p>
            <w:pPr>
              <w:pStyle w:val="TableContents"/>
              <w:bidi w:val="0"/>
              <w:jc w:val="right"/>
              <w:rPr/>
            </w:pPr>
            <w:r>
              <w:rPr/>
              <w:t>146.7</w:t>
            </w:r>
          </w:p>
        </w:tc>
        <w:tc>
          <w:tcPr>
            <w:tcW w:w="646" w:type="dxa"/>
            <w:tcBorders/>
            <w:vAlign w:val="center"/>
          </w:tcPr>
          <w:p>
            <w:pPr>
              <w:pStyle w:val="TableContents"/>
              <w:bidi w:val="0"/>
              <w:jc w:val="right"/>
              <w:rPr/>
            </w:pPr>
            <w:r>
              <w:rPr/>
              <w:t>160.1</w:t>
            </w:r>
          </w:p>
        </w:tc>
        <w:tc>
          <w:tcPr>
            <w:tcW w:w="810" w:type="dxa"/>
            <w:tcBorders/>
            <w:vAlign w:val="center"/>
          </w:tcPr>
          <w:p>
            <w:pPr>
              <w:pStyle w:val="TableContents"/>
              <w:bidi w:val="0"/>
              <w:jc w:val="right"/>
              <w:rPr/>
            </w:pPr>
            <w:r>
              <w:rPr/>
              <w:t>177.5</w:t>
            </w:r>
          </w:p>
        </w:tc>
        <w:tc>
          <w:tcPr>
            <w:tcW w:w="646" w:type="dxa"/>
            <w:tcBorders/>
            <w:vAlign w:val="center"/>
          </w:tcPr>
          <w:p>
            <w:pPr>
              <w:pStyle w:val="TableContents"/>
              <w:bidi w:val="0"/>
              <w:jc w:val="right"/>
              <w:rPr/>
            </w:pPr>
            <w:r>
              <w:rPr/>
              <w:t>152.8</w:t>
            </w:r>
          </w:p>
        </w:tc>
        <w:tc>
          <w:tcPr>
            <w:tcW w:w="646" w:type="dxa"/>
            <w:tcBorders/>
            <w:vAlign w:val="center"/>
          </w:tcPr>
          <w:p>
            <w:pPr>
              <w:pStyle w:val="TableContents"/>
              <w:bidi w:val="0"/>
              <w:jc w:val="right"/>
              <w:rPr/>
            </w:pPr>
            <w:r>
              <w:rPr/>
              <w:t>159.1</w:t>
            </w:r>
          </w:p>
        </w:tc>
        <w:tc>
          <w:tcPr>
            <w:tcW w:w="646" w:type="dxa"/>
            <w:tcBorders/>
            <w:vAlign w:val="center"/>
          </w:tcPr>
          <w:p>
            <w:pPr>
              <w:pStyle w:val="TableContents"/>
              <w:bidi w:val="0"/>
              <w:jc w:val="right"/>
              <w:rPr/>
            </w:pPr>
            <w:r>
              <w:rPr/>
              <w:t>166.9</w:t>
            </w:r>
          </w:p>
        </w:tc>
        <w:tc>
          <w:tcPr>
            <w:tcW w:w="646" w:type="dxa"/>
            <w:tcBorders/>
            <w:vAlign w:val="center"/>
          </w:tcPr>
          <w:p>
            <w:pPr>
              <w:pStyle w:val="TableContents"/>
              <w:bidi w:val="0"/>
              <w:jc w:val="right"/>
              <w:rPr/>
            </w:pPr>
            <w:r>
              <w:rPr/>
              <w:t>187.0</w:t>
            </w:r>
          </w:p>
        </w:tc>
        <w:tc>
          <w:tcPr>
            <w:tcW w:w="646" w:type="dxa"/>
            <w:tcBorders/>
            <w:vAlign w:val="center"/>
          </w:tcPr>
          <w:p>
            <w:pPr>
              <w:pStyle w:val="TableContents"/>
              <w:bidi w:val="0"/>
              <w:jc w:val="right"/>
              <w:rPr/>
            </w:pPr>
            <w:r>
              <w:rPr/>
              <w:t>172.0</w:t>
            </w:r>
          </w:p>
        </w:tc>
        <w:tc>
          <w:tcPr>
            <w:tcW w:w="860" w:type="dxa"/>
            <w:tcBorders/>
            <w:vAlign w:val="center"/>
          </w:tcPr>
          <w:p>
            <w:pPr>
              <w:pStyle w:val="TableContents"/>
              <w:bidi w:val="0"/>
              <w:jc w:val="right"/>
              <w:rPr/>
            </w:pPr>
            <w:r>
              <w:rPr/>
              <w:t>176.1</w:t>
            </w:r>
          </w:p>
        </w:tc>
      </w:tr>
      <w:tr>
        <w:trPr/>
        <w:tc>
          <w:tcPr>
            <w:tcW w:w="1107" w:type="dxa"/>
            <w:tcBorders/>
            <w:vAlign w:val="center"/>
          </w:tcPr>
          <w:p>
            <w:pPr>
              <w:pStyle w:val="TableContents"/>
              <w:widowControl w:val="false"/>
              <w:suppressLineNumbers/>
              <w:bidi w:val="0"/>
              <w:jc w:val="left"/>
              <w:rPr/>
            </w:pPr>
            <w:r>
              <w:rPr/>
              <w:t>Barcelona</w:t>
            </w:r>
          </w:p>
        </w:tc>
        <w:tc>
          <w:tcPr>
            <w:tcW w:w="810" w:type="dxa"/>
            <w:tcBorders/>
            <w:vAlign w:val="center"/>
          </w:tcPr>
          <w:p>
            <w:pPr>
              <w:pStyle w:val="TableContents"/>
              <w:bidi w:val="0"/>
              <w:jc w:val="right"/>
              <w:rPr/>
            </w:pPr>
            <w:r>
              <w:rPr/>
              <w:t>144.1</w:t>
            </w:r>
          </w:p>
        </w:tc>
        <w:tc>
          <w:tcPr>
            <w:tcW w:w="810" w:type="dxa"/>
            <w:tcBorders/>
            <w:vAlign w:val="center"/>
          </w:tcPr>
          <w:p>
            <w:pPr>
              <w:pStyle w:val="TableContents"/>
              <w:bidi w:val="0"/>
              <w:jc w:val="right"/>
              <w:rPr/>
            </w:pPr>
            <w:r>
              <w:rPr/>
              <w:t>138.5</w:t>
            </w:r>
          </w:p>
        </w:tc>
        <w:tc>
          <w:tcPr>
            <w:tcW w:w="810" w:type="dxa"/>
            <w:tcBorders/>
            <w:vAlign w:val="center"/>
          </w:tcPr>
          <w:p>
            <w:pPr>
              <w:pStyle w:val="TableContents"/>
              <w:bidi w:val="0"/>
              <w:jc w:val="right"/>
              <w:rPr/>
            </w:pPr>
            <w:r>
              <w:rPr/>
              <w:t>153.8</w:t>
            </w:r>
          </w:p>
        </w:tc>
        <w:tc>
          <w:tcPr>
            <w:tcW w:w="646" w:type="dxa"/>
            <w:tcBorders/>
            <w:vAlign w:val="center"/>
          </w:tcPr>
          <w:p>
            <w:pPr>
              <w:pStyle w:val="TableContents"/>
              <w:bidi w:val="0"/>
              <w:jc w:val="right"/>
              <w:rPr/>
            </w:pPr>
            <w:r>
              <w:rPr/>
              <w:t>165.3</w:t>
            </w:r>
          </w:p>
        </w:tc>
        <w:tc>
          <w:tcPr>
            <w:tcW w:w="810" w:type="dxa"/>
            <w:tcBorders/>
            <w:vAlign w:val="center"/>
          </w:tcPr>
          <w:p>
            <w:pPr>
              <w:pStyle w:val="TableContents"/>
              <w:bidi w:val="0"/>
              <w:jc w:val="right"/>
              <w:rPr/>
            </w:pPr>
            <w:r>
              <w:rPr/>
              <w:t>176.6</w:t>
            </w:r>
          </w:p>
        </w:tc>
        <w:tc>
          <w:tcPr>
            <w:tcW w:w="646" w:type="dxa"/>
            <w:tcBorders/>
            <w:vAlign w:val="center"/>
          </w:tcPr>
          <w:p>
            <w:pPr>
              <w:pStyle w:val="TableContents"/>
              <w:bidi w:val="0"/>
              <w:jc w:val="right"/>
              <w:rPr/>
            </w:pPr>
            <w:r>
              <w:rPr/>
              <w:t>191.9</w:t>
            </w:r>
          </w:p>
        </w:tc>
        <w:tc>
          <w:tcPr>
            <w:tcW w:w="810" w:type="dxa"/>
            <w:tcBorders/>
            <w:vAlign w:val="center"/>
          </w:tcPr>
          <w:p>
            <w:pPr>
              <w:pStyle w:val="TableContents"/>
              <w:bidi w:val="0"/>
              <w:jc w:val="right"/>
              <w:rPr/>
            </w:pPr>
            <w:r>
              <w:rPr/>
              <w:t>265.2</w:t>
            </w:r>
          </w:p>
        </w:tc>
        <w:tc>
          <w:tcPr>
            <w:tcW w:w="646" w:type="dxa"/>
            <w:tcBorders/>
            <w:vAlign w:val="center"/>
          </w:tcPr>
          <w:p>
            <w:pPr>
              <w:pStyle w:val="TableContents"/>
              <w:bidi w:val="0"/>
              <w:jc w:val="right"/>
              <w:rPr/>
            </w:pPr>
            <w:r>
              <w:rPr/>
              <w:t>239.5</w:t>
            </w:r>
          </w:p>
        </w:tc>
        <w:tc>
          <w:tcPr>
            <w:tcW w:w="646" w:type="dxa"/>
            <w:tcBorders/>
            <w:vAlign w:val="center"/>
          </w:tcPr>
          <w:p>
            <w:pPr>
              <w:pStyle w:val="TableContents"/>
              <w:bidi w:val="0"/>
              <w:jc w:val="right"/>
              <w:rPr/>
            </w:pPr>
            <w:r>
              <w:rPr/>
              <w:t>230.2</w:t>
            </w:r>
          </w:p>
        </w:tc>
        <w:tc>
          <w:tcPr>
            <w:tcW w:w="646" w:type="dxa"/>
            <w:tcBorders/>
            <w:vAlign w:val="center"/>
          </w:tcPr>
          <w:p>
            <w:pPr>
              <w:pStyle w:val="TableContents"/>
              <w:bidi w:val="0"/>
              <w:jc w:val="right"/>
              <w:rPr/>
            </w:pPr>
            <w:r>
              <w:rPr/>
              <w:t>201.5</w:t>
            </w:r>
          </w:p>
        </w:tc>
        <w:tc>
          <w:tcPr>
            <w:tcW w:w="646" w:type="dxa"/>
            <w:tcBorders/>
            <w:vAlign w:val="center"/>
          </w:tcPr>
          <w:p>
            <w:pPr>
              <w:pStyle w:val="TableContents"/>
              <w:bidi w:val="0"/>
              <w:jc w:val="right"/>
              <w:rPr/>
            </w:pPr>
            <w:r>
              <w:rPr/>
              <w:t>162.4</w:t>
            </w:r>
          </w:p>
        </w:tc>
        <w:tc>
          <w:tcPr>
            <w:tcW w:w="646" w:type="dxa"/>
            <w:tcBorders/>
            <w:vAlign w:val="center"/>
          </w:tcPr>
          <w:p>
            <w:pPr>
              <w:pStyle w:val="TableContents"/>
              <w:bidi w:val="0"/>
              <w:jc w:val="right"/>
              <w:rPr/>
            </w:pPr>
            <w:r>
              <w:rPr/>
              <w:t>179.8</w:t>
            </w:r>
          </w:p>
        </w:tc>
        <w:tc>
          <w:tcPr>
            <w:tcW w:w="860" w:type="dxa"/>
            <w:tcBorders/>
            <w:vAlign w:val="center"/>
          </w:tcPr>
          <w:p>
            <w:pPr>
              <w:pStyle w:val="TableContents"/>
              <w:bidi w:val="0"/>
              <w:jc w:val="right"/>
              <w:rPr/>
            </w:pPr>
            <w:r>
              <w:rPr/>
              <w:t>194.6</w:t>
            </w:r>
          </w:p>
        </w:tc>
      </w:tr>
      <w:tr>
        <w:trPr/>
        <w:tc>
          <w:tcPr>
            <w:tcW w:w="1107" w:type="dxa"/>
            <w:tcBorders/>
            <w:vAlign w:val="center"/>
          </w:tcPr>
          <w:p>
            <w:pPr>
              <w:pStyle w:val="TableContents"/>
              <w:widowControl w:val="false"/>
              <w:suppressLineNumbers/>
              <w:bidi w:val="0"/>
              <w:jc w:val="left"/>
              <w:rPr/>
            </w:pPr>
            <w:r>
              <w:rPr/>
              <w:t>Madrid</w:t>
            </w:r>
          </w:p>
        </w:tc>
        <w:tc>
          <w:tcPr>
            <w:tcW w:w="810" w:type="dxa"/>
            <w:tcBorders/>
            <w:vAlign w:val="center"/>
          </w:tcPr>
          <w:p>
            <w:pPr>
              <w:pStyle w:val="TableContents"/>
              <w:bidi w:val="0"/>
              <w:jc w:val="right"/>
              <w:rPr/>
            </w:pPr>
            <w:r>
              <w:rPr/>
              <w:t>163.5</w:t>
            </w:r>
          </w:p>
        </w:tc>
        <w:tc>
          <w:tcPr>
            <w:tcW w:w="810" w:type="dxa"/>
            <w:tcBorders/>
            <w:vAlign w:val="center"/>
          </w:tcPr>
          <w:p>
            <w:pPr>
              <w:pStyle w:val="TableContents"/>
              <w:bidi w:val="0"/>
              <w:jc w:val="right"/>
              <w:rPr/>
            </w:pPr>
            <w:r>
              <w:rPr/>
              <w:t>151.1</w:t>
            </w:r>
          </w:p>
        </w:tc>
        <w:tc>
          <w:tcPr>
            <w:tcW w:w="810" w:type="dxa"/>
            <w:tcBorders/>
            <w:vAlign w:val="center"/>
          </w:tcPr>
          <w:p>
            <w:pPr>
              <w:pStyle w:val="TableContents"/>
              <w:bidi w:val="0"/>
              <w:jc w:val="right"/>
              <w:rPr/>
            </w:pPr>
            <w:r>
              <w:rPr/>
              <w:t>187.5</w:t>
            </w:r>
          </w:p>
        </w:tc>
        <w:tc>
          <w:tcPr>
            <w:tcW w:w="646" w:type="dxa"/>
            <w:tcBorders/>
            <w:vAlign w:val="center"/>
          </w:tcPr>
          <w:p>
            <w:pPr>
              <w:pStyle w:val="TableContents"/>
              <w:bidi w:val="0"/>
              <w:jc w:val="right"/>
              <w:rPr/>
            </w:pPr>
            <w:r>
              <w:rPr/>
              <w:t>168.3</w:t>
            </w:r>
          </w:p>
        </w:tc>
        <w:tc>
          <w:tcPr>
            <w:tcW w:w="810" w:type="dxa"/>
            <w:tcBorders/>
            <w:vAlign w:val="center"/>
          </w:tcPr>
          <w:p>
            <w:pPr>
              <w:pStyle w:val="TableContents"/>
              <w:bidi w:val="0"/>
              <w:jc w:val="right"/>
              <w:rPr/>
            </w:pPr>
            <w:r>
              <w:rPr/>
              <w:t>176.3</w:t>
            </w:r>
          </w:p>
        </w:tc>
        <w:tc>
          <w:tcPr>
            <w:tcW w:w="646" w:type="dxa"/>
            <w:tcBorders/>
            <w:vAlign w:val="center"/>
          </w:tcPr>
          <w:p>
            <w:pPr>
              <w:pStyle w:val="TableContents"/>
              <w:bidi w:val="0"/>
              <w:jc w:val="right"/>
              <w:rPr/>
            </w:pPr>
            <w:r>
              <w:rPr/>
              <w:t>184.6</w:t>
            </w:r>
          </w:p>
        </w:tc>
        <w:tc>
          <w:tcPr>
            <w:tcW w:w="810" w:type="dxa"/>
            <w:tcBorders/>
            <w:vAlign w:val="center"/>
          </w:tcPr>
          <w:p>
            <w:pPr>
              <w:pStyle w:val="TableContents"/>
              <w:bidi w:val="0"/>
              <w:jc w:val="right"/>
              <w:rPr/>
            </w:pPr>
            <w:r>
              <w:rPr/>
              <w:t>192.6</w:t>
            </w:r>
          </w:p>
        </w:tc>
        <w:tc>
          <w:tcPr>
            <w:tcW w:w="646" w:type="dxa"/>
            <w:tcBorders/>
            <w:vAlign w:val="center"/>
          </w:tcPr>
          <w:p>
            <w:pPr>
              <w:pStyle w:val="TableContents"/>
              <w:bidi w:val="0"/>
              <w:jc w:val="right"/>
              <w:rPr/>
            </w:pPr>
            <w:r>
              <w:rPr/>
              <w:t>182.1</w:t>
            </w:r>
          </w:p>
        </w:tc>
        <w:tc>
          <w:tcPr>
            <w:tcW w:w="646" w:type="dxa"/>
            <w:tcBorders/>
            <w:vAlign w:val="center"/>
          </w:tcPr>
          <w:p>
            <w:pPr>
              <w:pStyle w:val="TableContents"/>
              <w:bidi w:val="0"/>
              <w:jc w:val="right"/>
              <w:rPr/>
            </w:pPr>
            <w:r>
              <w:rPr/>
              <w:t>181.9</w:t>
            </w:r>
          </w:p>
        </w:tc>
        <w:tc>
          <w:tcPr>
            <w:tcW w:w="646" w:type="dxa"/>
            <w:tcBorders/>
            <w:vAlign w:val="center"/>
          </w:tcPr>
          <w:p>
            <w:pPr>
              <w:pStyle w:val="TableContents"/>
              <w:bidi w:val="0"/>
              <w:jc w:val="right"/>
              <w:rPr/>
            </w:pPr>
            <w:r>
              <w:rPr/>
              <w:t>191.8</w:t>
            </w:r>
          </w:p>
        </w:tc>
        <w:tc>
          <w:tcPr>
            <w:tcW w:w="646" w:type="dxa"/>
            <w:tcBorders/>
            <w:vAlign w:val="center"/>
          </w:tcPr>
          <w:p>
            <w:pPr>
              <w:pStyle w:val="TableContents"/>
              <w:bidi w:val="0"/>
              <w:jc w:val="right"/>
              <w:rPr/>
            </w:pPr>
            <w:r>
              <w:rPr/>
              <w:t>172.2</w:t>
            </w:r>
          </w:p>
        </w:tc>
        <w:tc>
          <w:tcPr>
            <w:tcW w:w="646" w:type="dxa"/>
            <w:tcBorders/>
            <w:vAlign w:val="center"/>
          </w:tcPr>
          <w:p>
            <w:pPr>
              <w:pStyle w:val="TableContents"/>
              <w:bidi w:val="0"/>
              <w:jc w:val="right"/>
              <w:rPr/>
            </w:pPr>
            <w:r>
              <w:rPr/>
              <w:t>170.0</w:t>
            </w:r>
          </w:p>
        </w:tc>
        <w:tc>
          <w:tcPr>
            <w:tcW w:w="860" w:type="dxa"/>
            <w:tcBorders/>
            <w:vAlign w:val="center"/>
          </w:tcPr>
          <w:p>
            <w:pPr>
              <w:pStyle w:val="TableContents"/>
              <w:bidi w:val="0"/>
              <w:jc w:val="right"/>
              <w:rPr/>
            </w:pPr>
            <w:r>
              <w:rPr/>
              <w:t>177.8</w:t>
            </w:r>
          </w:p>
        </w:tc>
      </w:tr>
      <w:tr>
        <w:trPr/>
        <w:tc>
          <w:tcPr>
            <w:tcW w:w="1107" w:type="dxa"/>
            <w:tcBorders/>
            <w:vAlign w:val="center"/>
          </w:tcPr>
          <w:p>
            <w:pPr>
              <w:pStyle w:val="TableContents"/>
              <w:widowControl w:val="false"/>
              <w:suppressLineNumbers/>
              <w:bidi w:val="0"/>
              <w:jc w:val="left"/>
              <w:rPr/>
            </w:pPr>
            <w:r>
              <w:rPr/>
              <w:t>Paris</w:t>
            </w:r>
          </w:p>
        </w:tc>
        <w:tc>
          <w:tcPr>
            <w:tcW w:w="810" w:type="dxa"/>
            <w:tcBorders/>
            <w:vAlign w:val="center"/>
          </w:tcPr>
          <w:p>
            <w:pPr>
              <w:pStyle w:val="TableContents"/>
              <w:bidi w:val="0"/>
              <w:jc w:val="right"/>
              <w:rPr/>
            </w:pPr>
            <w:r>
              <w:rPr/>
              <w:t>810.1 [291.8; 2 out]</w:t>
            </w:r>
          </w:p>
        </w:tc>
        <w:tc>
          <w:tcPr>
            <w:tcW w:w="810" w:type="dxa"/>
            <w:tcBorders/>
            <w:vAlign w:val="center"/>
          </w:tcPr>
          <w:p>
            <w:pPr>
              <w:pStyle w:val="TableContents"/>
              <w:bidi w:val="0"/>
              <w:jc w:val="right"/>
              <w:rPr/>
            </w:pPr>
            <w:r>
              <w:rPr/>
              <w:t>232.2</w:t>
            </w:r>
          </w:p>
        </w:tc>
        <w:tc>
          <w:tcPr>
            <w:tcW w:w="810" w:type="dxa"/>
            <w:tcBorders/>
            <w:vAlign w:val="center"/>
          </w:tcPr>
          <w:p>
            <w:pPr>
              <w:pStyle w:val="TableContents"/>
              <w:bidi w:val="0"/>
              <w:jc w:val="right"/>
              <w:rPr/>
            </w:pPr>
            <w:r>
              <w:rPr/>
              <w:t>233.9 [203.5; 1 out]</w:t>
            </w:r>
          </w:p>
        </w:tc>
        <w:tc>
          <w:tcPr>
            <w:tcW w:w="646" w:type="dxa"/>
            <w:tcBorders/>
            <w:vAlign w:val="center"/>
          </w:tcPr>
          <w:p>
            <w:pPr>
              <w:pStyle w:val="TableContents"/>
              <w:bidi w:val="0"/>
              <w:jc w:val="right"/>
              <w:rPr/>
            </w:pPr>
            <w:r>
              <w:rPr/>
              <w:t>196.0</w:t>
            </w:r>
          </w:p>
        </w:tc>
        <w:tc>
          <w:tcPr>
            <w:tcW w:w="810" w:type="dxa"/>
            <w:tcBorders/>
            <w:vAlign w:val="center"/>
          </w:tcPr>
          <w:p>
            <w:pPr>
              <w:pStyle w:val="TableContents"/>
              <w:bidi w:val="0"/>
              <w:jc w:val="right"/>
              <w:rPr/>
            </w:pPr>
            <w:r>
              <w:rPr/>
              <w:t>220.4</w:t>
            </w:r>
          </w:p>
        </w:tc>
        <w:tc>
          <w:tcPr>
            <w:tcW w:w="646" w:type="dxa"/>
            <w:tcBorders/>
            <w:vAlign w:val="center"/>
          </w:tcPr>
          <w:p>
            <w:pPr>
              <w:pStyle w:val="TableContents"/>
              <w:bidi w:val="0"/>
              <w:jc w:val="right"/>
              <w:rPr/>
            </w:pPr>
            <w:r>
              <w:rPr/>
              <w:t>245.5</w:t>
            </w:r>
          </w:p>
        </w:tc>
        <w:tc>
          <w:tcPr>
            <w:tcW w:w="810" w:type="dxa"/>
            <w:tcBorders/>
            <w:vAlign w:val="center"/>
          </w:tcPr>
          <w:p>
            <w:pPr>
              <w:pStyle w:val="TableContents"/>
              <w:bidi w:val="0"/>
              <w:jc w:val="right"/>
              <w:rPr/>
            </w:pPr>
            <w:r>
              <w:rPr/>
              <w:t>253.3 [249.3; 1 out]</w:t>
            </w:r>
          </w:p>
        </w:tc>
        <w:tc>
          <w:tcPr>
            <w:tcW w:w="646" w:type="dxa"/>
            <w:tcBorders/>
            <w:vAlign w:val="center"/>
          </w:tcPr>
          <w:p>
            <w:pPr>
              <w:pStyle w:val="TableContents"/>
              <w:bidi w:val="0"/>
              <w:jc w:val="right"/>
              <w:rPr/>
            </w:pPr>
            <w:r>
              <w:rPr/>
              <w:t>233.9</w:t>
            </w:r>
          </w:p>
        </w:tc>
        <w:tc>
          <w:tcPr>
            <w:tcW w:w="646" w:type="dxa"/>
            <w:tcBorders/>
            <w:vAlign w:val="center"/>
          </w:tcPr>
          <w:p>
            <w:pPr>
              <w:pStyle w:val="TableContents"/>
              <w:bidi w:val="0"/>
              <w:jc w:val="right"/>
              <w:rPr/>
            </w:pPr>
            <w:r>
              <w:rPr/>
              <w:t>230.7</w:t>
            </w:r>
          </w:p>
        </w:tc>
        <w:tc>
          <w:tcPr>
            <w:tcW w:w="646" w:type="dxa"/>
            <w:tcBorders/>
            <w:vAlign w:val="center"/>
          </w:tcPr>
          <w:p>
            <w:pPr>
              <w:pStyle w:val="TableContents"/>
              <w:bidi w:val="0"/>
              <w:jc w:val="right"/>
              <w:rPr/>
            </w:pPr>
            <w:r>
              <w:rPr/>
              <w:t>227.8</w:t>
            </w:r>
          </w:p>
        </w:tc>
        <w:tc>
          <w:tcPr>
            <w:tcW w:w="646" w:type="dxa"/>
            <w:tcBorders/>
            <w:vAlign w:val="center"/>
          </w:tcPr>
          <w:p>
            <w:pPr>
              <w:pStyle w:val="TableContents"/>
              <w:bidi w:val="0"/>
              <w:jc w:val="right"/>
              <w:rPr/>
            </w:pPr>
            <w:r>
              <w:rPr/>
              <w:t>276.5</w:t>
            </w:r>
          </w:p>
        </w:tc>
        <w:tc>
          <w:tcPr>
            <w:tcW w:w="646" w:type="dxa"/>
            <w:tcBorders/>
            <w:vAlign w:val="center"/>
          </w:tcPr>
          <w:p>
            <w:pPr>
              <w:pStyle w:val="TableContents"/>
              <w:bidi w:val="0"/>
              <w:jc w:val="right"/>
              <w:rPr/>
            </w:pPr>
            <w:r>
              <w:rPr/>
              <w:t>251.3</w:t>
            </w:r>
          </w:p>
        </w:tc>
        <w:tc>
          <w:tcPr>
            <w:tcW w:w="860" w:type="dxa"/>
            <w:tcBorders/>
            <w:vAlign w:val="center"/>
          </w:tcPr>
          <w:p>
            <w:pPr>
              <w:pStyle w:val="TableContents"/>
              <w:bidi w:val="0"/>
              <w:jc w:val="right"/>
              <w:rPr/>
            </w:pPr>
            <w:r>
              <w:rPr/>
              <w:t>317.9 [239.0; 4 out]</w:t>
            </w:r>
          </w:p>
        </w:tc>
      </w:tr>
      <w:tr>
        <w:trPr/>
        <w:tc>
          <w:tcPr>
            <w:tcW w:w="1107" w:type="dxa"/>
            <w:tcBorders/>
            <w:vAlign w:val="center"/>
          </w:tcPr>
          <w:p>
            <w:pPr>
              <w:pStyle w:val="TableContents"/>
              <w:widowControl w:val="false"/>
              <w:suppressLineNumbers/>
              <w:bidi w:val="0"/>
              <w:jc w:val="left"/>
              <w:rPr/>
            </w:pPr>
            <w:r>
              <w:rPr/>
              <w:t>Fiumicino</w:t>
            </w:r>
          </w:p>
        </w:tc>
        <w:tc>
          <w:tcPr>
            <w:tcW w:w="810" w:type="dxa"/>
            <w:tcBorders/>
            <w:vAlign w:val="center"/>
          </w:tcPr>
          <w:p>
            <w:pPr>
              <w:pStyle w:val="TableContents"/>
              <w:bidi w:val="0"/>
              <w:jc w:val="right"/>
              <w:rPr/>
            </w:pPr>
            <w:r>
              <w:rPr/>
              <w:t>276.4</w:t>
            </w:r>
          </w:p>
        </w:tc>
        <w:tc>
          <w:tcPr>
            <w:tcW w:w="810" w:type="dxa"/>
            <w:tcBorders/>
            <w:vAlign w:val="center"/>
          </w:tcPr>
          <w:p>
            <w:pPr>
              <w:pStyle w:val="TableContents"/>
              <w:bidi w:val="0"/>
              <w:jc w:val="right"/>
              <w:rPr/>
            </w:pPr>
            <w:r>
              <w:rPr/>
              <w:t>301.3</w:t>
            </w:r>
          </w:p>
        </w:tc>
        <w:tc>
          <w:tcPr>
            <w:tcW w:w="810" w:type="dxa"/>
            <w:tcBorders/>
            <w:vAlign w:val="center"/>
          </w:tcPr>
          <w:p>
            <w:pPr>
              <w:pStyle w:val="TableContents"/>
              <w:bidi w:val="0"/>
              <w:jc w:val="right"/>
              <w:rPr/>
            </w:pPr>
            <w:r>
              <w:rPr/>
              <w:t>281.9</w:t>
            </w:r>
          </w:p>
        </w:tc>
        <w:tc>
          <w:tcPr>
            <w:tcW w:w="646" w:type="dxa"/>
            <w:tcBorders/>
            <w:vAlign w:val="center"/>
          </w:tcPr>
          <w:p>
            <w:pPr>
              <w:pStyle w:val="TableContents"/>
              <w:bidi w:val="0"/>
              <w:jc w:val="right"/>
              <w:rPr/>
            </w:pPr>
            <w:r>
              <w:rPr/>
              <w:t>305.1</w:t>
            </w:r>
          </w:p>
        </w:tc>
        <w:tc>
          <w:tcPr>
            <w:tcW w:w="810" w:type="dxa"/>
            <w:tcBorders/>
            <w:vAlign w:val="center"/>
          </w:tcPr>
          <w:p>
            <w:pPr>
              <w:pStyle w:val="TableContents"/>
              <w:bidi w:val="0"/>
              <w:jc w:val="right"/>
              <w:rPr/>
            </w:pPr>
            <w:r>
              <w:rPr/>
              <w:t>300.5</w:t>
            </w:r>
          </w:p>
        </w:tc>
        <w:tc>
          <w:tcPr>
            <w:tcW w:w="646" w:type="dxa"/>
            <w:tcBorders/>
            <w:vAlign w:val="center"/>
          </w:tcPr>
          <w:p>
            <w:pPr>
              <w:pStyle w:val="TableContents"/>
              <w:bidi w:val="0"/>
              <w:jc w:val="right"/>
              <w:rPr/>
            </w:pPr>
            <w:r>
              <w:rPr/>
              <w:t>386.6</w:t>
            </w:r>
          </w:p>
        </w:tc>
        <w:tc>
          <w:tcPr>
            <w:tcW w:w="810" w:type="dxa"/>
            <w:tcBorders/>
            <w:vAlign w:val="center"/>
          </w:tcPr>
          <w:p>
            <w:pPr>
              <w:pStyle w:val="TableContents"/>
              <w:bidi w:val="0"/>
              <w:jc w:val="right"/>
              <w:rPr/>
            </w:pPr>
            <w:r>
              <w:rPr/>
              <w:t>788.4 [434.5; 1 out]</w:t>
            </w:r>
          </w:p>
        </w:tc>
        <w:tc>
          <w:tcPr>
            <w:tcW w:w="646" w:type="dxa"/>
            <w:tcBorders/>
            <w:vAlign w:val="center"/>
          </w:tcPr>
          <w:p>
            <w:pPr>
              <w:pStyle w:val="TableContents"/>
              <w:bidi w:val="0"/>
              <w:jc w:val="right"/>
              <w:rPr/>
            </w:pPr>
            <w:r>
              <w:rPr/>
              <w:t>374.8</w:t>
            </w:r>
          </w:p>
        </w:tc>
        <w:tc>
          <w:tcPr>
            <w:tcW w:w="646" w:type="dxa"/>
            <w:tcBorders/>
            <w:vAlign w:val="center"/>
          </w:tcPr>
          <w:p>
            <w:pPr>
              <w:pStyle w:val="TableContents"/>
              <w:bidi w:val="0"/>
              <w:jc w:val="right"/>
              <w:rPr/>
            </w:pPr>
            <w:r>
              <w:rPr/>
              <w:t>336.5</w:t>
            </w:r>
          </w:p>
        </w:tc>
        <w:tc>
          <w:tcPr>
            <w:tcW w:w="646" w:type="dxa"/>
            <w:tcBorders/>
            <w:vAlign w:val="center"/>
          </w:tcPr>
          <w:p>
            <w:pPr>
              <w:pStyle w:val="TableContents"/>
              <w:bidi w:val="0"/>
              <w:jc w:val="right"/>
              <w:rPr/>
            </w:pPr>
            <w:r>
              <w:rPr/>
              <w:t>365.6</w:t>
            </w:r>
          </w:p>
        </w:tc>
        <w:tc>
          <w:tcPr>
            <w:tcW w:w="646" w:type="dxa"/>
            <w:tcBorders/>
            <w:vAlign w:val="center"/>
          </w:tcPr>
          <w:p>
            <w:pPr>
              <w:pStyle w:val="TableContents"/>
              <w:bidi w:val="0"/>
              <w:jc w:val="right"/>
              <w:rPr/>
            </w:pPr>
            <w:r>
              <w:rPr/>
              <w:t>275.8</w:t>
            </w:r>
          </w:p>
        </w:tc>
        <w:tc>
          <w:tcPr>
            <w:tcW w:w="646" w:type="dxa"/>
            <w:tcBorders/>
            <w:vAlign w:val="center"/>
          </w:tcPr>
          <w:p>
            <w:pPr>
              <w:pStyle w:val="TableContents"/>
              <w:bidi w:val="0"/>
              <w:jc w:val="right"/>
              <w:rPr/>
            </w:pPr>
            <w:r>
              <w:rPr/>
              <w:t>293.0</w:t>
            </w:r>
          </w:p>
        </w:tc>
        <w:tc>
          <w:tcPr>
            <w:tcW w:w="860" w:type="dxa"/>
            <w:tcBorders/>
            <w:vAlign w:val="center"/>
          </w:tcPr>
          <w:p>
            <w:pPr>
              <w:pStyle w:val="TableContents"/>
              <w:bidi w:val="0"/>
              <w:jc w:val="right"/>
              <w:rPr/>
            </w:pPr>
            <w:r>
              <w:rPr/>
              <w:t>391.3 [335.7; 1 out]</w:t>
            </w:r>
          </w:p>
        </w:tc>
      </w:tr>
      <w:tr>
        <w:trPr/>
        <w:tc>
          <w:tcPr>
            <w:tcW w:w="1107" w:type="dxa"/>
            <w:tcBorders/>
            <w:vAlign w:val="center"/>
          </w:tcPr>
          <w:p>
            <w:pPr>
              <w:pStyle w:val="TableContents"/>
              <w:widowControl w:val="false"/>
              <w:suppressLineNumbers/>
              <w:bidi w:val="0"/>
              <w:jc w:val="left"/>
              <w:rPr/>
            </w:pPr>
            <w:r>
              <w:rPr/>
              <w:t>Zurich</w:t>
            </w:r>
          </w:p>
        </w:tc>
        <w:tc>
          <w:tcPr>
            <w:tcW w:w="810" w:type="dxa"/>
            <w:tcBorders/>
            <w:vAlign w:val="center"/>
          </w:tcPr>
          <w:p>
            <w:pPr>
              <w:pStyle w:val="TableContents"/>
              <w:bidi w:val="0"/>
              <w:jc w:val="right"/>
              <w:rPr/>
            </w:pPr>
            <w:r>
              <w:rPr/>
              <w:t>241.1</w:t>
            </w:r>
          </w:p>
        </w:tc>
        <w:tc>
          <w:tcPr>
            <w:tcW w:w="810" w:type="dxa"/>
            <w:tcBorders/>
            <w:vAlign w:val="center"/>
          </w:tcPr>
          <w:p>
            <w:pPr>
              <w:pStyle w:val="TableContents"/>
              <w:bidi w:val="0"/>
              <w:jc w:val="right"/>
              <w:rPr/>
            </w:pPr>
            <w:r>
              <w:rPr/>
              <w:t>256.2 [179.3; 1 out]</w:t>
            </w:r>
          </w:p>
        </w:tc>
        <w:tc>
          <w:tcPr>
            <w:tcW w:w="810" w:type="dxa"/>
            <w:tcBorders/>
            <w:vAlign w:val="center"/>
          </w:tcPr>
          <w:p>
            <w:pPr>
              <w:pStyle w:val="TableContents"/>
              <w:bidi w:val="0"/>
              <w:jc w:val="right"/>
              <w:rPr/>
            </w:pPr>
            <w:r>
              <w:rPr/>
              <w:t>161.5</w:t>
            </w:r>
          </w:p>
        </w:tc>
        <w:tc>
          <w:tcPr>
            <w:tcW w:w="646" w:type="dxa"/>
            <w:tcBorders/>
            <w:vAlign w:val="center"/>
          </w:tcPr>
          <w:p>
            <w:pPr>
              <w:pStyle w:val="TableContents"/>
              <w:bidi w:val="0"/>
              <w:jc w:val="right"/>
              <w:rPr/>
            </w:pPr>
            <w:r>
              <w:rPr/>
              <w:t>150.9</w:t>
            </w:r>
          </w:p>
        </w:tc>
        <w:tc>
          <w:tcPr>
            <w:tcW w:w="810" w:type="dxa"/>
            <w:tcBorders/>
            <w:vAlign w:val="center"/>
          </w:tcPr>
          <w:p>
            <w:pPr>
              <w:pStyle w:val="TableContents"/>
              <w:bidi w:val="0"/>
              <w:jc w:val="right"/>
              <w:rPr/>
            </w:pPr>
            <w:r>
              <w:rPr/>
              <w:t>809.7 [158.9; 1 out]</w:t>
            </w:r>
          </w:p>
        </w:tc>
        <w:tc>
          <w:tcPr>
            <w:tcW w:w="646" w:type="dxa"/>
            <w:tcBorders/>
            <w:vAlign w:val="center"/>
          </w:tcPr>
          <w:p>
            <w:pPr>
              <w:pStyle w:val="TableContents"/>
              <w:bidi w:val="0"/>
              <w:jc w:val="right"/>
              <w:rPr/>
            </w:pPr>
            <w:r>
              <w:rPr/>
              <w:t>168.7</w:t>
            </w:r>
          </w:p>
        </w:tc>
        <w:tc>
          <w:tcPr>
            <w:tcW w:w="810" w:type="dxa"/>
            <w:tcBorders/>
            <w:vAlign w:val="center"/>
          </w:tcPr>
          <w:p>
            <w:pPr>
              <w:pStyle w:val="TableContents"/>
              <w:bidi w:val="0"/>
              <w:jc w:val="right"/>
              <w:rPr/>
            </w:pPr>
            <w:r>
              <w:rPr/>
              <w:t>188.5</w:t>
            </w:r>
          </w:p>
        </w:tc>
        <w:tc>
          <w:tcPr>
            <w:tcW w:w="646" w:type="dxa"/>
            <w:tcBorders/>
            <w:vAlign w:val="center"/>
          </w:tcPr>
          <w:p>
            <w:pPr>
              <w:pStyle w:val="TableContents"/>
              <w:bidi w:val="0"/>
              <w:jc w:val="right"/>
              <w:rPr/>
            </w:pPr>
            <w:r>
              <w:rPr/>
              <w:t>161.5</w:t>
            </w:r>
          </w:p>
        </w:tc>
        <w:tc>
          <w:tcPr>
            <w:tcW w:w="646" w:type="dxa"/>
            <w:tcBorders/>
            <w:vAlign w:val="center"/>
          </w:tcPr>
          <w:p>
            <w:pPr>
              <w:pStyle w:val="TableContents"/>
              <w:bidi w:val="0"/>
              <w:jc w:val="right"/>
              <w:rPr/>
            </w:pPr>
            <w:r>
              <w:rPr/>
              <w:t>151.2</w:t>
            </w:r>
          </w:p>
        </w:tc>
        <w:tc>
          <w:tcPr>
            <w:tcW w:w="646" w:type="dxa"/>
            <w:tcBorders/>
            <w:vAlign w:val="center"/>
          </w:tcPr>
          <w:p>
            <w:pPr>
              <w:pStyle w:val="TableContents"/>
              <w:bidi w:val="0"/>
              <w:jc w:val="right"/>
              <w:rPr/>
            </w:pPr>
            <w:r>
              <w:rPr/>
              <w:t>153.6</w:t>
            </w:r>
          </w:p>
        </w:tc>
        <w:tc>
          <w:tcPr>
            <w:tcW w:w="646" w:type="dxa"/>
            <w:tcBorders/>
            <w:vAlign w:val="center"/>
          </w:tcPr>
          <w:p>
            <w:pPr>
              <w:pStyle w:val="TableContents"/>
              <w:bidi w:val="0"/>
              <w:jc w:val="right"/>
              <w:rPr/>
            </w:pPr>
            <w:r>
              <w:rPr/>
              <w:t>195.8</w:t>
            </w:r>
          </w:p>
        </w:tc>
        <w:tc>
          <w:tcPr>
            <w:tcW w:w="646" w:type="dxa"/>
            <w:tcBorders/>
            <w:vAlign w:val="center"/>
          </w:tcPr>
          <w:p>
            <w:pPr>
              <w:pStyle w:val="TableContents"/>
              <w:bidi w:val="0"/>
              <w:jc w:val="right"/>
              <w:rPr/>
            </w:pPr>
            <w:r>
              <w:rPr/>
              <w:t>181.6</w:t>
            </w:r>
          </w:p>
        </w:tc>
        <w:tc>
          <w:tcPr>
            <w:tcW w:w="860" w:type="dxa"/>
            <w:tcBorders/>
            <w:vAlign w:val="center"/>
          </w:tcPr>
          <w:p>
            <w:pPr>
              <w:pStyle w:val="TableContents"/>
              <w:bidi w:val="0"/>
              <w:jc w:val="right"/>
              <w:rPr/>
            </w:pPr>
            <w:r>
              <w:rPr/>
              <w:t>298.3 [174.6; 2 out]</w:t>
            </w:r>
          </w:p>
        </w:tc>
      </w:tr>
      <w:tr>
        <w:trPr/>
        <w:tc>
          <w:tcPr>
            <w:tcW w:w="1107" w:type="dxa"/>
            <w:tcBorders/>
            <w:vAlign w:val="center"/>
          </w:tcPr>
          <w:p>
            <w:pPr>
              <w:pStyle w:val="TableContents"/>
              <w:widowControl w:val="false"/>
              <w:suppressLineNumbers/>
              <w:bidi w:val="0"/>
              <w:jc w:val="left"/>
              <w:rPr/>
            </w:pPr>
            <w:r>
              <w:rPr/>
              <w:t>Istanbul</w:t>
            </w:r>
          </w:p>
        </w:tc>
        <w:tc>
          <w:tcPr>
            <w:tcW w:w="810" w:type="dxa"/>
            <w:tcBorders/>
            <w:vAlign w:val="center"/>
          </w:tcPr>
          <w:p>
            <w:pPr>
              <w:pStyle w:val="TableContents"/>
              <w:bidi w:val="0"/>
              <w:jc w:val="right"/>
              <w:rPr/>
            </w:pPr>
            <w:r>
              <w:rPr/>
              <w:t>212.1</w:t>
            </w:r>
          </w:p>
        </w:tc>
        <w:tc>
          <w:tcPr>
            <w:tcW w:w="810" w:type="dxa"/>
            <w:tcBorders/>
            <w:vAlign w:val="center"/>
          </w:tcPr>
          <w:p>
            <w:pPr>
              <w:pStyle w:val="TableContents"/>
              <w:bidi w:val="0"/>
              <w:jc w:val="right"/>
              <w:rPr/>
            </w:pPr>
            <w:r>
              <w:rPr/>
              <w:t>520.8</w:t>
            </w:r>
          </w:p>
        </w:tc>
        <w:tc>
          <w:tcPr>
            <w:tcW w:w="810" w:type="dxa"/>
            <w:tcBorders/>
            <w:vAlign w:val="center"/>
          </w:tcPr>
          <w:p>
            <w:pPr>
              <w:pStyle w:val="TableContents"/>
              <w:bidi w:val="0"/>
              <w:jc w:val="right"/>
              <w:rPr/>
            </w:pPr>
            <w:r>
              <w:rPr/>
              <w:t>202.4</w:t>
            </w:r>
          </w:p>
        </w:tc>
        <w:tc>
          <w:tcPr>
            <w:tcW w:w="646" w:type="dxa"/>
            <w:tcBorders/>
            <w:vAlign w:val="center"/>
          </w:tcPr>
          <w:p>
            <w:pPr>
              <w:pStyle w:val="TableContents"/>
              <w:bidi w:val="0"/>
              <w:jc w:val="right"/>
              <w:rPr/>
            </w:pPr>
            <w:r>
              <w:rPr/>
              <w:t>210.1</w:t>
            </w:r>
          </w:p>
        </w:tc>
        <w:tc>
          <w:tcPr>
            <w:tcW w:w="810" w:type="dxa"/>
            <w:tcBorders/>
            <w:vAlign w:val="center"/>
          </w:tcPr>
          <w:p>
            <w:pPr>
              <w:pStyle w:val="TableContents"/>
              <w:bidi w:val="0"/>
              <w:jc w:val="right"/>
              <w:rPr/>
            </w:pPr>
            <w:r>
              <w:rPr/>
              <w:t>207.4</w:t>
            </w:r>
          </w:p>
        </w:tc>
        <w:tc>
          <w:tcPr>
            <w:tcW w:w="646" w:type="dxa"/>
            <w:tcBorders/>
            <w:vAlign w:val="center"/>
          </w:tcPr>
          <w:p>
            <w:pPr>
              <w:pStyle w:val="TableContents"/>
              <w:bidi w:val="0"/>
              <w:jc w:val="right"/>
              <w:rPr/>
            </w:pPr>
            <w:r>
              <w:rPr/>
              <w:t>202.1</w:t>
            </w:r>
          </w:p>
        </w:tc>
        <w:tc>
          <w:tcPr>
            <w:tcW w:w="810" w:type="dxa"/>
            <w:tcBorders/>
            <w:vAlign w:val="center"/>
          </w:tcPr>
          <w:p>
            <w:pPr>
              <w:pStyle w:val="TableContents"/>
              <w:bidi w:val="0"/>
              <w:jc w:val="right"/>
              <w:rPr/>
            </w:pPr>
            <w:r>
              <w:rPr/>
              <w:t>257.4</w:t>
            </w:r>
          </w:p>
        </w:tc>
        <w:tc>
          <w:tcPr>
            <w:tcW w:w="646" w:type="dxa"/>
            <w:tcBorders/>
            <w:vAlign w:val="center"/>
          </w:tcPr>
          <w:p>
            <w:pPr>
              <w:pStyle w:val="TableContents"/>
              <w:bidi w:val="0"/>
              <w:jc w:val="right"/>
              <w:rPr/>
            </w:pPr>
            <w:r>
              <w:rPr/>
              <w:t>210.3</w:t>
            </w:r>
          </w:p>
        </w:tc>
        <w:tc>
          <w:tcPr>
            <w:tcW w:w="646" w:type="dxa"/>
            <w:tcBorders/>
            <w:vAlign w:val="center"/>
          </w:tcPr>
          <w:p>
            <w:pPr>
              <w:pStyle w:val="TableContents"/>
              <w:bidi w:val="0"/>
              <w:jc w:val="right"/>
              <w:rPr/>
            </w:pPr>
            <w:r>
              <w:rPr/>
              <w:t>197.1</w:t>
            </w:r>
          </w:p>
        </w:tc>
        <w:tc>
          <w:tcPr>
            <w:tcW w:w="646" w:type="dxa"/>
            <w:tcBorders/>
            <w:vAlign w:val="center"/>
          </w:tcPr>
          <w:p>
            <w:pPr>
              <w:pStyle w:val="TableContents"/>
              <w:bidi w:val="0"/>
              <w:jc w:val="right"/>
              <w:rPr/>
            </w:pPr>
            <w:r>
              <w:rPr/>
              <w:t>215.2</w:t>
            </w:r>
          </w:p>
        </w:tc>
        <w:tc>
          <w:tcPr>
            <w:tcW w:w="646" w:type="dxa"/>
            <w:tcBorders/>
            <w:vAlign w:val="center"/>
          </w:tcPr>
          <w:p>
            <w:pPr>
              <w:pStyle w:val="TableContents"/>
              <w:bidi w:val="0"/>
              <w:jc w:val="right"/>
              <w:rPr/>
            </w:pPr>
            <w:r>
              <w:rPr/>
              <w:t>192.6</w:t>
            </w:r>
          </w:p>
        </w:tc>
        <w:tc>
          <w:tcPr>
            <w:tcW w:w="646" w:type="dxa"/>
            <w:tcBorders/>
            <w:vAlign w:val="center"/>
          </w:tcPr>
          <w:p>
            <w:pPr>
              <w:pStyle w:val="TableContents"/>
              <w:bidi w:val="0"/>
              <w:jc w:val="right"/>
              <w:rPr/>
            </w:pPr>
            <w:r>
              <w:rPr/>
              <w:t>203.0</w:t>
            </w:r>
          </w:p>
        </w:tc>
        <w:tc>
          <w:tcPr>
            <w:tcW w:w="860" w:type="dxa"/>
            <w:tcBorders/>
            <w:vAlign w:val="center"/>
          </w:tcPr>
          <w:p>
            <w:pPr>
              <w:pStyle w:val="TableContents"/>
              <w:bidi w:val="0"/>
              <w:jc w:val="right"/>
              <w:rPr/>
            </w:pPr>
            <w:r>
              <w:rPr/>
              <w:t>244.5</w:t>
            </w:r>
          </w:p>
        </w:tc>
      </w:tr>
      <w:tr>
        <w:trPr/>
        <w:tc>
          <w:tcPr>
            <w:tcW w:w="1107" w:type="dxa"/>
            <w:tcBorders/>
            <w:vAlign w:val="center"/>
          </w:tcPr>
          <w:p>
            <w:pPr>
              <w:pStyle w:val="TableContents"/>
              <w:widowControl w:val="false"/>
              <w:suppressLineNumbers/>
              <w:bidi w:val="0"/>
              <w:jc w:val="left"/>
              <w:rPr/>
            </w:pPr>
            <w:r>
              <w:rPr/>
              <w:t>all ten</w:t>
            </w:r>
          </w:p>
        </w:tc>
        <w:tc>
          <w:tcPr>
            <w:tcW w:w="810" w:type="dxa"/>
            <w:tcBorders/>
            <w:vAlign w:val="center"/>
          </w:tcPr>
          <w:p>
            <w:pPr>
              <w:pStyle w:val="TableContents"/>
              <w:bidi w:val="0"/>
              <w:jc w:val="right"/>
              <w:rPr/>
            </w:pPr>
            <w:r>
              <w:rPr/>
              <w:t>346.8 [231.8; 2 out]</w:t>
            </w:r>
          </w:p>
        </w:tc>
        <w:tc>
          <w:tcPr>
            <w:tcW w:w="810" w:type="dxa"/>
            <w:tcBorders/>
            <w:vAlign w:val="center"/>
          </w:tcPr>
          <w:p>
            <w:pPr>
              <w:pStyle w:val="TableContents"/>
              <w:bidi w:val="0"/>
              <w:jc w:val="right"/>
              <w:rPr/>
            </w:pPr>
            <w:r>
              <w:rPr/>
              <w:t>267.9 [264.0; 1 out]</w:t>
            </w:r>
          </w:p>
        </w:tc>
        <w:tc>
          <w:tcPr>
            <w:tcW w:w="810" w:type="dxa"/>
            <w:tcBorders/>
            <w:vAlign w:val="center"/>
          </w:tcPr>
          <w:p>
            <w:pPr>
              <w:pStyle w:val="TableContents"/>
              <w:bidi w:val="0"/>
              <w:jc w:val="right"/>
              <w:rPr/>
            </w:pPr>
            <w:r>
              <w:rPr/>
              <w:t>200.3 [196.4; 1 out]</w:t>
            </w:r>
          </w:p>
        </w:tc>
        <w:tc>
          <w:tcPr>
            <w:tcW w:w="646" w:type="dxa"/>
            <w:tcBorders/>
            <w:vAlign w:val="center"/>
          </w:tcPr>
          <w:p>
            <w:pPr>
              <w:pStyle w:val="TableContents"/>
              <w:bidi w:val="0"/>
              <w:jc w:val="right"/>
              <w:rPr/>
            </w:pPr>
            <w:r>
              <w:rPr/>
              <w:t>188.3</w:t>
            </w:r>
          </w:p>
        </w:tc>
        <w:tc>
          <w:tcPr>
            <w:tcW w:w="810" w:type="dxa"/>
            <w:tcBorders/>
            <w:vAlign w:val="center"/>
          </w:tcPr>
          <w:p>
            <w:pPr>
              <w:pStyle w:val="TableContents"/>
              <w:bidi w:val="0"/>
              <w:jc w:val="right"/>
              <w:rPr/>
            </w:pPr>
            <w:r>
              <w:rPr/>
              <w:t>281.8 [195.9; 1 out]</w:t>
            </w:r>
          </w:p>
        </w:tc>
        <w:tc>
          <w:tcPr>
            <w:tcW w:w="646" w:type="dxa"/>
            <w:tcBorders/>
            <w:vAlign w:val="center"/>
          </w:tcPr>
          <w:p>
            <w:pPr>
              <w:pStyle w:val="TableContents"/>
              <w:bidi w:val="0"/>
              <w:jc w:val="right"/>
              <w:rPr/>
            </w:pPr>
            <w:r>
              <w:rPr/>
              <w:t>218.0</w:t>
            </w:r>
          </w:p>
        </w:tc>
        <w:tc>
          <w:tcPr>
            <w:tcW w:w="810" w:type="dxa"/>
            <w:tcBorders/>
            <w:vAlign w:val="center"/>
          </w:tcPr>
          <w:p>
            <w:pPr>
              <w:pStyle w:val="TableContents"/>
              <w:bidi w:val="0"/>
              <w:jc w:val="right"/>
              <w:rPr/>
            </w:pPr>
            <w:r>
              <w:rPr/>
              <w:t>311.7 [251.3; 2 out]</w:t>
            </w:r>
          </w:p>
        </w:tc>
        <w:tc>
          <w:tcPr>
            <w:tcW w:w="646" w:type="dxa"/>
            <w:tcBorders/>
            <w:vAlign w:val="center"/>
          </w:tcPr>
          <w:p>
            <w:pPr>
              <w:pStyle w:val="TableContents"/>
              <w:bidi w:val="0"/>
              <w:jc w:val="right"/>
              <w:rPr/>
            </w:pPr>
            <w:r>
              <w:rPr/>
              <w:t>216.3</w:t>
            </w:r>
          </w:p>
        </w:tc>
        <w:tc>
          <w:tcPr>
            <w:tcW w:w="646" w:type="dxa"/>
            <w:tcBorders/>
            <w:vAlign w:val="center"/>
          </w:tcPr>
          <w:p>
            <w:pPr>
              <w:pStyle w:val="TableContents"/>
              <w:bidi w:val="0"/>
              <w:jc w:val="right"/>
              <w:rPr/>
            </w:pPr>
            <w:r>
              <w:rPr/>
              <w:t>211.8</w:t>
            </w:r>
          </w:p>
        </w:tc>
        <w:tc>
          <w:tcPr>
            <w:tcW w:w="646" w:type="dxa"/>
            <w:tcBorders/>
            <w:vAlign w:val="center"/>
          </w:tcPr>
          <w:p>
            <w:pPr>
              <w:pStyle w:val="TableContents"/>
              <w:bidi w:val="0"/>
              <w:jc w:val="right"/>
              <w:rPr/>
            </w:pPr>
            <w:r>
              <w:rPr/>
              <w:t>211.4</w:t>
            </w:r>
          </w:p>
        </w:tc>
        <w:tc>
          <w:tcPr>
            <w:tcW w:w="646" w:type="dxa"/>
            <w:tcBorders/>
            <w:vAlign w:val="center"/>
          </w:tcPr>
          <w:p>
            <w:pPr>
              <w:pStyle w:val="TableContents"/>
              <w:bidi w:val="0"/>
              <w:jc w:val="right"/>
              <w:rPr/>
            </w:pPr>
            <w:r>
              <w:rPr/>
              <w:t>210.3</w:t>
            </w:r>
          </w:p>
        </w:tc>
        <w:tc>
          <w:tcPr>
            <w:tcW w:w="646" w:type="dxa"/>
            <w:tcBorders/>
            <w:vAlign w:val="center"/>
          </w:tcPr>
          <w:p>
            <w:pPr>
              <w:pStyle w:val="TableContents"/>
              <w:bidi w:val="0"/>
              <w:jc w:val="right"/>
              <w:rPr/>
            </w:pPr>
            <w:r>
              <w:rPr/>
              <w:t>213.6</w:t>
            </w:r>
          </w:p>
        </w:tc>
        <w:tc>
          <w:tcPr>
            <w:tcW w:w="860" w:type="dxa"/>
            <w:tcBorders/>
            <w:vAlign w:val="center"/>
          </w:tcPr>
          <w:p>
            <w:pPr>
              <w:pStyle w:val="TableContents"/>
              <w:bidi w:val="0"/>
              <w:jc w:val="right"/>
              <w:rPr/>
            </w:pPr>
            <w:r>
              <w:rPr/>
              <w:t>243.7 [217.8; 7 out]</w:t>
            </w:r>
          </w:p>
        </w:tc>
      </w:tr>
    </w:tbl>
    <w:p>
      <w:pPr>
        <w:pStyle w:val="BodyText"/>
        <w:bidi w:val="0"/>
        <w:jc w:val="left"/>
        <w:rPr/>
      </w:pPr>
      <w:r>
        <w:rPr/>
        <w:t>Six airports, Frankfurt, Munich, Heathrow, Schiphol, Barcelona and Madrid, pool to between 173.4 and 237.1 s over the year. Heathrow is the widest of the six, and its July, at 301.4 s, is the widest of their months, which §9.5 reads. Three airports carry the year's day-shift rows: at Paris in January, Zurich in May and Fiumicino in July, one recorded taxi-out of a day or more decides the cell, and the bracket beside it says what the cell reads without it. Istanbul's February 2025 is the one cell above 500 s that no single row explains: 520.8 s, with no row over four hours and a bias of −92 s. That month froze for 22.6% of its hours against a 2015 to 2024 range of 0.0% to 16.7%, and had precipitation in 39.1% against 9.1% to 23.5% (§7.3, Annex G). Fiumicino runs from 275.8 to 386.6 s in its other eleven months, the widest band of the ten, and it is where the last three blocks of the chain gain the most (§9.5).</w:t>
      </w:r>
    </w:p>
    <w:p>
      <w:pPr>
        <w:pStyle w:val="BodyText"/>
        <w:bidi w:val="0"/>
        <w:jc w:val="left"/>
        <w:rPr/>
      </w:pPr>
      <w:r>
        <w:rPr/>
        <w:t>On the forward splits, per airport and on the ladder's single seed, the three (Frankfurt, Heathrow and Schiphol, a third of the test rows) score 203.5 s in December and 235.1 in July. Frankfurt is 188.4 and 189.7; Schiphol 174.1 and 182.4; Heathrow, the widest of the three, 239.4 and 314.4. Six of the other seven run from Madrid's 170.5 to Paris's 252.5 in December, and from Munich's 189.2 to Barcelona's 269.9 in July. Fiumicino is the airport the term exists for: 294.4 s in December and 814.5 in July without its rows, 1,131.9 and 2,043.6 with them and no term. The per-airport claim contrast is positive and clear of zero at all ten airports, from +9.0 s [+6.0, +11.9] at Schiphol to +30.7 s [+23.4, +38.0] at Frankfurt, which is also the airport with the largest never-seen share after Munich (§5.4).</w:t>
      </w:r>
    </w:p>
    <w:tbl>
      <w:tblPr>
        <w:tblW w:w="10539" w:type="dxa"/>
        <w:jc w:val="left"/>
        <w:tblInd w:w="28" w:type="dxa"/>
        <w:tblLayout w:type="fixed"/>
        <w:tblCellMar>
          <w:top w:w="28" w:type="dxa"/>
          <w:left w:w="28" w:type="dxa"/>
          <w:bottom w:w="28" w:type="dxa"/>
          <w:right w:w="28" w:type="dxa"/>
        </w:tblCellMar>
      </w:tblPr>
      <w:tblGrid>
        <w:gridCol w:w="1107"/>
        <w:gridCol w:w="1436"/>
        <w:gridCol w:w="1359"/>
        <w:gridCol w:w="1021"/>
        <w:gridCol w:w="760"/>
        <w:gridCol w:w="1953"/>
        <w:gridCol w:w="1484"/>
        <w:gridCol w:w="1419"/>
      </w:tblGrid>
      <w:tr>
        <w:trPr>
          <w:tblHeader w:val="true"/>
        </w:trPr>
        <w:tc>
          <w:tcPr>
            <w:tcW w:w="1107" w:type="dxa"/>
            <w:tcBorders/>
            <w:vAlign w:val="center"/>
          </w:tcPr>
          <w:p>
            <w:pPr>
              <w:pStyle w:val="TableHeading"/>
              <w:suppressLineNumbers/>
              <w:bidi w:val="0"/>
              <w:jc w:val="center"/>
              <w:rPr/>
            </w:pPr>
            <w:r>
              <w:rPr/>
              <w:t>airport</w:t>
            </w:r>
          </w:p>
        </w:tc>
        <w:tc>
          <w:tcPr>
            <w:tcW w:w="1436" w:type="dxa"/>
            <w:tcBorders/>
            <w:vAlign w:val="center"/>
          </w:tcPr>
          <w:p>
            <w:pPr>
              <w:pStyle w:val="TableHeading"/>
              <w:bidi w:val="0"/>
              <w:jc w:val="right"/>
              <w:rPr/>
            </w:pPr>
            <w:r>
              <w:rPr/>
              <w:t>December RMSE (s)</w:t>
            </w:r>
          </w:p>
        </w:tc>
        <w:tc>
          <w:tcPr>
            <w:tcW w:w="1359" w:type="dxa"/>
            <w:tcBorders/>
            <w:vAlign w:val="center"/>
          </w:tcPr>
          <w:p>
            <w:pPr>
              <w:pStyle w:val="TableHeading"/>
              <w:bidi w:val="0"/>
              <w:jc w:val="right"/>
              <w:rPr/>
            </w:pPr>
            <w:r>
              <w:rPr/>
              <w:t>December bias (s)</w:t>
            </w:r>
          </w:p>
        </w:tc>
        <w:tc>
          <w:tcPr>
            <w:tcW w:w="1021" w:type="dxa"/>
            <w:tcBorders/>
            <w:vAlign w:val="center"/>
          </w:tcPr>
          <w:p>
            <w:pPr>
              <w:pStyle w:val="TableHeading"/>
              <w:bidi w:val="0"/>
              <w:jc w:val="right"/>
              <w:rPr/>
            </w:pPr>
            <w:r>
              <w:rPr/>
              <w:t>July RMSE (s)</w:t>
            </w:r>
          </w:p>
        </w:tc>
        <w:tc>
          <w:tcPr>
            <w:tcW w:w="760" w:type="dxa"/>
            <w:tcBorders/>
            <w:vAlign w:val="center"/>
          </w:tcPr>
          <w:p>
            <w:pPr>
              <w:pStyle w:val="TableHeading"/>
              <w:bidi w:val="0"/>
              <w:jc w:val="right"/>
              <w:rPr/>
            </w:pPr>
            <w:r>
              <w:rPr/>
              <w:t>July bias (s)</w:t>
            </w:r>
          </w:p>
        </w:tc>
        <w:tc>
          <w:tcPr>
            <w:tcW w:w="1953" w:type="dxa"/>
            <w:tcBorders/>
            <w:vAlign w:val="center"/>
          </w:tcPr>
          <w:p>
            <w:pPr>
              <w:pStyle w:val="TableHeading"/>
              <w:bidi w:val="0"/>
              <w:jc w:val="right"/>
              <w:rPr/>
            </w:pPr>
            <w:r>
              <w:rPr/>
              <w:t>held-out-pair difference [95%]</w:t>
            </w:r>
          </w:p>
        </w:tc>
        <w:tc>
          <w:tcPr>
            <w:tcW w:w="1484" w:type="dxa"/>
            <w:tcBorders/>
            <w:vAlign w:val="center"/>
          </w:tcPr>
          <w:p>
            <w:pPr>
              <w:pStyle w:val="TableHeading"/>
              <w:bidi w:val="0"/>
              <w:jc w:val="right"/>
              <w:rPr/>
            </w:pPr>
            <w:r>
              <w:rPr/>
              <w:t>ranking rows, January 2026</w:t>
            </w:r>
          </w:p>
        </w:tc>
        <w:tc>
          <w:tcPr>
            <w:tcW w:w="1419" w:type="dxa"/>
            <w:tcBorders/>
            <w:vAlign w:val="center"/>
          </w:tcPr>
          <w:p>
            <w:pPr>
              <w:pStyle w:val="TableHeading"/>
              <w:bidi w:val="0"/>
              <w:jc w:val="right"/>
              <w:rPr/>
            </w:pPr>
            <w:r>
              <w:rPr/>
              <w:t>ranking rows, July 2026</w:t>
            </w:r>
          </w:p>
        </w:tc>
      </w:tr>
      <w:tr>
        <w:trPr/>
        <w:tc>
          <w:tcPr>
            <w:tcW w:w="1107" w:type="dxa"/>
            <w:tcBorders/>
            <w:vAlign w:val="center"/>
          </w:tcPr>
          <w:p>
            <w:pPr>
              <w:pStyle w:val="TableContents"/>
              <w:widowControl w:val="false"/>
              <w:suppressLineNumbers/>
              <w:bidi w:val="0"/>
              <w:jc w:val="left"/>
              <w:rPr/>
            </w:pPr>
            <w:r>
              <w:rPr/>
              <w:t>Frankfurt</w:t>
            </w:r>
          </w:p>
        </w:tc>
        <w:tc>
          <w:tcPr>
            <w:tcW w:w="1436" w:type="dxa"/>
            <w:tcBorders/>
            <w:vAlign w:val="center"/>
          </w:tcPr>
          <w:p>
            <w:pPr>
              <w:pStyle w:val="TableContents"/>
              <w:bidi w:val="0"/>
              <w:jc w:val="right"/>
              <w:rPr/>
            </w:pPr>
            <w:r>
              <w:rPr/>
              <w:t>188.4</w:t>
            </w:r>
          </w:p>
        </w:tc>
        <w:tc>
          <w:tcPr>
            <w:tcW w:w="1359" w:type="dxa"/>
            <w:tcBorders/>
            <w:vAlign w:val="center"/>
          </w:tcPr>
          <w:p>
            <w:pPr>
              <w:pStyle w:val="TableContents"/>
              <w:bidi w:val="0"/>
              <w:jc w:val="right"/>
              <w:rPr/>
            </w:pPr>
            <w:r>
              <w:rPr/>
              <w:t>+17</w:t>
            </w:r>
          </w:p>
        </w:tc>
        <w:tc>
          <w:tcPr>
            <w:tcW w:w="1021" w:type="dxa"/>
            <w:tcBorders/>
            <w:vAlign w:val="center"/>
          </w:tcPr>
          <w:p>
            <w:pPr>
              <w:pStyle w:val="TableContents"/>
              <w:bidi w:val="0"/>
              <w:jc w:val="right"/>
              <w:rPr/>
            </w:pPr>
            <w:r>
              <w:rPr/>
              <w:t>189.7</w:t>
            </w:r>
          </w:p>
        </w:tc>
        <w:tc>
          <w:tcPr>
            <w:tcW w:w="760" w:type="dxa"/>
            <w:tcBorders/>
            <w:vAlign w:val="center"/>
          </w:tcPr>
          <w:p>
            <w:pPr>
              <w:pStyle w:val="TableContents"/>
              <w:bidi w:val="0"/>
              <w:jc w:val="right"/>
              <w:rPr/>
            </w:pPr>
            <w:r>
              <w:rPr/>
              <w:t>+13</w:t>
            </w:r>
          </w:p>
        </w:tc>
        <w:tc>
          <w:tcPr>
            <w:tcW w:w="1953" w:type="dxa"/>
            <w:tcBorders/>
            <w:vAlign w:val="center"/>
          </w:tcPr>
          <w:p>
            <w:pPr>
              <w:pStyle w:val="TableContents"/>
              <w:bidi w:val="0"/>
              <w:jc w:val="right"/>
              <w:rPr/>
            </w:pPr>
            <w:r>
              <w:rPr/>
              <w:t>+30.7 [+23.4, +38.0]</w:t>
            </w:r>
          </w:p>
        </w:tc>
        <w:tc>
          <w:tcPr>
            <w:tcW w:w="1484" w:type="dxa"/>
            <w:tcBorders/>
            <w:vAlign w:val="center"/>
          </w:tcPr>
          <w:p>
            <w:pPr>
              <w:pStyle w:val="TableContents"/>
              <w:bidi w:val="0"/>
              <w:jc w:val="right"/>
              <w:rPr/>
            </w:pPr>
            <w:r>
              <w:rPr/>
              <w:t>15,667</w:t>
            </w:r>
          </w:p>
        </w:tc>
        <w:tc>
          <w:tcPr>
            <w:tcW w:w="1419" w:type="dxa"/>
            <w:tcBorders/>
            <w:vAlign w:val="center"/>
          </w:tcPr>
          <w:p>
            <w:pPr>
              <w:pStyle w:val="TableContents"/>
              <w:bidi w:val="0"/>
              <w:jc w:val="right"/>
              <w:rPr/>
            </w:pPr>
            <w:r>
              <w:rPr/>
              <w:t>20,650</w:t>
            </w:r>
          </w:p>
        </w:tc>
      </w:tr>
      <w:tr>
        <w:trPr/>
        <w:tc>
          <w:tcPr>
            <w:tcW w:w="1107" w:type="dxa"/>
            <w:tcBorders/>
            <w:vAlign w:val="center"/>
          </w:tcPr>
          <w:p>
            <w:pPr>
              <w:pStyle w:val="TableContents"/>
              <w:widowControl w:val="false"/>
              <w:suppressLineNumbers/>
              <w:bidi w:val="0"/>
              <w:jc w:val="left"/>
              <w:rPr/>
            </w:pPr>
            <w:r>
              <w:rPr/>
              <w:t>Munich</w:t>
            </w:r>
          </w:p>
        </w:tc>
        <w:tc>
          <w:tcPr>
            <w:tcW w:w="1436" w:type="dxa"/>
            <w:tcBorders/>
            <w:vAlign w:val="center"/>
          </w:tcPr>
          <w:p>
            <w:pPr>
              <w:pStyle w:val="TableContents"/>
              <w:bidi w:val="0"/>
              <w:jc w:val="right"/>
              <w:rPr/>
            </w:pPr>
            <w:r>
              <w:rPr/>
              <w:t>244.7</w:t>
            </w:r>
          </w:p>
        </w:tc>
        <w:tc>
          <w:tcPr>
            <w:tcW w:w="1359" w:type="dxa"/>
            <w:tcBorders/>
            <w:vAlign w:val="center"/>
          </w:tcPr>
          <w:p>
            <w:pPr>
              <w:pStyle w:val="TableContents"/>
              <w:bidi w:val="0"/>
              <w:jc w:val="right"/>
              <w:rPr/>
            </w:pPr>
            <w:r>
              <w:rPr/>
              <w:t>+11</w:t>
            </w:r>
          </w:p>
        </w:tc>
        <w:tc>
          <w:tcPr>
            <w:tcW w:w="1021" w:type="dxa"/>
            <w:tcBorders/>
            <w:vAlign w:val="center"/>
          </w:tcPr>
          <w:p>
            <w:pPr>
              <w:pStyle w:val="TableContents"/>
              <w:bidi w:val="0"/>
              <w:jc w:val="right"/>
              <w:rPr/>
            </w:pPr>
            <w:r>
              <w:rPr/>
              <w:t>189.2</w:t>
            </w:r>
          </w:p>
        </w:tc>
        <w:tc>
          <w:tcPr>
            <w:tcW w:w="760" w:type="dxa"/>
            <w:tcBorders/>
            <w:vAlign w:val="center"/>
          </w:tcPr>
          <w:p>
            <w:pPr>
              <w:pStyle w:val="TableContents"/>
              <w:bidi w:val="0"/>
              <w:jc w:val="right"/>
              <w:rPr/>
            </w:pPr>
            <w:r>
              <w:rPr/>
              <w:t>−</w:t>
            </w:r>
            <w:r>
              <w:rPr/>
              <w:t>17</w:t>
            </w:r>
          </w:p>
        </w:tc>
        <w:tc>
          <w:tcPr>
            <w:tcW w:w="1953" w:type="dxa"/>
            <w:tcBorders/>
            <w:vAlign w:val="center"/>
          </w:tcPr>
          <w:p>
            <w:pPr>
              <w:pStyle w:val="TableContents"/>
              <w:bidi w:val="0"/>
              <w:jc w:val="right"/>
              <w:rPr/>
            </w:pPr>
            <w:r>
              <w:rPr/>
              <w:t>+10.8 [+7.2, +15.5]</w:t>
            </w:r>
          </w:p>
        </w:tc>
        <w:tc>
          <w:tcPr>
            <w:tcW w:w="1484" w:type="dxa"/>
            <w:tcBorders/>
            <w:vAlign w:val="center"/>
          </w:tcPr>
          <w:p>
            <w:pPr>
              <w:pStyle w:val="TableContents"/>
              <w:bidi w:val="0"/>
              <w:jc w:val="right"/>
              <w:rPr/>
            </w:pPr>
            <w:r>
              <w:rPr/>
              <w:t>10,953</w:t>
            </w:r>
          </w:p>
        </w:tc>
        <w:tc>
          <w:tcPr>
            <w:tcW w:w="1419" w:type="dxa"/>
            <w:tcBorders/>
            <w:vAlign w:val="center"/>
          </w:tcPr>
          <w:p>
            <w:pPr>
              <w:pStyle w:val="TableContents"/>
              <w:bidi w:val="0"/>
              <w:jc w:val="right"/>
              <w:rPr/>
            </w:pPr>
            <w:r>
              <w:rPr/>
              <w:t>15,013</w:t>
            </w:r>
          </w:p>
        </w:tc>
      </w:tr>
      <w:tr>
        <w:trPr/>
        <w:tc>
          <w:tcPr>
            <w:tcW w:w="1107" w:type="dxa"/>
            <w:tcBorders/>
            <w:vAlign w:val="center"/>
          </w:tcPr>
          <w:p>
            <w:pPr>
              <w:pStyle w:val="TableContents"/>
              <w:widowControl w:val="false"/>
              <w:suppressLineNumbers/>
              <w:bidi w:val="0"/>
              <w:jc w:val="left"/>
              <w:rPr/>
            </w:pPr>
            <w:r>
              <w:rPr/>
              <w:t>Heathrow</w:t>
            </w:r>
          </w:p>
        </w:tc>
        <w:tc>
          <w:tcPr>
            <w:tcW w:w="1436" w:type="dxa"/>
            <w:tcBorders/>
            <w:vAlign w:val="center"/>
          </w:tcPr>
          <w:p>
            <w:pPr>
              <w:pStyle w:val="TableContents"/>
              <w:bidi w:val="0"/>
              <w:jc w:val="right"/>
              <w:rPr/>
            </w:pPr>
            <w:r>
              <w:rPr/>
              <w:t>239.4</w:t>
            </w:r>
          </w:p>
        </w:tc>
        <w:tc>
          <w:tcPr>
            <w:tcW w:w="1359" w:type="dxa"/>
            <w:tcBorders/>
            <w:vAlign w:val="center"/>
          </w:tcPr>
          <w:p>
            <w:pPr>
              <w:pStyle w:val="TableContents"/>
              <w:bidi w:val="0"/>
              <w:jc w:val="right"/>
              <w:rPr/>
            </w:pPr>
            <w:r>
              <w:rPr/>
              <w:t>+21</w:t>
            </w:r>
          </w:p>
        </w:tc>
        <w:tc>
          <w:tcPr>
            <w:tcW w:w="1021" w:type="dxa"/>
            <w:tcBorders/>
            <w:vAlign w:val="center"/>
          </w:tcPr>
          <w:p>
            <w:pPr>
              <w:pStyle w:val="TableContents"/>
              <w:bidi w:val="0"/>
              <w:jc w:val="right"/>
              <w:rPr/>
            </w:pPr>
            <w:r>
              <w:rPr/>
              <w:t>314.4</w:t>
            </w:r>
          </w:p>
        </w:tc>
        <w:tc>
          <w:tcPr>
            <w:tcW w:w="760" w:type="dxa"/>
            <w:tcBorders/>
            <w:vAlign w:val="center"/>
          </w:tcPr>
          <w:p>
            <w:pPr>
              <w:pStyle w:val="TableContents"/>
              <w:bidi w:val="0"/>
              <w:jc w:val="right"/>
              <w:rPr/>
            </w:pPr>
            <w:r>
              <w:rPr/>
              <w:t>+22</w:t>
            </w:r>
          </w:p>
        </w:tc>
        <w:tc>
          <w:tcPr>
            <w:tcW w:w="1953" w:type="dxa"/>
            <w:tcBorders/>
            <w:vAlign w:val="center"/>
          </w:tcPr>
          <w:p>
            <w:pPr>
              <w:pStyle w:val="TableContents"/>
              <w:bidi w:val="0"/>
              <w:jc w:val="right"/>
              <w:rPr/>
            </w:pPr>
            <w:r>
              <w:rPr/>
              <w:t>+16.4 [+13.4, +19.6]</w:t>
            </w:r>
          </w:p>
        </w:tc>
        <w:tc>
          <w:tcPr>
            <w:tcW w:w="1484" w:type="dxa"/>
            <w:tcBorders/>
            <w:vAlign w:val="center"/>
          </w:tcPr>
          <w:p>
            <w:pPr>
              <w:pStyle w:val="TableContents"/>
              <w:bidi w:val="0"/>
              <w:jc w:val="right"/>
              <w:rPr/>
            </w:pPr>
            <w:r>
              <w:rPr/>
              <w:t>19,283</w:t>
            </w:r>
          </w:p>
        </w:tc>
        <w:tc>
          <w:tcPr>
            <w:tcW w:w="1419" w:type="dxa"/>
            <w:tcBorders/>
            <w:vAlign w:val="center"/>
          </w:tcPr>
          <w:p>
            <w:pPr>
              <w:pStyle w:val="TableContents"/>
              <w:bidi w:val="0"/>
              <w:jc w:val="right"/>
              <w:rPr/>
            </w:pPr>
            <w:r>
              <w:rPr/>
              <w:t>20,557</w:t>
            </w:r>
          </w:p>
        </w:tc>
      </w:tr>
      <w:tr>
        <w:trPr/>
        <w:tc>
          <w:tcPr>
            <w:tcW w:w="1107" w:type="dxa"/>
            <w:tcBorders/>
            <w:vAlign w:val="center"/>
          </w:tcPr>
          <w:p>
            <w:pPr>
              <w:pStyle w:val="TableContents"/>
              <w:widowControl w:val="false"/>
              <w:suppressLineNumbers/>
              <w:bidi w:val="0"/>
              <w:jc w:val="left"/>
              <w:rPr/>
            </w:pPr>
            <w:r>
              <w:rPr/>
              <w:t>Schiphol</w:t>
            </w:r>
          </w:p>
        </w:tc>
        <w:tc>
          <w:tcPr>
            <w:tcW w:w="1436" w:type="dxa"/>
            <w:tcBorders/>
            <w:vAlign w:val="center"/>
          </w:tcPr>
          <w:p>
            <w:pPr>
              <w:pStyle w:val="TableContents"/>
              <w:bidi w:val="0"/>
              <w:jc w:val="right"/>
              <w:rPr/>
            </w:pPr>
            <w:r>
              <w:rPr/>
              <w:t>174.1</w:t>
            </w:r>
          </w:p>
        </w:tc>
        <w:tc>
          <w:tcPr>
            <w:tcW w:w="1359" w:type="dxa"/>
            <w:tcBorders/>
            <w:vAlign w:val="center"/>
          </w:tcPr>
          <w:p>
            <w:pPr>
              <w:pStyle w:val="TableContents"/>
              <w:bidi w:val="0"/>
              <w:jc w:val="right"/>
              <w:rPr/>
            </w:pPr>
            <w:r>
              <w:rPr/>
              <w:t>+15</w:t>
            </w:r>
          </w:p>
        </w:tc>
        <w:tc>
          <w:tcPr>
            <w:tcW w:w="1021" w:type="dxa"/>
            <w:tcBorders/>
            <w:vAlign w:val="center"/>
          </w:tcPr>
          <w:p>
            <w:pPr>
              <w:pStyle w:val="TableContents"/>
              <w:bidi w:val="0"/>
              <w:jc w:val="right"/>
              <w:rPr/>
            </w:pPr>
            <w:r>
              <w:rPr/>
              <w:t>182.4</w:t>
            </w:r>
          </w:p>
        </w:tc>
        <w:tc>
          <w:tcPr>
            <w:tcW w:w="760" w:type="dxa"/>
            <w:tcBorders/>
            <w:vAlign w:val="center"/>
          </w:tcPr>
          <w:p>
            <w:pPr>
              <w:pStyle w:val="TableContents"/>
              <w:bidi w:val="0"/>
              <w:jc w:val="right"/>
              <w:rPr/>
            </w:pPr>
            <w:r>
              <w:rPr/>
              <w:t>+13</w:t>
            </w:r>
          </w:p>
        </w:tc>
        <w:tc>
          <w:tcPr>
            <w:tcW w:w="1953" w:type="dxa"/>
            <w:tcBorders/>
            <w:vAlign w:val="center"/>
          </w:tcPr>
          <w:p>
            <w:pPr>
              <w:pStyle w:val="TableContents"/>
              <w:bidi w:val="0"/>
              <w:jc w:val="right"/>
              <w:rPr/>
            </w:pPr>
            <w:r>
              <w:rPr/>
              <w:t>+9.0 [+6.0, +11.9]</w:t>
            </w:r>
          </w:p>
        </w:tc>
        <w:tc>
          <w:tcPr>
            <w:tcW w:w="1484" w:type="dxa"/>
            <w:tcBorders/>
            <w:vAlign w:val="center"/>
          </w:tcPr>
          <w:p>
            <w:pPr>
              <w:pStyle w:val="TableContents"/>
              <w:bidi w:val="0"/>
              <w:jc w:val="right"/>
              <w:rPr/>
            </w:pPr>
            <w:r>
              <w:rPr/>
              <w:t>16,232</w:t>
            </w:r>
          </w:p>
        </w:tc>
        <w:tc>
          <w:tcPr>
            <w:tcW w:w="1419" w:type="dxa"/>
            <w:tcBorders/>
            <w:vAlign w:val="center"/>
          </w:tcPr>
          <w:p>
            <w:pPr>
              <w:pStyle w:val="TableContents"/>
              <w:bidi w:val="0"/>
              <w:jc w:val="right"/>
              <w:rPr/>
            </w:pPr>
            <w:r>
              <w:rPr/>
              <w:t>21,950</w:t>
            </w:r>
          </w:p>
        </w:tc>
      </w:tr>
      <w:tr>
        <w:trPr/>
        <w:tc>
          <w:tcPr>
            <w:tcW w:w="1107" w:type="dxa"/>
            <w:tcBorders/>
            <w:vAlign w:val="center"/>
          </w:tcPr>
          <w:p>
            <w:pPr>
              <w:pStyle w:val="TableContents"/>
              <w:widowControl w:val="false"/>
              <w:suppressLineNumbers/>
              <w:bidi w:val="0"/>
              <w:jc w:val="left"/>
              <w:rPr/>
            </w:pPr>
            <w:r>
              <w:rPr/>
              <w:t>Barcelona</w:t>
            </w:r>
          </w:p>
        </w:tc>
        <w:tc>
          <w:tcPr>
            <w:tcW w:w="1436" w:type="dxa"/>
            <w:tcBorders/>
            <w:vAlign w:val="center"/>
          </w:tcPr>
          <w:p>
            <w:pPr>
              <w:pStyle w:val="TableContents"/>
              <w:bidi w:val="0"/>
              <w:jc w:val="right"/>
              <w:rPr/>
            </w:pPr>
            <w:r>
              <w:rPr/>
              <w:t>180.1</w:t>
            </w:r>
          </w:p>
        </w:tc>
        <w:tc>
          <w:tcPr>
            <w:tcW w:w="1359" w:type="dxa"/>
            <w:tcBorders/>
            <w:vAlign w:val="center"/>
          </w:tcPr>
          <w:p>
            <w:pPr>
              <w:pStyle w:val="TableContents"/>
              <w:bidi w:val="0"/>
              <w:jc w:val="right"/>
              <w:rPr/>
            </w:pPr>
            <w:r>
              <w:rPr/>
              <w:t>−</w:t>
            </w:r>
            <w:r>
              <w:rPr/>
              <w:t>1</w:t>
            </w:r>
          </w:p>
        </w:tc>
        <w:tc>
          <w:tcPr>
            <w:tcW w:w="1021" w:type="dxa"/>
            <w:tcBorders/>
            <w:vAlign w:val="center"/>
          </w:tcPr>
          <w:p>
            <w:pPr>
              <w:pStyle w:val="TableContents"/>
              <w:bidi w:val="0"/>
              <w:jc w:val="right"/>
              <w:rPr/>
            </w:pPr>
            <w:r>
              <w:rPr/>
              <w:t>269.9</w:t>
            </w:r>
          </w:p>
        </w:tc>
        <w:tc>
          <w:tcPr>
            <w:tcW w:w="760" w:type="dxa"/>
            <w:tcBorders/>
            <w:vAlign w:val="center"/>
          </w:tcPr>
          <w:p>
            <w:pPr>
              <w:pStyle w:val="TableContents"/>
              <w:bidi w:val="0"/>
              <w:jc w:val="right"/>
              <w:rPr/>
            </w:pPr>
            <w:r>
              <w:rPr/>
              <w:t>−</w:t>
            </w:r>
            <w:r>
              <w:rPr/>
              <w:t>12</w:t>
            </w:r>
          </w:p>
        </w:tc>
        <w:tc>
          <w:tcPr>
            <w:tcW w:w="1953" w:type="dxa"/>
            <w:tcBorders/>
            <w:vAlign w:val="center"/>
          </w:tcPr>
          <w:p>
            <w:pPr>
              <w:pStyle w:val="TableContents"/>
              <w:bidi w:val="0"/>
              <w:jc w:val="right"/>
              <w:rPr/>
            </w:pPr>
            <w:r>
              <w:rPr/>
              <w:t>+9.3 [+2.3, +16.3]</w:t>
            </w:r>
          </w:p>
        </w:tc>
        <w:tc>
          <w:tcPr>
            <w:tcW w:w="1484" w:type="dxa"/>
            <w:tcBorders/>
            <w:vAlign w:val="center"/>
          </w:tcPr>
          <w:p>
            <w:pPr>
              <w:pStyle w:val="TableContents"/>
              <w:bidi w:val="0"/>
              <w:jc w:val="right"/>
              <w:rPr/>
            </w:pPr>
            <w:r>
              <w:rPr/>
              <w:t>12,201</w:t>
            </w:r>
          </w:p>
        </w:tc>
        <w:tc>
          <w:tcPr>
            <w:tcW w:w="1419" w:type="dxa"/>
            <w:tcBorders/>
            <w:vAlign w:val="center"/>
          </w:tcPr>
          <w:p>
            <w:pPr>
              <w:pStyle w:val="TableContents"/>
              <w:bidi w:val="0"/>
              <w:jc w:val="right"/>
              <w:rPr/>
            </w:pPr>
            <w:r>
              <w:rPr/>
              <w:t>17,879</w:t>
            </w:r>
          </w:p>
        </w:tc>
      </w:tr>
      <w:tr>
        <w:trPr/>
        <w:tc>
          <w:tcPr>
            <w:tcW w:w="1107" w:type="dxa"/>
            <w:tcBorders/>
            <w:vAlign w:val="center"/>
          </w:tcPr>
          <w:p>
            <w:pPr>
              <w:pStyle w:val="TableContents"/>
              <w:widowControl w:val="false"/>
              <w:suppressLineNumbers/>
              <w:bidi w:val="0"/>
              <w:jc w:val="left"/>
              <w:rPr/>
            </w:pPr>
            <w:r>
              <w:rPr/>
              <w:t>Madrid</w:t>
            </w:r>
          </w:p>
        </w:tc>
        <w:tc>
          <w:tcPr>
            <w:tcW w:w="1436" w:type="dxa"/>
            <w:tcBorders/>
            <w:vAlign w:val="center"/>
          </w:tcPr>
          <w:p>
            <w:pPr>
              <w:pStyle w:val="TableContents"/>
              <w:bidi w:val="0"/>
              <w:jc w:val="right"/>
              <w:rPr/>
            </w:pPr>
            <w:r>
              <w:rPr/>
              <w:t>170.5</w:t>
            </w:r>
          </w:p>
        </w:tc>
        <w:tc>
          <w:tcPr>
            <w:tcW w:w="1359" w:type="dxa"/>
            <w:tcBorders/>
            <w:vAlign w:val="center"/>
          </w:tcPr>
          <w:p>
            <w:pPr>
              <w:pStyle w:val="TableContents"/>
              <w:bidi w:val="0"/>
              <w:jc w:val="right"/>
              <w:rPr/>
            </w:pPr>
            <w:r>
              <w:rPr/>
              <w:t>+3</w:t>
            </w:r>
          </w:p>
        </w:tc>
        <w:tc>
          <w:tcPr>
            <w:tcW w:w="1021" w:type="dxa"/>
            <w:tcBorders/>
            <w:vAlign w:val="center"/>
          </w:tcPr>
          <w:p>
            <w:pPr>
              <w:pStyle w:val="TableContents"/>
              <w:bidi w:val="0"/>
              <w:jc w:val="right"/>
              <w:rPr/>
            </w:pPr>
            <w:r>
              <w:rPr/>
              <w:t>199.6</w:t>
            </w:r>
          </w:p>
        </w:tc>
        <w:tc>
          <w:tcPr>
            <w:tcW w:w="760" w:type="dxa"/>
            <w:tcBorders/>
            <w:vAlign w:val="center"/>
          </w:tcPr>
          <w:p>
            <w:pPr>
              <w:pStyle w:val="TableContents"/>
              <w:bidi w:val="0"/>
              <w:jc w:val="right"/>
              <w:rPr/>
            </w:pPr>
            <w:r>
              <w:rPr/>
              <w:t>+18</w:t>
            </w:r>
          </w:p>
        </w:tc>
        <w:tc>
          <w:tcPr>
            <w:tcW w:w="1953" w:type="dxa"/>
            <w:tcBorders/>
            <w:vAlign w:val="center"/>
          </w:tcPr>
          <w:p>
            <w:pPr>
              <w:pStyle w:val="TableContents"/>
              <w:bidi w:val="0"/>
              <w:jc w:val="right"/>
              <w:rPr/>
            </w:pPr>
            <w:r>
              <w:rPr/>
              <w:t>+19.2 [+14.2, +23.9]</w:t>
            </w:r>
          </w:p>
        </w:tc>
        <w:tc>
          <w:tcPr>
            <w:tcW w:w="1484" w:type="dxa"/>
            <w:tcBorders/>
            <w:vAlign w:val="center"/>
          </w:tcPr>
          <w:p>
            <w:pPr>
              <w:pStyle w:val="TableContents"/>
              <w:bidi w:val="0"/>
              <w:jc w:val="right"/>
              <w:rPr/>
            </w:pPr>
            <w:r>
              <w:rPr/>
              <w:t>16,802</w:t>
            </w:r>
          </w:p>
        </w:tc>
        <w:tc>
          <w:tcPr>
            <w:tcW w:w="1419" w:type="dxa"/>
            <w:tcBorders/>
            <w:vAlign w:val="center"/>
          </w:tcPr>
          <w:p>
            <w:pPr>
              <w:pStyle w:val="TableContents"/>
              <w:bidi w:val="0"/>
              <w:jc w:val="right"/>
              <w:rPr/>
            </w:pPr>
            <w:r>
              <w:rPr/>
              <w:t>20,152</w:t>
            </w:r>
          </w:p>
        </w:tc>
      </w:tr>
      <w:tr>
        <w:trPr/>
        <w:tc>
          <w:tcPr>
            <w:tcW w:w="1107" w:type="dxa"/>
            <w:tcBorders/>
            <w:vAlign w:val="center"/>
          </w:tcPr>
          <w:p>
            <w:pPr>
              <w:pStyle w:val="TableContents"/>
              <w:widowControl w:val="false"/>
              <w:suppressLineNumbers/>
              <w:bidi w:val="0"/>
              <w:jc w:val="left"/>
              <w:rPr/>
            </w:pPr>
            <w:r>
              <w:rPr/>
              <w:t>Paris</w:t>
            </w:r>
          </w:p>
        </w:tc>
        <w:tc>
          <w:tcPr>
            <w:tcW w:w="1436" w:type="dxa"/>
            <w:tcBorders/>
            <w:vAlign w:val="center"/>
          </w:tcPr>
          <w:p>
            <w:pPr>
              <w:pStyle w:val="TableContents"/>
              <w:bidi w:val="0"/>
              <w:jc w:val="right"/>
              <w:rPr/>
            </w:pPr>
            <w:r>
              <w:rPr/>
              <w:t>252.5</w:t>
            </w:r>
          </w:p>
        </w:tc>
        <w:tc>
          <w:tcPr>
            <w:tcW w:w="1359" w:type="dxa"/>
            <w:tcBorders/>
            <w:vAlign w:val="center"/>
          </w:tcPr>
          <w:p>
            <w:pPr>
              <w:pStyle w:val="TableContents"/>
              <w:bidi w:val="0"/>
              <w:jc w:val="right"/>
              <w:rPr/>
            </w:pPr>
            <w:r>
              <w:rPr/>
              <w:t>+5</w:t>
            </w:r>
          </w:p>
        </w:tc>
        <w:tc>
          <w:tcPr>
            <w:tcW w:w="1021" w:type="dxa"/>
            <w:tcBorders/>
            <w:vAlign w:val="center"/>
          </w:tcPr>
          <w:p>
            <w:pPr>
              <w:pStyle w:val="TableContents"/>
              <w:bidi w:val="0"/>
              <w:jc w:val="right"/>
              <w:rPr/>
            </w:pPr>
            <w:r>
              <w:rPr/>
              <w:t>265.9</w:t>
            </w:r>
          </w:p>
        </w:tc>
        <w:tc>
          <w:tcPr>
            <w:tcW w:w="760" w:type="dxa"/>
            <w:tcBorders/>
            <w:vAlign w:val="center"/>
          </w:tcPr>
          <w:p>
            <w:pPr>
              <w:pStyle w:val="TableContents"/>
              <w:bidi w:val="0"/>
              <w:jc w:val="right"/>
              <w:rPr/>
            </w:pPr>
            <w:r>
              <w:rPr/>
              <w:t>−</w:t>
            </w:r>
            <w:r>
              <w:rPr/>
              <w:t>6</w:t>
            </w:r>
          </w:p>
        </w:tc>
        <w:tc>
          <w:tcPr>
            <w:tcW w:w="1953" w:type="dxa"/>
            <w:tcBorders/>
            <w:vAlign w:val="center"/>
          </w:tcPr>
          <w:p>
            <w:pPr>
              <w:pStyle w:val="TableContents"/>
              <w:bidi w:val="0"/>
              <w:jc w:val="right"/>
              <w:rPr/>
            </w:pPr>
            <w:r>
              <w:rPr/>
              <w:t>+24.2 [+19.5, +30.1]</w:t>
            </w:r>
          </w:p>
        </w:tc>
        <w:tc>
          <w:tcPr>
            <w:tcW w:w="1484" w:type="dxa"/>
            <w:tcBorders/>
            <w:vAlign w:val="center"/>
          </w:tcPr>
          <w:p>
            <w:pPr>
              <w:pStyle w:val="TableContents"/>
              <w:bidi w:val="0"/>
              <w:jc w:val="right"/>
              <w:rPr/>
            </w:pPr>
            <w:r>
              <w:rPr/>
              <w:t>18,129</w:t>
            </w:r>
          </w:p>
        </w:tc>
        <w:tc>
          <w:tcPr>
            <w:tcW w:w="1419" w:type="dxa"/>
            <w:tcBorders/>
            <w:vAlign w:val="center"/>
          </w:tcPr>
          <w:p>
            <w:pPr>
              <w:pStyle w:val="TableContents"/>
              <w:bidi w:val="0"/>
              <w:jc w:val="right"/>
              <w:rPr/>
            </w:pPr>
            <w:r>
              <w:rPr/>
              <w:t>21,743</w:t>
            </w:r>
          </w:p>
        </w:tc>
      </w:tr>
      <w:tr>
        <w:trPr/>
        <w:tc>
          <w:tcPr>
            <w:tcW w:w="1107" w:type="dxa"/>
            <w:tcBorders/>
            <w:vAlign w:val="center"/>
          </w:tcPr>
          <w:p>
            <w:pPr>
              <w:pStyle w:val="TableContents"/>
              <w:widowControl w:val="false"/>
              <w:suppressLineNumbers/>
              <w:bidi w:val="0"/>
              <w:jc w:val="left"/>
              <w:rPr/>
            </w:pPr>
            <w:r>
              <w:rPr/>
              <w:t>Fiumicino</w:t>
            </w:r>
          </w:p>
        </w:tc>
        <w:tc>
          <w:tcPr>
            <w:tcW w:w="1436" w:type="dxa"/>
            <w:tcBorders/>
            <w:vAlign w:val="center"/>
          </w:tcPr>
          <w:p>
            <w:pPr>
              <w:pStyle w:val="TableContents"/>
              <w:bidi w:val="0"/>
              <w:jc w:val="right"/>
              <w:rPr/>
            </w:pPr>
            <w:r>
              <w:rPr/>
              <w:t>294.4</w:t>
            </w:r>
          </w:p>
        </w:tc>
        <w:tc>
          <w:tcPr>
            <w:tcW w:w="1359" w:type="dxa"/>
            <w:tcBorders/>
            <w:vAlign w:val="center"/>
          </w:tcPr>
          <w:p>
            <w:pPr>
              <w:pStyle w:val="TableContents"/>
              <w:bidi w:val="0"/>
              <w:jc w:val="right"/>
              <w:rPr/>
            </w:pPr>
            <w:r>
              <w:rPr/>
              <w:t>−</w:t>
            </w:r>
            <w:r>
              <w:rPr/>
              <w:t>48</w:t>
            </w:r>
          </w:p>
        </w:tc>
        <w:tc>
          <w:tcPr>
            <w:tcW w:w="1021" w:type="dxa"/>
            <w:tcBorders/>
            <w:vAlign w:val="center"/>
          </w:tcPr>
          <w:p>
            <w:pPr>
              <w:pStyle w:val="TableContents"/>
              <w:bidi w:val="0"/>
              <w:jc w:val="right"/>
              <w:rPr/>
            </w:pPr>
            <w:r>
              <w:rPr/>
              <w:t>814.5</w:t>
            </w:r>
          </w:p>
        </w:tc>
        <w:tc>
          <w:tcPr>
            <w:tcW w:w="760" w:type="dxa"/>
            <w:tcBorders/>
            <w:vAlign w:val="center"/>
          </w:tcPr>
          <w:p>
            <w:pPr>
              <w:pStyle w:val="TableContents"/>
              <w:bidi w:val="0"/>
              <w:jc w:val="right"/>
              <w:rPr/>
            </w:pPr>
            <w:r>
              <w:rPr/>
              <w:t>−</w:t>
            </w:r>
            <w:r>
              <w:rPr/>
              <w:t>96</w:t>
            </w:r>
          </w:p>
        </w:tc>
        <w:tc>
          <w:tcPr>
            <w:tcW w:w="1953" w:type="dxa"/>
            <w:tcBorders/>
            <w:vAlign w:val="center"/>
          </w:tcPr>
          <w:p>
            <w:pPr>
              <w:pStyle w:val="TableContents"/>
              <w:bidi w:val="0"/>
              <w:jc w:val="right"/>
              <w:rPr/>
            </w:pPr>
            <w:r>
              <w:rPr/>
              <w:t>+22.5 [+16.8, +29.3]</w:t>
            </w:r>
          </w:p>
        </w:tc>
        <w:tc>
          <w:tcPr>
            <w:tcW w:w="1484" w:type="dxa"/>
            <w:tcBorders/>
            <w:vAlign w:val="center"/>
          </w:tcPr>
          <w:p>
            <w:pPr>
              <w:pStyle w:val="TableContents"/>
              <w:bidi w:val="0"/>
              <w:jc w:val="right"/>
              <w:rPr/>
            </w:pPr>
            <w:r>
              <w:rPr/>
              <w:t>11,061</w:t>
            </w:r>
          </w:p>
        </w:tc>
        <w:tc>
          <w:tcPr>
            <w:tcW w:w="1419" w:type="dxa"/>
            <w:tcBorders/>
            <w:vAlign w:val="center"/>
          </w:tcPr>
          <w:p>
            <w:pPr>
              <w:pStyle w:val="TableContents"/>
              <w:bidi w:val="0"/>
              <w:jc w:val="right"/>
              <w:rPr/>
            </w:pPr>
            <w:r>
              <w:rPr/>
              <w:t>15,838</w:t>
            </w:r>
          </w:p>
        </w:tc>
      </w:tr>
      <w:tr>
        <w:trPr/>
        <w:tc>
          <w:tcPr>
            <w:tcW w:w="1107" w:type="dxa"/>
            <w:tcBorders/>
            <w:vAlign w:val="center"/>
          </w:tcPr>
          <w:p>
            <w:pPr>
              <w:pStyle w:val="TableContents"/>
              <w:widowControl w:val="false"/>
              <w:suppressLineNumbers/>
              <w:bidi w:val="0"/>
              <w:jc w:val="left"/>
              <w:rPr/>
            </w:pPr>
            <w:r>
              <w:rPr/>
              <w:t>Zurich</w:t>
            </w:r>
          </w:p>
        </w:tc>
        <w:tc>
          <w:tcPr>
            <w:tcW w:w="1436" w:type="dxa"/>
            <w:tcBorders/>
            <w:vAlign w:val="center"/>
          </w:tcPr>
          <w:p>
            <w:pPr>
              <w:pStyle w:val="TableContents"/>
              <w:bidi w:val="0"/>
              <w:jc w:val="right"/>
              <w:rPr/>
            </w:pPr>
            <w:r>
              <w:rPr/>
              <w:t>182.5</w:t>
            </w:r>
          </w:p>
        </w:tc>
        <w:tc>
          <w:tcPr>
            <w:tcW w:w="1359" w:type="dxa"/>
            <w:tcBorders/>
            <w:vAlign w:val="center"/>
          </w:tcPr>
          <w:p>
            <w:pPr>
              <w:pStyle w:val="TableContents"/>
              <w:bidi w:val="0"/>
              <w:jc w:val="right"/>
              <w:rPr/>
            </w:pPr>
            <w:r>
              <w:rPr/>
              <w:t>+15</w:t>
            </w:r>
          </w:p>
        </w:tc>
        <w:tc>
          <w:tcPr>
            <w:tcW w:w="1021" w:type="dxa"/>
            <w:tcBorders/>
            <w:vAlign w:val="center"/>
          </w:tcPr>
          <w:p>
            <w:pPr>
              <w:pStyle w:val="TableContents"/>
              <w:bidi w:val="0"/>
              <w:jc w:val="right"/>
              <w:rPr/>
            </w:pPr>
            <w:r>
              <w:rPr/>
              <w:t>193.5</w:t>
            </w:r>
          </w:p>
        </w:tc>
        <w:tc>
          <w:tcPr>
            <w:tcW w:w="760" w:type="dxa"/>
            <w:tcBorders/>
            <w:vAlign w:val="center"/>
          </w:tcPr>
          <w:p>
            <w:pPr>
              <w:pStyle w:val="TableContents"/>
              <w:bidi w:val="0"/>
              <w:jc w:val="right"/>
              <w:rPr/>
            </w:pPr>
            <w:r>
              <w:rPr/>
              <w:t>+7</w:t>
            </w:r>
          </w:p>
        </w:tc>
        <w:tc>
          <w:tcPr>
            <w:tcW w:w="1953" w:type="dxa"/>
            <w:tcBorders/>
            <w:vAlign w:val="center"/>
          </w:tcPr>
          <w:p>
            <w:pPr>
              <w:pStyle w:val="TableContents"/>
              <w:bidi w:val="0"/>
              <w:jc w:val="right"/>
              <w:rPr/>
            </w:pPr>
            <w:r>
              <w:rPr/>
              <w:t>+15.8 [+9.6, +27.2]</w:t>
            </w:r>
          </w:p>
        </w:tc>
        <w:tc>
          <w:tcPr>
            <w:tcW w:w="1484" w:type="dxa"/>
            <w:tcBorders/>
            <w:vAlign w:val="center"/>
          </w:tcPr>
          <w:p>
            <w:pPr>
              <w:pStyle w:val="TableContents"/>
              <w:bidi w:val="0"/>
              <w:jc w:val="right"/>
              <w:rPr/>
            </w:pPr>
            <w:r>
              <w:rPr/>
              <w:t>9,995</w:t>
            </w:r>
          </w:p>
        </w:tc>
        <w:tc>
          <w:tcPr>
            <w:tcW w:w="1419" w:type="dxa"/>
            <w:tcBorders/>
            <w:vAlign w:val="center"/>
          </w:tcPr>
          <w:p>
            <w:pPr>
              <w:pStyle w:val="TableContents"/>
              <w:bidi w:val="0"/>
              <w:jc w:val="right"/>
              <w:rPr/>
            </w:pPr>
            <w:r>
              <w:rPr/>
              <w:t>13,155</w:t>
            </w:r>
          </w:p>
        </w:tc>
      </w:tr>
      <w:tr>
        <w:trPr/>
        <w:tc>
          <w:tcPr>
            <w:tcW w:w="1107" w:type="dxa"/>
            <w:tcBorders/>
            <w:vAlign w:val="center"/>
          </w:tcPr>
          <w:p>
            <w:pPr>
              <w:pStyle w:val="TableContents"/>
              <w:widowControl w:val="false"/>
              <w:suppressLineNumbers/>
              <w:bidi w:val="0"/>
              <w:jc w:val="left"/>
              <w:rPr/>
            </w:pPr>
            <w:r>
              <w:rPr/>
              <w:t>Istanbul</w:t>
            </w:r>
          </w:p>
        </w:tc>
        <w:tc>
          <w:tcPr>
            <w:tcW w:w="1436" w:type="dxa"/>
            <w:tcBorders/>
            <w:vAlign w:val="center"/>
          </w:tcPr>
          <w:p>
            <w:pPr>
              <w:pStyle w:val="TableContents"/>
              <w:bidi w:val="0"/>
              <w:jc w:val="right"/>
              <w:rPr/>
            </w:pPr>
            <w:r>
              <w:rPr/>
              <w:t>203.4</w:t>
            </w:r>
          </w:p>
        </w:tc>
        <w:tc>
          <w:tcPr>
            <w:tcW w:w="1359" w:type="dxa"/>
            <w:tcBorders/>
            <w:vAlign w:val="center"/>
          </w:tcPr>
          <w:p>
            <w:pPr>
              <w:pStyle w:val="TableContents"/>
              <w:bidi w:val="0"/>
              <w:jc w:val="right"/>
              <w:rPr/>
            </w:pPr>
            <w:r>
              <w:rPr/>
              <w:t>+13</w:t>
            </w:r>
          </w:p>
        </w:tc>
        <w:tc>
          <w:tcPr>
            <w:tcW w:w="1021" w:type="dxa"/>
            <w:tcBorders/>
            <w:vAlign w:val="center"/>
          </w:tcPr>
          <w:p>
            <w:pPr>
              <w:pStyle w:val="TableContents"/>
              <w:bidi w:val="0"/>
              <w:jc w:val="right"/>
              <w:rPr/>
            </w:pPr>
            <w:r>
              <w:rPr/>
              <w:t>267.3</w:t>
            </w:r>
          </w:p>
        </w:tc>
        <w:tc>
          <w:tcPr>
            <w:tcW w:w="760" w:type="dxa"/>
            <w:tcBorders/>
            <w:vAlign w:val="center"/>
          </w:tcPr>
          <w:p>
            <w:pPr>
              <w:pStyle w:val="TableContents"/>
              <w:bidi w:val="0"/>
              <w:jc w:val="right"/>
              <w:rPr/>
            </w:pPr>
            <w:r>
              <w:rPr/>
              <w:t>−</w:t>
            </w:r>
            <w:r>
              <w:rPr/>
              <w:t>1</w:t>
            </w:r>
          </w:p>
        </w:tc>
        <w:tc>
          <w:tcPr>
            <w:tcW w:w="1953" w:type="dxa"/>
            <w:tcBorders/>
            <w:vAlign w:val="center"/>
          </w:tcPr>
          <w:p>
            <w:pPr>
              <w:pStyle w:val="TableContents"/>
              <w:bidi w:val="0"/>
              <w:jc w:val="right"/>
              <w:rPr/>
            </w:pPr>
            <w:r>
              <w:rPr/>
              <w:t>+24.9 [+19.5, +30.6]</w:t>
            </w:r>
          </w:p>
        </w:tc>
        <w:tc>
          <w:tcPr>
            <w:tcW w:w="1484" w:type="dxa"/>
            <w:tcBorders/>
            <w:vAlign w:val="center"/>
          </w:tcPr>
          <w:p>
            <w:pPr>
              <w:pStyle w:val="TableContents"/>
              <w:bidi w:val="0"/>
              <w:jc w:val="right"/>
              <w:rPr/>
            </w:pPr>
            <w:r>
              <w:rPr/>
              <w:t>22,396</w:t>
            </w:r>
          </w:p>
        </w:tc>
        <w:tc>
          <w:tcPr>
            <w:tcW w:w="1419" w:type="dxa"/>
            <w:tcBorders/>
            <w:vAlign w:val="center"/>
          </w:tcPr>
          <w:p>
            <w:pPr>
              <w:pStyle w:val="TableContents"/>
              <w:bidi w:val="0"/>
              <w:jc w:val="right"/>
              <w:rPr/>
            </w:pPr>
            <w:r>
              <w:rPr/>
              <w:t>25,185</w:t>
            </w:r>
          </w:p>
        </w:tc>
      </w:tr>
    </w:tbl>
    <w:p>
      <w:pPr>
        <w:pStyle w:val="BodyText"/>
        <w:bidi w:val="0"/>
        <w:jc w:val="left"/>
        <w:rPr/>
      </w:pPr>
      <w:r>
        <w:rPr/>
        <w:t>RMSE and bias are the ladder's single seed on the forward splits, over the rows the record-quality term leaves to the model (positive bias: the model predicts too long). Fiumicino's July figure is one row's (§9.5). The held-out-pair difference is the claim of §7.2 read at each airport alone. The last two columns are how many rows of the ranking set each airport holds.</w:t>
      </w:r>
    </w:p>
    <w:p>
      <w:pPr>
        <w:pStyle w:val="BodyText"/>
        <w:bidi w:val="0"/>
        <w:jc w:val="left"/>
        <w:rPr/>
      </w:pPr>
      <w:r>
        <w:rPr/>
        <w:t xml:space="preserve">Sources: </w:t>
      </w:r>
      <w:r>
        <w:rPr>
          <w:rStyle w:val="SourceText"/>
        </w:rPr>
        <w:t>reports/monthly_seeds.md</w:t>
      </w:r>
      <w:r>
        <w:rPr/>
        <w:t xml:space="preserve">, </w:t>
      </w:r>
      <w:r>
        <w:rPr>
          <w:rStyle w:val="Emphasis"/>
        </w:rPr>
        <w:t>Per airport and month: the five-seed average</w:t>
      </w:r>
      <w:r>
        <w:rPr/>
        <w:t xml:space="preserve">; </w:t>
      </w:r>
      <w:r>
        <w:rPr>
          <w:rStyle w:val="SourceText"/>
        </w:rPr>
        <w:t>reports/monthly_ladder.md</w:t>
      </w:r>
      <w:r>
        <w:rPr/>
        <w:t xml:space="preserve">, </w:t>
      </w:r>
      <w:r>
        <w:rPr>
          <w:rStyle w:val="Emphasis"/>
        </w:rPr>
        <w:t>Annex E: the historic weather context</w:t>
      </w:r>
      <w:r>
        <w:rPr/>
        <w:t xml:space="preserve">; </w:t>
      </w:r>
      <w:r>
        <w:rPr>
          <w:rStyle w:val="SourceText"/>
        </w:rPr>
        <w:t>reports/baseline.md</w:t>
      </w:r>
      <w:r>
        <w:rPr/>
        <w:t xml:space="preserve">, </w:t>
      </w:r>
      <w:r>
        <w:rPr>
          <w:rStyle w:val="Emphasis"/>
        </w:rPr>
        <w:t>The claim, per airport</w:t>
      </w:r>
      <w:r>
        <w:rPr/>
        <w:t xml:space="preserve"> and </w:t>
      </w:r>
      <w:r>
        <w:rPr>
          <w:rStyle w:val="Emphasis"/>
        </w:rPr>
        <w:t>Per airport</w:t>
      </w:r>
      <w:r>
        <w:rPr/>
        <w:t xml:space="preserve">; </w:t>
      </w:r>
      <w:r>
        <w:rPr>
          <w:rStyle w:val="SourceText"/>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rPr>
        <w:t>reports/tails.md</w:t>
      </w:r>
      <w:r>
        <w:rPr/>
        <w:t xml:space="preserve">, </w:t>
      </w:r>
      <w:r>
        <w:rPr>
          <w:rStyle w:val="Emphasis"/>
        </w:rPr>
        <w:t>What it touches in the ranking set</w:t>
      </w:r>
      <w:r>
        <w:rPr/>
        <w:t>.</w:t>
      </w:r>
    </w:p>
    <w:p>
      <w:pPr>
        <w:pStyle w:val="Heading3"/>
        <w:bidi w:val="0"/>
        <w:jc w:val="left"/>
        <w:rPr/>
      </w:pPr>
      <w:r>
        <w:rPr/>
        <w:t>8.4 What each source of delay is worth, over the year</w:t>
      </w:r>
    </w:p>
    <w:p>
      <w:pPr>
        <w:pStyle w:val="BodyText"/>
        <w:bidi w:val="0"/>
        <w:jc w:val="left"/>
        <w:rPr/>
      </w:pPr>
      <w:r>
        <w:rPr/>
        <w:t>Read with every month held out, each block's worth becomes a change pooled over the year and a count of months; §7.2 reads the same ladder on the two forward splits and on the held-out pairs. The count is read against the floor measured in that month (§3.6). A block helps in a month when it improves the ex-flagged figure by more than that month's floor, and hurts when it worsens it by more. Otherwise it sits inside the floor, which is within what changing the seed alone produces. Each block is read against the rung the ladder reads it against, so its change is net of every block below it.</w:t>
      </w:r>
    </w:p>
    <w:tbl>
      <w:tblPr>
        <w:tblW w:w="10539" w:type="dxa"/>
        <w:jc w:val="left"/>
        <w:tblInd w:w="28" w:type="dxa"/>
        <w:tblLayout w:type="fixed"/>
        <w:tblCellMar>
          <w:top w:w="28" w:type="dxa"/>
          <w:left w:w="28" w:type="dxa"/>
          <w:bottom w:w="28" w:type="dxa"/>
          <w:right w:w="28" w:type="dxa"/>
        </w:tblCellMar>
      </w:tblPr>
      <w:tblGrid>
        <w:gridCol w:w="2411"/>
        <w:gridCol w:w="1271"/>
        <w:gridCol w:w="965"/>
        <w:gridCol w:w="2027"/>
        <w:gridCol w:w="1681"/>
        <w:gridCol w:w="2184"/>
      </w:tblGrid>
      <w:tr>
        <w:trPr>
          <w:tblHeader w:val="true"/>
        </w:trPr>
        <w:tc>
          <w:tcPr>
            <w:tcW w:w="2411" w:type="dxa"/>
            <w:tcBorders/>
            <w:vAlign w:val="center"/>
          </w:tcPr>
          <w:p>
            <w:pPr>
              <w:pStyle w:val="TableHeading"/>
              <w:suppressLineNumbers/>
              <w:bidi w:val="0"/>
              <w:jc w:val="center"/>
              <w:rPr/>
            </w:pPr>
            <w:r>
              <w:rPr/>
              <w:t>block</w:t>
            </w:r>
          </w:p>
        </w:tc>
        <w:tc>
          <w:tcPr>
            <w:tcW w:w="1271" w:type="dxa"/>
            <w:tcBorders/>
            <w:vAlign w:val="center"/>
          </w:tcPr>
          <w:p>
            <w:pPr>
              <w:pStyle w:val="TableHeading"/>
              <w:bidi w:val="0"/>
              <w:jc w:val="right"/>
              <w:rPr/>
            </w:pPr>
            <w:r>
              <w:rPr/>
              <w:t>year, ex-flagged (s)</w:t>
            </w:r>
          </w:p>
        </w:tc>
        <w:tc>
          <w:tcPr>
            <w:tcW w:w="965" w:type="dxa"/>
            <w:tcBorders/>
            <w:vAlign w:val="center"/>
          </w:tcPr>
          <w:p>
            <w:pPr>
              <w:pStyle w:val="TableHeading"/>
              <w:bidi w:val="0"/>
              <w:jc w:val="right"/>
              <w:rPr/>
            </w:pPr>
            <w:r>
              <w:rPr/>
              <w:t>change (s)</w:t>
            </w:r>
          </w:p>
        </w:tc>
        <w:tc>
          <w:tcPr>
            <w:tcW w:w="2027" w:type="dxa"/>
            <w:tcBorders/>
            <w:vAlign w:val="center"/>
          </w:tcPr>
          <w:p>
            <w:pPr>
              <w:pStyle w:val="TableHeading"/>
              <w:bidi w:val="0"/>
              <w:jc w:val="right"/>
              <w:rPr/>
            </w:pPr>
            <w:r>
              <w:rPr/>
              <w:t>months it helps, beyond the floor</w:t>
            </w:r>
          </w:p>
        </w:tc>
        <w:tc>
          <w:tcPr>
            <w:tcW w:w="1681" w:type="dxa"/>
            <w:tcBorders/>
            <w:vAlign w:val="center"/>
          </w:tcPr>
          <w:p>
            <w:pPr>
              <w:pStyle w:val="TableHeading"/>
              <w:bidi w:val="0"/>
              <w:jc w:val="right"/>
              <w:rPr/>
            </w:pPr>
            <w:r>
              <w:rPr/>
              <w:t>months inside the floor</w:t>
            </w:r>
          </w:p>
        </w:tc>
        <w:tc>
          <w:tcPr>
            <w:tcW w:w="2184" w:type="dxa"/>
            <w:tcBorders/>
            <w:vAlign w:val="center"/>
          </w:tcPr>
          <w:p>
            <w:pPr>
              <w:pStyle w:val="TableHeading"/>
              <w:bidi w:val="0"/>
              <w:jc w:val="right"/>
              <w:rPr/>
            </w:pPr>
            <w:r>
              <w:rPr/>
              <w:t>months it hurts, beyond the floor</w:t>
            </w:r>
          </w:p>
        </w:tc>
      </w:tr>
      <w:tr>
        <w:trPr/>
        <w:tc>
          <w:tcPr>
            <w:tcW w:w="2411" w:type="dxa"/>
            <w:tcBorders/>
            <w:vAlign w:val="center"/>
          </w:tcPr>
          <w:p>
            <w:pPr>
              <w:pStyle w:val="TableContents"/>
              <w:widowControl w:val="false"/>
              <w:suppressLineNumbers/>
              <w:bidi w:val="0"/>
              <w:jc w:val="left"/>
              <w:rPr/>
            </w:pPr>
            <w:r>
              <w:rPr/>
              <w:t>identifiers + time</w:t>
            </w:r>
          </w:p>
        </w:tc>
        <w:tc>
          <w:tcPr>
            <w:tcW w:w="1271" w:type="dxa"/>
            <w:tcBorders/>
            <w:vAlign w:val="center"/>
          </w:tcPr>
          <w:p>
            <w:pPr>
              <w:pStyle w:val="TableContents"/>
              <w:bidi w:val="0"/>
              <w:jc w:val="right"/>
              <w:rPr/>
            </w:pPr>
            <w:r>
              <w:rPr/>
              <w:t>333.1</w:t>
            </w:r>
          </w:p>
        </w:tc>
        <w:tc>
          <w:tcPr>
            <w:tcW w:w="965" w:type="dxa"/>
            <w:tcBorders/>
            <w:vAlign w:val="center"/>
          </w:tcPr>
          <w:p>
            <w:pPr>
              <w:pStyle w:val="TableContents"/>
              <w:bidi w:val="0"/>
              <w:jc w:val="left"/>
              <w:rPr>
                <w:sz w:val="4"/>
                <w:szCs w:val="4"/>
              </w:rPr>
            </w:pPr>
            <w:r>
              <w:rPr>
                <w:sz w:val="4"/>
                <w:szCs w:val="4"/>
              </w:rPr>
            </w:r>
          </w:p>
        </w:tc>
        <w:tc>
          <w:tcPr>
            <w:tcW w:w="2027" w:type="dxa"/>
            <w:tcBorders/>
            <w:vAlign w:val="center"/>
          </w:tcPr>
          <w:p>
            <w:pPr>
              <w:pStyle w:val="TableContents"/>
              <w:bidi w:val="0"/>
              <w:jc w:val="left"/>
              <w:rPr>
                <w:sz w:val="4"/>
                <w:szCs w:val="4"/>
              </w:rPr>
            </w:pPr>
            <w:r>
              <w:rPr>
                <w:sz w:val="4"/>
                <w:szCs w:val="4"/>
              </w:rPr>
            </w:r>
          </w:p>
        </w:tc>
        <w:tc>
          <w:tcPr>
            <w:tcW w:w="1681" w:type="dxa"/>
            <w:tcBorders/>
            <w:vAlign w:val="center"/>
          </w:tcPr>
          <w:p>
            <w:pPr>
              <w:pStyle w:val="TableContents"/>
              <w:bidi w:val="0"/>
              <w:jc w:val="left"/>
              <w:rPr>
                <w:sz w:val="4"/>
                <w:szCs w:val="4"/>
              </w:rPr>
            </w:pPr>
            <w:r>
              <w:rPr>
                <w:sz w:val="4"/>
                <w:szCs w:val="4"/>
              </w:rPr>
            </w:r>
          </w:p>
        </w:tc>
        <w:tc>
          <w:tcPr>
            <w:tcW w:w="2184" w:type="dxa"/>
            <w:tcBorders/>
            <w:vAlign w:val="center"/>
          </w:tcPr>
          <w:p>
            <w:pPr>
              <w:pStyle w:val="TableContents"/>
              <w:bidi w:val="0"/>
              <w:jc w:val="left"/>
              <w:rPr>
                <w:sz w:val="4"/>
                <w:szCs w:val="4"/>
              </w:rPr>
            </w:pPr>
            <w:r>
              <w:rPr>
                <w:sz w:val="4"/>
                <w:szCs w:val="4"/>
              </w:rPr>
            </w:r>
          </w:p>
        </w:tc>
      </w:tr>
      <w:tr>
        <w:trPr/>
        <w:tc>
          <w:tcPr>
            <w:tcW w:w="2411" w:type="dxa"/>
            <w:tcBorders/>
            <w:vAlign w:val="center"/>
          </w:tcPr>
          <w:p>
            <w:pPr>
              <w:pStyle w:val="TableContents"/>
              <w:widowControl w:val="false"/>
              <w:suppressLineNumbers/>
              <w:bidi w:val="0"/>
              <w:jc w:val="left"/>
              <w:rPr/>
            </w:pPr>
            <w:r>
              <w:rPr/>
              <w:t>geometry</w:t>
            </w:r>
          </w:p>
        </w:tc>
        <w:tc>
          <w:tcPr>
            <w:tcW w:w="1271" w:type="dxa"/>
            <w:tcBorders/>
            <w:vAlign w:val="center"/>
          </w:tcPr>
          <w:p>
            <w:pPr>
              <w:pStyle w:val="TableContents"/>
              <w:bidi w:val="0"/>
              <w:jc w:val="right"/>
              <w:rPr/>
            </w:pPr>
            <w:r>
              <w:rPr/>
              <w:t>331.7</w:t>
            </w:r>
          </w:p>
        </w:tc>
        <w:tc>
          <w:tcPr>
            <w:tcW w:w="965" w:type="dxa"/>
            <w:tcBorders/>
            <w:vAlign w:val="center"/>
          </w:tcPr>
          <w:p>
            <w:pPr>
              <w:pStyle w:val="TableContents"/>
              <w:bidi w:val="0"/>
              <w:jc w:val="right"/>
              <w:rPr/>
            </w:pPr>
            <w:r>
              <w:rPr/>
              <w:t>−</w:t>
            </w:r>
            <w:r>
              <w:rPr/>
              <w:t>1.4</w:t>
            </w:r>
          </w:p>
        </w:tc>
        <w:tc>
          <w:tcPr>
            <w:tcW w:w="2027" w:type="dxa"/>
            <w:tcBorders/>
            <w:vAlign w:val="center"/>
          </w:tcPr>
          <w:p>
            <w:pPr>
              <w:pStyle w:val="TableContents"/>
              <w:bidi w:val="0"/>
              <w:jc w:val="right"/>
              <w:rPr/>
            </w:pPr>
            <w:r>
              <w:rPr/>
              <w:t>9</w:t>
            </w:r>
          </w:p>
        </w:tc>
        <w:tc>
          <w:tcPr>
            <w:tcW w:w="1681" w:type="dxa"/>
            <w:tcBorders/>
            <w:vAlign w:val="center"/>
          </w:tcPr>
          <w:p>
            <w:pPr>
              <w:pStyle w:val="TableContents"/>
              <w:bidi w:val="0"/>
              <w:jc w:val="right"/>
              <w:rPr/>
            </w:pPr>
            <w:r>
              <w:rPr/>
              <w:t>2 (June, July)</w:t>
            </w:r>
          </w:p>
        </w:tc>
        <w:tc>
          <w:tcPr>
            <w:tcW w:w="2184" w:type="dxa"/>
            <w:tcBorders/>
            <w:vAlign w:val="center"/>
          </w:tcPr>
          <w:p>
            <w:pPr>
              <w:pStyle w:val="TableContents"/>
              <w:bidi w:val="0"/>
              <w:jc w:val="right"/>
              <w:rPr/>
            </w:pPr>
            <w:r>
              <w:rPr/>
              <w:t>1 (April)</w:t>
            </w:r>
          </w:p>
        </w:tc>
      </w:tr>
      <w:tr>
        <w:trPr/>
        <w:tc>
          <w:tcPr>
            <w:tcW w:w="2411" w:type="dxa"/>
            <w:tcBorders/>
            <w:vAlign w:val="center"/>
          </w:tcPr>
          <w:p>
            <w:pPr>
              <w:pStyle w:val="TableContents"/>
              <w:widowControl w:val="false"/>
              <w:suppressLineNumbers/>
              <w:bidi w:val="0"/>
              <w:jc w:val="left"/>
              <w:rPr/>
            </w:pPr>
            <w:r>
              <w:rPr/>
              <w:t>aircraft</w:t>
            </w:r>
          </w:p>
        </w:tc>
        <w:tc>
          <w:tcPr>
            <w:tcW w:w="1271" w:type="dxa"/>
            <w:tcBorders/>
            <w:vAlign w:val="center"/>
          </w:tcPr>
          <w:p>
            <w:pPr>
              <w:pStyle w:val="TableContents"/>
              <w:bidi w:val="0"/>
              <w:jc w:val="right"/>
              <w:rPr/>
            </w:pPr>
            <w:r>
              <w:rPr/>
              <w:t>328.5</w:t>
            </w:r>
          </w:p>
        </w:tc>
        <w:tc>
          <w:tcPr>
            <w:tcW w:w="965" w:type="dxa"/>
            <w:tcBorders/>
            <w:vAlign w:val="center"/>
          </w:tcPr>
          <w:p>
            <w:pPr>
              <w:pStyle w:val="TableContents"/>
              <w:bidi w:val="0"/>
              <w:jc w:val="right"/>
              <w:rPr/>
            </w:pPr>
            <w:r>
              <w:rPr/>
              <w:t>−</w:t>
            </w:r>
            <w:r>
              <w:rPr/>
              <w:t>3.2</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plan lags</w:t>
            </w:r>
          </w:p>
        </w:tc>
        <w:tc>
          <w:tcPr>
            <w:tcW w:w="1271" w:type="dxa"/>
            <w:tcBorders/>
            <w:vAlign w:val="center"/>
          </w:tcPr>
          <w:p>
            <w:pPr>
              <w:pStyle w:val="TableContents"/>
              <w:bidi w:val="0"/>
              <w:jc w:val="right"/>
              <w:rPr/>
            </w:pPr>
            <w:r>
              <w:rPr/>
              <w:t>265.7</w:t>
            </w:r>
          </w:p>
        </w:tc>
        <w:tc>
          <w:tcPr>
            <w:tcW w:w="965" w:type="dxa"/>
            <w:tcBorders/>
            <w:vAlign w:val="center"/>
          </w:tcPr>
          <w:p>
            <w:pPr>
              <w:pStyle w:val="TableContents"/>
              <w:bidi w:val="0"/>
              <w:jc w:val="right"/>
              <w:rPr/>
            </w:pPr>
            <w:r>
              <w:rPr/>
              <w:t>−</w:t>
            </w:r>
            <w:r>
              <w:rPr/>
              <w:t>62.9</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runway throughput</w:t>
            </w:r>
          </w:p>
        </w:tc>
        <w:tc>
          <w:tcPr>
            <w:tcW w:w="1271" w:type="dxa"/>
            <w:tcBorders/>
            <w:vAlign w:val="center"/>
          </w:tcPr>
          <w:p>
            <w:pPr>
              <w:pStyle w:val="TableContents"/>
              <w:bidi w:val="0"/>
              <w:jc w:val="right"/>
              <w:rPr/>
            </w:pPr>
            <w:r>
              <w:rPr/>
              <w:t>262.9</w:t>
            </w:r>
          </w:p>
        </w:tc>
        <w:tc>
          <w:tcPr>
            <w:tcW w:w="965" w:type="dxa"/>
            <w:tcBorders/>
            <w:vAlign w:val="center"/>
          </w:tcPr>
          <w:p>
            <w:pPr>
              <w:pStyle w:val="TableContents"/>
              <w:bidi w:val="0"/>
              <w:jc w:val="right"/>
              <w:rPr/>
            </w:pPr>
            <w:r>
              <w:rPr/>
              <w:t>−</w:t>
            </w:r>
            <w:r>
              <w:rPr/>
              <w:t>2.7</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arrivals</w:t>
            </w:r>
          </w:p>
        </w:tc>
        <w:tc>
          <w:tcPr>
            <w:tcW w:w="1271" w:type="dxa"/>
            <w:tcBorders/>
            <w:vAlign w:val="center"/>
          </w:tcPr>
          <w:p>
            <w:pPr>
              <w:pStyle w:val="TableContents"/>
              <w:bidi w:val="0"/>
              <w:jc w:val="right"/>
              <w:rPr/>
            </w:pPr>
            <w:r>
              <w:rPr/>
              <w:t>262.6</w:t>
            </w:r>
          </w:p>
        </w:tc>
        <w:tc>
          <w:tcPr>
            <w:tcW w:w="965" w:type="dxa"/>
            <w:tcBorders/>
            <w:vAlign w:val="center"/>
          </w:tcPr>
          <w:p>
            <w:pPr>
              <w:pStyle w:val="TableContents"/>
              <w:bidi w:val="0"/>
              <w:jc w:val="right"/>
              <w:rPr/>
            </w:pPr>
            <w:r>
              <w:rPr/>
              <w:t>−</w:t>
            </w:r>
            <w:r>
              <w:rPr/>
              <w:t>0.3</w:t>
            </w:r>
          </w:p>
        </w:tc>
        <w:tc>
          <w:tcPr>
            <w:tcW w:w="2027" w:type="dxa"/>
            <w:tcBorders/>
            <w:vAlign w:val="center"/>
          </w:tcPr>
          <w:p>
            <w:pPr>
              <w:pStyle w:val="TableContents"/>
              <w:bidi w:val="0"/>
              <w:jc w:val="right"/>
              <w:rPr/>
            </w:pPr>
            <w:r>
              <w:rPr/>
              <w:t>8</w:t>
            </w:r>
          </w:p>
        </w:tc>
        <w:tc>
          <w:tcPr>
            <w:tcW w:w="1681" w:type="dxa"/>
            <w:tcBorders/>
            <w:vAlign w:val="center"/>
          </w:tcPr>
          <w:p>
            <w:pPr>
              <w:pStyle w:val="TableContents"/>
              <w:bidi w:val="0"/>
              <w:jc w:val="right"/>
              <w:rPr/>
            </w:pPr>
            <w:r>
              <w:rPr/>
              <w:t>3</w:t>
            </w:r>
          </w:p>
        </w:tc>
        <w:tc>
          <w:tcPr>
            <w:tcW w:w="2184" w:type="dxa"/>
            <w:tcBorders/>
            <w:vAlign w:val="center"/>
          </w:tcPr>
          <w:p>
            <w:pPr>
              <w:pStyle w:val="TableContents"/>
              <w:bidi w:val="0"/>
              <w:jc w:val="right"/>
              <w:rPr/>
            </w:pPr>
            <w:r>
              <w:rPr/>
              <w:t>1 (February)</w:t>
            </w:r>
          </w:p>
        </w:tc>
      </w:tr>
      <w:tr>
        <w:trPr/>
        <w:tc>
          <w:tcPr>
            <w:tcW w:w="2411" w:type="dxa"/>
            <w:tcBorders/>
            <w:vAlign w:val="center"/>
          </w:tcPr>
          <w:p>
            <w:pPr>
              <w:pStyle w:val="TableContents"/>
              <w:widowControl w:val="false"/>
              <w:suppressLineNumbers/>
              <w:bidi w:val="0"/>
              <w:jc w:val="left"/>
              <w:rPr/>
            </w:pPr>
            <w:r>
              <w:rPr/>
              <w:t>demand</w:t>
            </w:r>
          </w:p>
        </w:tc>
        <w:tc>
          <w:tcPr>
            <w:tcW w:w="1271" w:type="dxa"/>
            <w:tcBorders/>
            <w:vAlign w:val="center"/>
          </w:tcPr>
          <w:p>
            <w:pPr>
              <w:pStyle w:val="TableContents"/>
              <w:bidi w:val="0"/>
              <w:jc w:val="right"/>
              <w:rPr/>
            </w:pPr>
            <w:r>
              <w:rPr/>
              <w:t>262.3</w:t>
            </w:r>
          </w:p>
        </w:tc>
        <w:tc>
          <w:tcPr>
            <w:tcW w:w="965" w:type="dxa"/>
            <w:tcBorders/>
            <w:vAlign w:val="center"/>
          </w:tcPr>
          <w:p>
            <w:pPr>
              <w:pStyle w:val="TableContents"/>
              <w:bidi w:val="0"/>
              <w:jc w:val="right"/>
              <w:rPr/>
            </w:pPr>
            <w:r>
              <w:rPr/>
              <w:t>−</w:t>
            </w:r>
            <w:r>
              <w:rPr/>
              <w:t>0.3</w:t>
            </w:r>
          </w:p>
        </w:tc>
        <w:tc>
          <w:tcPr>
            <w:tcW w:w="2027" w:type="dxa"/>
            <w:tcBorders/>
            <w:vAlign w:val="center"/>
          </w:tcPr>
          <w:p>
            <w:pPr>
              <w:pStyle w:val="TableContents"/>
              <w:bidi w:val="0"/>
              <w:jc w:val="right"/>
              <w:rPr/>
            </w:pPr>
            <w:r>
              <w:rPr/>
              <w:t>7</w:t>
            </w:r>
          </w:p>
        </w:tc>
        <w:tc>
          <w:tcPr>
            <w:tcW w:w="1681" w:type="dxa"/>
            <w:tcBorders/>
            <w:vAlign w:val="center"/>
          </w:tcPr>
          <w:p>
            <w:pPr>
              <w:pStyle w:val="TableContents"/>
              <w:bidi w:val="0"/>
              <w:jc w:val="right"/>
              <w:rPr/>
            </w:pPr>
            <w:r>
              <w:rPr/>
              <w:t>5</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configuration</w:t>
            </w:r>
          </w:p>
        </w:tc>
        <w:tc>
          <w:tcPr>
            <w:tcW w:w="1271" w:type="dxa"/>
            <w:tcBorders/>
            <w:vAlign w:val="center"/>
          </w:tcPr>
          <w:p>
            <w:pPr>
              <w:pStyle w:val="TableContents"/>
              <w:bidi w:val="0"/>
              <w:jc w:val="right"/>
              <w:rPr/>
            </w:pPr>
            <w:r>
              <w:rPr/>
              <w:t>262.2</w:t>
            </w:r>
          </w:p>
        </w:tc>
        <w:tc>
          <w:tcPr>
            <w:tcW w:w="965" w:type="dxa"/>
            <w:tcBorders/>
            <w:vAlign w:val="center"/>
          </w:tcPr>
          <w:p>
            <w:pPr>
              <w:pStyle w:val="TableContents"/>
              <w:bidi w:val="0"/>
              <w:jc w:val="right"/>
              <w:rPr/>
            </w:pPr>
            <w:r>
              <w:rPr/>
              <w:t>−</w:t>
            </w:r>
            <w:r>
              <w:rPr/>
              <w:t>0.1</w:t>
            </w:r>
          </w:p>
        </w:tc>
        <w:tc>
          <w:tcPr>
            <w:tcW w:w="2027" w:type="dxa"/>
            <w:tcBorders/>
            <w:vAlign w:val="center"/>
          </w:tcPr>
          <w:p>
            <w:pPr>
              <w:pStyle w:val="TableContents"/>
              <w:bidi w:val="0"/>
              <w:jc w:val="right"/>
              <w:rPr/>
            </w:pPr>
            <w:r>
              <w:rPr/>
              <w:t>5</w:t>
            </w:r>
          </w:p>
        </w:tc>
        <w:tc>
          <w:tcPr>
            <w:tcW w:w="1681" w:type="dxa"/>
            <w:tcBorders/>
            <w:vAlign w:val="center"/>
          </w:tcPr>
          <w:p>
            <w:pPr>
              <w:pStyle w:val="TableContents"/>
              <w:bidi w:val="0"/>
              <w:jc w:val="right"/>
              <w:rPr/>
            </w:pPr>
            <w:r>
              <w:rPr/>
              <w:t>7</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shared corridor</w:t>
            </w:r>
          </w:p>
        </w:tc>
        <w:tc>
          <w:tcPr>
            <w:tcW w:w="1271" w:type="dxa"/>
            <w:tcBorders/>
            <w:vAlign w:val="center"/>
          </w:tcPr>
          <w:p>
            <w:pPr>
              <w:pStyle w:val="TableContents"/>
              <w:bidi w:val="0"/>
              <w:jc w:val="right"/>
              <w:rPr/>
            </w:pPr>
            <w:r>
              <w:rPr/>
              <w:t>262.3</w:t>
            </w:r>
          </w:p>
        </w:tc>
        <w:tc>
          <w:tcPr>
            <w:tcW w:w="965" w:type="dxa"/>
            <w:tcBorders/>
            <w:vAlign w:val="center"/>
          </w:tcPr>
          <w:p>
            <w:pPr>
              <w:pStyle w:val="TableContents"/>
              <w:bidi w:val="0"/>
              <w:jc w:val="right"/>
              <w:rPr/>
            </w:pPr>
            <w:r>
              <w:rPr/>
              <w:t>+0.1</w:t>
            </w:r>
          </w:p>
        </w:tc>
        <w:tc>
          <w:tcPr>
            <w:tcW w:w="2027" w:type="dxa"/>
            <w:tcBorders/>
            <w:vAlign w:val="center"/>
          </w:tcPr>
          <w:p>
            <w:pPr>
              <w:pStyle w:val="TableContents"/>
              <w:bidi w:val="0"/>
              <w:jc w:val="right"/>
              <w:rPr/>
            </w:pPr>
            <w:r>
              <w:rPr/>
              <w:t>1</w:t>
            </w:r>
          </w:p>
        </w:tc>
        <w:tc>
          <w:tcPr>
            <w:tcW w:w="1681" w:type="dxa"/>
            <w:tcBorders/>
            <w:vAlign w:val="center"/>
          </w:tcPr>
          <w:p>
            <w:pPr>
              <w:pStyle w:val="TableContents"/>
              <w:bidi w:val="0"/>
              <w:jc w:val="right"/>
              <w:rPr/>
            </w:pPr>
            <w:r>
              <w:rPr/>
              <w:t>11</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weather</w:t>
            </w:r>
          </w:p>
        </w:tc>
        <w:tc>
          <w:tcPr>
            <w:tcW w:w="1271" w:type="dxa"/>
            <w:tcBorders/>
            <w:vAlign w:val="center"/>
          </w:tcPr>
          <w:p>
            <w:pPr>
              <w:pStyle w:val="TableContents"/>
              <w:bidi w:val="0"/>
              <w:jc w:val="right"/>
              <w:rPr/>
            </w:pPr>
            <w:r>
              <w:rPr/>
              <w:t>261.5</w:t>
            </w:r>
          </w:p>
        </w:tc>
        <w:tc>
          <w:tcPr>
            <w:tcW w:w="965" w:type="dxa"/>
            <w:tcBorders/>
            <w:vAlign w:val="center"/>
          </w:tcPr>
          <w:p>
            <w:pPr>
              <w:pStyle w:val="TableContents"/>
              <w:bidi w:val="0"/>
              <w:jc w:val="right"/>
              <w:rPr/>
            </w:pPr>
            <w:r>
              <w:rPr/>
              <w:t>−</w:t>
            </w:r>
            <w:r>
              <w:rPr/>
              <w:t>0.9</w:t>
            </w:r>
          </w:p>
        </w:tc>
        <w:tc>
          <w:tcPr>
            <w:tcW w:w="2027" w:type="dxa"/>
            <w:tcBorders/>
            <w:vAlign w:val="center"/>
          </w:tcPr>
          <w:p>
            <w:pPr>
              <w:pStyle w:val="TableContents"/>
              <w:bidi w:val="0"/>
              <w:jc w:val="right"/>
              <w:rPr/>
            </w:pPr>
            <w:r>
              <w:rPr/>
              <w:t>9</w:t>
            </w:r>
          </w:p>
        </w:tc>
        <w:tc>
          <w:tcPr>
            <w:tcW w:w="1681" w:type="dxa"/>
            <w:tcBorders/>
            <w:vAlign w:val="center"/>
          </w:tcPr>
          <w:p>
            <w:pPr>
              <w:pStyle w:val="TableContents"/>
              <w:bidi w:val="0"/>
              <w:jc w:val="right"/>
              <w:rPr/>
            </w:pPr>
            <w:r>
              <w:rPr/>
              <w:t>3</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shrunk encoding, replacing the stand</w:t>
            </w:r>
          </w:p>
        </w:tc>
        <w:tc>
          <w:tcPr>
            <w:tcW w:w="1271" w:type="dxa"/>
            <w:tcBorders/>
            <w:vAlign w:val="center"/>
          </w:tcPr>
          <w:p>
            <w:pPr>
              <w:pStyle w:val="TableContents"/>
              <w:bidi w:val="0"/>
              <w:jc w:val="right"/>
              <w:rPr/>
            </w:pPr>
            <w:r>
              <w:rPr/>
              <w:t>258.5</w:t>
            </w:r>
          </w:p>
        </w:tc>
        <w:tc>
          <w:tcPr>
            <w:tcW w:w="965" w:type="dxa"/>
            <w:tcBorders/>
            <w:vAlign w:val="center"/>
          </w:tcPr>
          <w:p>
            <w:pPr>
              <w:pStyle w:val="TableContents"/>
              <w:bidi w:val="0"/>
              <w:jc w:val="right"/>
              <w:rPr/>
            </w:pPr>
            <w:r>
              <w:rPr/>
              <w:t>−</w:t>
            </w:r>
            <w:r>
              <w:rPr/>
              <w:t>3.0</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stand occupancy</w:t>
            </w:r>
          </w:p>
        </w:tc>
        <w:tc>
          <w:tcPr>
            <w:tcW w:w="1271" w:type="dxa"/>
            <w:tcBorders/>
            <w:vAlign w:val="center"/>
          </w:tcPr>
          <w:p>
            <w:pPr>
              <w:pStyle w:val="TableContents"/>
              <w:bidi w:val="0"/>
              <w:jc w:val="right"/>
              <w:rPr/>
            </w:pPr>
            <w:r>
              <w:rPr/>
              <w:t>251.2</w:t>
            </w:r>
          </w:p>
        </w:tc>
        <w:tc>
          <w:tcPr>
            <w:tcW w:w="965" w:type="dxa"/>
            <w:tcBorders/>
            <w:vAlign w:val="center"/>
          </w:tcPr>
          <w:p>
            <w:pPr>
              <w:pStyle w:val="TableContents"/>
              <w:bidi w:val="0"/>
              <w:jc w:val="right"/>
              <w:rPr/>
            </w:pPr>
            <w:r>
              <w:rPr/>
              <w:t>−</w:t>
            </w:r>
            <w:r>
              <w:rPr/>
              <w:t>7.2</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callsign prefix</w:t>
            </w:r>
          </w:p>
        </w:tc>
        <w:tc>
          <w:tcPr>
            <w:tcW w:w="1271" w:type="dxa"/>
            <w:tcBorders/>
            <w:vAlign w:val="center"/>
          </w:tcPr>
          <w:p>
            <w:pPr>
              <w:pStyle w:val="TableContents"/>
              <w:bidi w:val="0"/>
              <w:jc w:val="right"/>
              <w:rPr/>
            </w:pPr>
            <w:r>
              <w:rPr/>
              <w:t>248.0</w:t>
            </w:r>
          </w:p>
        </w:tc>
        <w:tc>
          <w:tcPr>
            <w:tcW w:w="965" w:type="dxa"/>
            <w:tcBorders/>
            <w:vAlign w:val="center"/>
          </w:tcPr>
          <w:p>
            <w:pPr>
              <w:pStyle w:val="TableContents"/>
              <w:bidi w:val="0"/>
              <w:jc w:val="right"/>
              <w:rPr/>
            </w:pPr>
            <w:r>
              <w:rPr/>
              <w:t>−</w:t>
            </w:r>
            <w:r>
              <w:rPr/>
              <w:t>3.3</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destination and holidays</w:t>
            </w:r>
          </w:p>
        </w:tc>
        <w:tc>
          <w:tcPr>
            <w:tcW w:w="1271" w:type="dxa"/>
            <w:tcBorders/>
            <w:vAlign w:val="center"/>
          </w:tcPr>
          <w:p>
            <w:pPr>
              <w:pStyle w:val="TableContents"/>
              <w:bidi w:val="0"/>
              <w:jc w:val="right"/>
              <w:rPr/>
            </w:pPr>
            <w:r>
              <w:rPr/>
              <w:t>246.6</w:t>
            </w:r>
          </w:p>
        </w:tc>
        <w:tc>
          <w:tcPr>
            <w:tcW w:w="965" w:type="dxa"/>
            <w:tcBorders/>
            <w:vAlign w:val="center"/>
          </w:tcPr>
          <w:p>
            <w:pPr>
              <w:pStyle w:val="TableContents"/>
              <w:bidi w:val="0"/>
              <w:jc w:val="right"/>
              <w:rPr/>
            </w:pPr>
            <w:r>
              <w:rPr/>
              <w:t>−</w:t>
            </w:r>
            <w:r>
              <w:rPr/>
              <w:t>1.4</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plan differences (ships)</w:t>
            </w:r>
          </w:p>
        </w:tc>
        <w:tc>
          <w:tcPr>
            <w:tcW w:w="1271" w:type="dxa"/>
            <w:tcBorders/>
            <w:vAlign w:val="center"/>
          </w:tcPr>
          <w:p>
            <w:pPr>
              <w:pStyle w:val="TableContents"/>
              <w:bidi w:val="0"/>
              <w:jc w:val="right"/>
              <w:rPr/>
            </w:pPr>
            <w:r>
              <w:rPr/>
              <w:t>244.4</w:t>
            </w:r>
          </w:p>
        </w:tc>
        <w:tc>
          <w:tcPr>
            <w:tcW w:w="965" w:type="dxa"/>
            <w:tcBorders/>
            <w:vAlign w:val="center"/>
          </w:tcPr>
          <w:p>
            <w:pPr>
              <w:pStyle w:val="TableContents"/>
              <w:bidi w:val="0"/>
              <w:jc w:val="right"/>
              <w:rPr/>
            </w:pPr>
            <w:r>
              <w:rPr/>
              <w:t>−</w:t>
            </w:r>
            <w:r>
              <w:rPr/>
              <w:t>2.2</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bl>
    <w:p>
      <w:pPr>
        <w:pStyle w:val="BodyText"/>
        <w:bidi w:val="0"/>
        <w:jc w:val="left"/>
        <w:rPr/>
      </w:pPr>
      <w:r>
        <w:rPr/>
        <w:t>The year's figures are the ladder's single seed, pooled over the twelve held-out months excluding the rows the term covers; the five-seed average of the base configuration is 243.7 s on the same rows (§8.2). The table supports three readings. The ladder that ends in the base configuration holds up month by month: the plan lags, the throughput, the stand-replacing encoding, the stand occupancy and the destination block help in every month, and the aircraft block, the callsign prefix and the plan differences in eleven. February, the month with the widest floor, is the one month in which each of those three sits inside it. The geometry block, worth −1.4 s pooled, helps in nine months and hurts in April; its worth on a forward split was never the claim, which §8.5 reads month by month. Two of the congestion blocks are null over the year once the floor is applied: the configuration block sits inside it in seven months and the shared corridor in eleven. The arrivals and demand blocks are small but consistent, helping in eight and seven months and worth 0.3 s each. Together the five congestion blocks and the weather block are worth 4.2 s pooled, net of the plan lags, of which the weather block is 0.9 and the throughput 2.7. On the chain fitted without the plan lags the weather block is worth 4.6 s pooled and 16.5 s in January, which is what a plan lag absorbs when it is there (Annex B).</w:t>
      </w:r>
    </w:p>
    <w:p>
      <w:pPr>
        <w:pStyle w:val="BodyText"/>
        <w:bidi w:val="0"/>
        <w:jc w:val="left"/>
        <w:rPr/>
      </w:pPr>
      <w:r>
        <w:rPr/>
        <w:t xml:space="preserve">Sources: </w:t>
      </w:r>
      <w:r>
        <w:rPr>
          <w:rStyle w:val="SourceText"/>
        </w:rPr>
        <w:t>reports/monthly_ladder.md</w:t>
      </w:r>
      <w:r>
        <w:rPr/>
        <w:t xml:space="preserve">, </w:t>
      </w:r>
      <w:r>
        <w:rPr>
          <w:rStyle w:val="Emphasis"/>
        </w:rPr>
        <w:t>Summary: the year, pooled from the twelve months</w:t>
      </w:r>
      <w:r>
        <w:rPr/>
        <w:t xml:space="preserve">; </w:t>
      </w:r>
      <w:r>
        <w:rPr>
          <w:rStyle w:val="SourceText"/>
        </w:rPr>
        <w:t>reports/monthly_seeds.md</w:t>
      </w:r>
      <w:r>
        <w:rPr/>
        <w:t xml:space="preserve">, </w:t>
      </w:r>
      <w:r>
        <w:rPr>
          <w:rStyle w:val="Emphasis"/>
        </w:rPr>
        <w:t>Per month and over the year</w:t>
      </w:r>
      <w:r>
        <w:rPr/>
        <w:t xml:space="preserve"> and </w:t>
      </w:r>
      <w:r>
        <w:rPr>
          <w:rStyle w:val="Emphasis"/>
        </w:rPr>
        <w:t>Each block's months, against each month's floor</w:t>
      </w:r>
      <w:r>
        <w:rPr/>
        <w:t>.</w:t>
      </w:r>
    </w:p>
    <w:p>
      <w:pPr>
        <w:pStyle w:val="Heading3"/>
        <w:bidi w:val="0"/>
        <w:jc w:val="left"/>
        <w:rPr/>
      </w:pPr>
      <w:r>
        <w:rPr/>
        <w:t>8.5 Where the geometry claim holds</w:t>
      </w:r>
    </w:p>
    <w:p>
      <w:pPr>
        <w:pStyle w:val="BodyText"/>
        <w:bidi w:val="0"/>
        <w:jc w:val="left"/>
        <w:rPr/>
      </w:pPr>
      <w:r>
        <w:rPr/>
        <w:t>The claim of §7.2, that the geometry block buys more where the pair is new than where it is seen, is read here in each month of 2025 from the same three held-out-pair folds, which train on the whole year and score their held-out pairs in every month. The statistic is the claim's own, a fold-mean difference in differences with its pair-clustered interval, restricted to the rows of the month in question; the year's row is the figure of §7.2.</w:t>
      </w:r>
    </w:p>
    <w:tbl>
      <w:tblPr>
        <w:tblW w:w="10539" w:type="dxa"/>
        <w:jc w:val="left"/>
        <w:tblInd w:w="28" w:type="dxa"/>
        <w:tblLayout w:type="fixed"/>
        <w:tblCellMar>
          <w:top w:w="28" w:type="dxa"/>
          <w:left w:w="28" w:type="dxa"/>
          <w:bottom w:w="28" w:type="dxa"/>
          <w:right w:w="28" w:type="dxa"/>
        </w:tblCellMar>
      </w:tblPr>
      <w:tblGrid>
        <w:gridCol w:w="1147"/>
        <w:gridCol w:w="1905"/>
        <w:gridCol w:w="2917"/>
        <w:gridCol w:w="2730"/>
        <w:gridCol w:w="1840"/>
      </w:tblGrid>
      <w:tr>
        <w:trPr>
          <w:tblHeader w:val="true"/>
        </w:trPr>
        <w:tc>
          <w:tcPr>
            <w:tcW w:w="1147" w:type="dxa"/>
            <w:tcBorders/>
            <w:vAlign w:val="center"/>
          </w:tcPr>
          <w:p>
            <w:pPr>
              <w:pStyle w:val="TableHeading"/>
              <w:suppressLineNumbers/>
              <w:bidi w:val="0"/>
              <w:jc w:val="center"/>
              <w:rPr/>
            </w:pPr>
            <w:r>
              <w:rPr/>
              <w:t>month</w:t>
            </w:r>
          </w:p>
        </w:tc>
        <w:tc>
          <w:tcPr>
            <w:tcW w:w="1905" w:type="dxa"/>
            <w:tcBorders/>
            <w:vAlign w:val="center"/>
          </w:tcPr>
          <w:p>
            <w:pPr>
              <w:pStyle w:val="TableHeading"/>
              <w:bidi w:val="0"/>
              <w:jc w:val="right"/>
              <w:rPr/>
            </w:pPr>
            <w:r>
              <w:rPr/>
              <w:t>held-out rows, 3 folds</w:t>
            </w:r>
          </w:p>
        </w:tc>
        <w:tc>
          <w:tcPr>
            <w:tcW w:w="2917" w:type="dxa"/>
            <w:tcBorders/>
            <w:vAlign w:val="center"/>
          </w:tcPr>
          <w:p>
            <w:pPr>
              <w:pStyle w:val="TableHeading"/>
              <w:bidi w:val="0"/>
              <w:jc w:val="right"/>
              <w:rPr/>
            </w:pPr>
            <w:r>
              <w:rPr/>
              <w:t>identifiers + time: seen / held out (s)</w:t>
            </w:r>
          </w:p>
        </w:tc>
        <w:tc>
          <w:tcPr>
            <w:tcW w:w="2730" w:type="dxa"/>
            <w:tcBorders/>
            <w:vAlign w:val="center"/>
          </w:tcPr>
          <w:p>
            <w:pPr>
              <w:pStyle w:val="TableHeading"/>
              <w:bidi w:val="0"/>
              <w:jc w:val="right"/>
              <w:rPr/>
            </w:pPr>
            <w:r>
              <w:rPr/>
              <w:t>with geometry: seen / held out (s)</w:t>
            </w:r>
          </w:p>
        </w:tc>
        <w:tc>
          <w:tcPr>
            <w:tcW w:w="1840" w:type="dxa"/>
            <w:tcBorders/>
            <w:vAlign w:val="center"/>
          </w:tcPr>
          <w:p>
            <w:pPr>
              <w:pStyle w:val="TableHeading"/>
              <w:bidi w:val="0"/>
              <w:jc w:val="right"/>
              <w:rPr/>
            </w:pPr>
            <w:r>
              <w:rPr/>
              <w:t>the claim [95%]</w:t>
            </w:r>
          </w:p>
        </w:tc>
      </w:tr>
      <w:tr>
        <w:trPr/>
        <w:tc>
          <w:tcPr>
            <w:tcW w:w="1147" w:type="dxa"/>
            <w:tcBorders/>
            <w:vAlign w:val="center"/>
          </w:tcPr>
          <w:p>
            <w:pPr>
              <w:pStyle w:val="TableContents"/>
              <w:widowControl w:val="false"/>
              <w:suppressLineNumbers/>
              <w:bidi w:val="0"/>
              <w:jc w:val="left"/>
              <w:rPr/>
            </w:pPr>
            <w:r>
              <w:rPr/>
              <w:t>January</w:t>
            </w:r>
          </w:p>
        </w:tc>
        <w:tc>
          <w:tcPr>
            <w:tcW w:w="1905" w:type="dxa"/>
            <w:tcBorders/>
            <w:vAlign w:val="center"/>
          </w:tcPr>
          <w:p>
            <w:pPr>
              <w:pStyle w:val="TableContents"/>
              <w:bidi w:val="0"/>
              <w:jc w:val="right"/>
              <w:rPr/>
            </w:pPr>
            <w:r>
              <w:rPr/>
              <w:t>153,646</w:t>
            </w:r>
          </w:p>
        </w:tc>
        <w:tc>
          <w:tcPr>
            <w:tcW w:w="2917" w:type="dxa"/>
            <w:tcBorders/>
            <w:vAlign w:val="center"/>
          </w:tcPr>
          <w:p>
            <w:pPr>
              <w:pStyle w:val="TableContents"/>
              <w:bidi w:val="0"/>
              <w:jc w:val="right"/>
              <w:rPr/>
            </w:pPr>
            <w:r>
              <w:rPr/>
              <w:t>328.4 / 433.9</w:t>
            </w:r>
          </w:p>
        </w:tc>
        <w:tc>
          <w:tcPr>
            <w:tcW w:w="2730" w:type="dxa"/>
            <w:tcBorders/>
            <w:vAlign w:val="center"/>
          </w:tcPr>
          <w:p>
            <w:pPr>
              <w:pStyle w:val="TableContents"/>
              <w:bidi w:val="0"/>
              <w:jc w:val="right"/>
              <w:rPr/>
            </w:pPr>
            <w:r>
              <w:rPr/>
              <w:t>327.6 / 416.6</w:t>
            </w:r>
          </w:p>
        </w:tc>
        <w:tc>
          <w:tcPr>
            <w:tcW w:w="1840" w:type="dxa"/>
            <w:tcBorders/>
            <w:vAlign w:val="center"/>
          </w:tcPr>
          <w:p>
            <w:pPr>
              <w:pStyle w:val="TableContents"/>
              <w:bidi w:val="0"/>
              <w:jc w:val="right"/>
              <w:rPr/>
            </w:pPr>
            <w:r>
              <w:rPr/>
              <w:t>+16.5 s [+14.0, +20.6]</w:t>
            </w:r>
          </w:p>
        </w:tc>
      </w:tr>
      <w:tr>
        <w:trPr/>
        <w:tc>
          <w:tcPr>
            <w:tcW w:w="1147" w:type="dxa"/>
            <w:tcBorders/>
            <w:vAlign w:val="center"/>
          </w:tcPr>
          <w:p>
            <w:pPr>
              <w:pStyle w:val="TableContents"/>
              <w:widowControl w:val="false"/>
              <w:suppressLineNumbers/>
              <w:bidi w:val="0"/>
              <w:jc w:val="left"/>
              <w:rPr/>
            </w:pPr>
            <w:r>
              <w:rPr/>
              <w:t>February</w:t>
            </w:r>
          </w:p>
        </w:tc>
        <w:tc>
          <w:tcPr>
            <w:tcW w:w="1905" w:type="dxa"/>
            <w:tcBorders/>
            <w:vAlign w:val="center"/>
          </w:tcPr>
          <w:p>
            <w:pPr>
              <w:pStyle w:val="TableContents"/>
              <w:bidi w:val="0"/>
              <w:jc w:val="right"/>
              <w:rPr/>
            </w:pPr>
            <w:r>
              <w:rPr/>
              <w:t>143,674</w:t>
            </w:r>
          </w:p>
        </w:tc>
        <w:tc>
          <w:tcPr>
            <w:tcW w:w="2917" w:type="dxa"/>
            <w:tcBorders/>
            <w:vAlign w:val="center"/>
          </w:tcPr>
          <w:p>
            <w:pPr>
              <w:pStyle w:val="TableContents"/>
              <w:bidi w:val="0"/>
              <w:jc w:val="right"/>
              <w:rPr/>
            </w:pPr>
            <w:r>
              <w:rPr/>
              <w:t>308.3 / 352.8</w:t>
            </w:r>
          </w:p>
        </w:tc>
        <w:tc>
          <w:tcPr>
            <w:tcW w:w="2730" w:type="dxa"/>
            <w:tcBorders/>
            <w:vAlign w:val="center"/>
          </w:tcPr>
          <w:p>
            <w:pPr>
              <w:pStyle w:val="TableContents"/>
              <w:bidi w:val="0"/>
              <w:jc w:val="right"/>
              <w:rPr/>
            </w:pPr>
            <w:r>
              <w:rPr/>
              <w:t>307.6 / 332.6</w:t>
            </w:r>
          </w:p>
        </w:tc>
        <w:tc>
          <w:tcPr>
            <w:tcW w:w="1840" w:type="dxa"/>
            <w:tcBorders/>
            <w:vAlign w:val="center"/>
          </w:tcPr>
          <w:p>
            <w:pPr>
              <w:pStyle w:val="TableContents"/>
              <w:bidi w:val="0"/>
              <w:jc w:val="right"/>
              <w:rPr/>
            </w:pPr>
            <w:r>
              <w:rPr/>
              <w:t>+19.5 s [+15.8, +22.9]</w:t>
            </w:r>
          </w:p>
        </w:tc>
      </w:tr>
      <w:tr>
        <w:trPr/>
        <w:tc>
          <w:tcPr>
            <w:tcW w:w="1147" w:type="dxa"/>
            <w:tcBorders/>
            <w:vAlign w:val="center"/>
          </w:tcPr>
          <w:p>
            <w:pPr>
              <w:pStyle w:val="TableContents"/>
              <w:widowControl w:val="false"/>
              <w:suppressLineNumbers/>
              <w:bidi w:val="0"/>
              <w:jc w:val="left"/>
              <w:rPr/>
            </w:pPr>
            <w:r>
              <w:rPr/>
              <w:t>March</w:t>
            </w:r>
          </w:p>
        </w:tc>
        <w:tc>
          <w:tcPr>
            <w:tcW w:w="1905" w:type="dxa"/>
            <w:tcBorders/>
            <w:vAlign w:val="center"/>
          </w:tcPr>
          <w:p>
            <w:pPr>
              <w:pStyle w:val="TableContents"/>
              <w:bidi w:val="0"/>
              <w:jc w:val="right"/>
              <w:rPr/>
            </w:pPr>
            <w:r>
              <w:rPr/>
              <w:t>164,390</w:t>
            </w:r>
          </w:p>
        </w:tc>
        <w:tc>
          <w:tcPr>
            <w:tcW w:w="2917" w:type="dxa"/>
            <w:tcBorders/>
            <w:vAlign w:val="center"/>
          </w:tcPr>
          <w:p>
            <w:pPr>
              <w:pStyle w:val="TableContents"/>
              <w:bidi w:val="0"/>
              <w:jc w:val="right"/>
              <w:rPr/>
            </w:pPr>
            <w:r>
              <w:rPr/>
              <w:t>254.9 / 304.7</w:t>
            </w:r>
          </w:p>
        </w:tc>
        <w:tc>
          <w:tcPr>
            <w:tcW w:w="2730" w:type="dxa"/>
            <w:tcBorders/>
            <w:vAlign w:val="center"/>
          </w:tcPr>
          <w:p>
            <w:pPr>
              <w:pStyle w:val="TableContents"/>
              <w:bidi w:val="0"/>
              <w:jc w:val="right"/>
              <w:rPr/>
            </w:pPr>
            <w:r>
              <w:rPr/>
              <w:t>252.9 / 284.5</w:t>
            </w:r>
          </w:p>
        </w:tc>
        <w:tc>
          <w:tcPr>
            <w:tcW w:w="1840" w:type="dxa"/>
            <w:tcBorders/>
            <w:vAlign w:val="center"/>
          </w:tcPr>
          <w:p>
            <w:pPr>
              <w:pStyle w:val="TableContents"/>
              <w:bidi w:val="0"/>
              <w:jc w:val="right"/>
              <w:rPr/>
            </w:pPr>
            <w:r>
              <w:rPr/>
              <w:t>+18.2 s [+16.1, +20.3]</w:t>
            </w:r>
          </w:p>
        </w:tc>
      </w:tr>
      <w:tr>
        <w:trPr/>
        <w:tc>
          <w:tcPr>
            <w:tcW w:w="1147" w:type="dxa"/>
            <w:tcBorders/>
            <w:vAlign w:val="center"/>
          </w:tcPr>
          <w:p>
            <w:pPr>
              <w:pStyle w:val="TableContents"/>
              <w:widowControl w:val="false"/>
              <w:suppressLineNumbers/>
              <w:bidi w:val="0"/>
              <w:jc w:val="left"/>
              <w:rPr/>
            </w:pPr>
            <w:r>
              <w:rPr/>
              <w:t>April</w:t>
            </w:r>
          </w:p>
        </w:tc>
        <w:tc>
          <w:tcPr>
            <w:tcW w:w="1905" w:type="dxa"/>
            <w:tcBorders/>
            <w:vAlign w:val="center"/>
          </w:tcPr>
          <w:p>
            <w:pPr>
              <w:pStyle w:val="TableContents"/>
              <w:bidi w:val="0"/>
              <w:jc w:val="right"/>
              <w:rPr/>
            </w:pPr>
            <w:r>
              <w:rPr/>
              <w:t>175,218</w:t>
            </w:r>
          </w:p>
        </w:tc>
        <w:tc>
          <w:tcPr>
            <w:tcW w:w="2917" w:type="dxa"/>
            <w:tcBorders/>
            <w:vAlign w:val="center"/>
          </w:tcPr>
          <w:p>
            <w:pPr>
              <w:pStyle w:val="TableContents"/>
              <w:bidi w:val="0"/>
              <w:jc w:val="right"/>
              <w:rPr/>
            </w:pPr>
            <w:r>
              <w:rPr/>
              <w:t>240.3 / 289.9</w:t>
            </w:r>
          </w:p>
        </w:tc>
        <w:tc>
          <w:tcPr>
            <w:tcW w:w="2730" w:type="dxa"/>
            <w:tcBorders/>
            <w:vAlign w:val="center"/>
          </w:tcPr>
          <w:p>
            <w:pPr>
              <w:pStyle w:val="TableContents"/>
              <w:bidi w:val="0"/>
              <w:jc w:val="right"/>
              <w:rPr/>
            </w:pPr>
            <w:r>
              <w:rPr/>
              <w:t>240.9 / 270.2</w:t>
            </w:r>
          </w:p>
        </w:tc>
        <w:tc>
          <w:tcPr>
            <w:tcW w:w="1840" w:type="dxa"/>
            <w:tcBorders/>
            <w:vAlign w:val="center"/>
          </w:tcPr>
          <w:p>
            <w:pPr>
              <w:pStyle w:val="TableContents"/>
              <w:bidi w:val="0"/>
              <w:jc w:val="right"/>
              <w:rPr/>
            </w:pPr>
            <w:r>
              <w:rPr/>
              <w:t>+20.3 s [+18.3, +22.5]</w:t>
            </w:r>
          </w:p>
        </w:tc>
      </w:tr>
      <w:tr>
        <w:trPr/>
        <w:tc>
          <w:tcPr>
            <w:tcW w:w="1147" w:type="dxa"/>
            <w:tcBorders/>
            <w:vAlign w:val="center"/>
          </w:tcPr>
          <w:p>
            <w:pPr>
              <w:pStyle w:val="TableContents"/>
              <w:widowControl w:val="false"/>
              <w:suppressLineNumbers/>
              <w:bidi w:val="0"/>
              <w:jc w:val="left"/>
              <w:rPr/>
            </w:pPr>
            <w:r>
              <w:rPr/>
              <w:t>May</w:t>
            </w:r>
          </w:p>
        </w:tc>
        <w:tc>
          <w:tcPr>
            <w:tcW w:w="1905" w:type="dxa"/>
            <w:tcBorders/>
            <w:vAlign w:val="center"/>
          </w:tcPr>
          <w:p>
            <w:pPr>
              <w:pStyle w:val="TableContents"/>
              <w:bidi w:val="0"/>
              <w:jc w:val="right"/>
              <w:rPr/>
            </w:pPr>
            <w:r>
              <w:rPr/>
              <w:t>185,104</w:t>
            </w:r>
          </w:p>
        </w:tc>
        <w:tc>
          <w:tcPr>
            <w:tcW w:w="2917" w:type="dxa"/>
            <w:tcBorders/>
            <w:vAlign w:val="center"/>
          </w:tcPr>
          <w:p>
            <w:pPr>
              <w:pStyle w:val="TableContents"/>
              <w:bidi w:val="0"/>
              <w:jc w:val="right"/>
              <w:rPr/>
            </w:pPr>
            <w:r>
              <w:rPr/>
              <w:t>244.3 / 356.2</w:t>
            </w:r>
          </w:p>
        </w:tc>
        <w:tc>
          <w:tcPr>
            <w:tcW w:w="2730" w:type="dxa"/>
            <w:tcBorders/>
            <w:vAlign w:val="center"/>
          </w:tcPr>
          <w:p>
            <w:pPr>
              <w:pStyle w:val="TableContents"/>
              <w:bidi w:val="0"/>
              <w:jc w:val="right"/>
              <w:rPr/>
            </w:pPr>
            <w:r>
              <w:rPr/>
              <w:t>243.0 / 339.3</w:t>
            </w:r>
          </w:p>
        </w:tc>
        <w:tc>
          <w:tcPr>
            <w:tcW w:w="1840" w:type="dxa"/>
            <w:tcBorders/>
            <w:vAlign w:val="center"/>
          </w:tcPr>
          <w:p>
            <w:pPr>
              <w:pStyle w:val="TableContents"/>
              <w:bidi w:val="0"/>
              <w:jc w:val="right"/>
              <w:rPr/>
            </w:pPr>
            <w:r>
              <w:rPr/>
              <w:t>+15.6 s [+13.0, +19.9]</w:t>
            </w:r>
          </w:p>
        </w:tc>
      </w:tr>
      <w:tr>
        <w:trPr/>
        <w:tc>
          <w:tcPr>
            <w:tcW w:w="1147" w:type="dxa"/>
            <w:tcBorders/>
            <w:vAlign w:val="center"/>
          </w:tcPr>
          <w:p>
            <w:pPr>
              <w:pStyle w:val="TableContents"/>
              <w:widowControl w:val="false"/>
              <w:suppressLineNumbers/>
              <w:bidi w:val="0"/>
              <w:jc w:val="left"/>
              <w:rPr/>
            </w:pPr>
            <w:r>
              <w:rPr/>
              <w:t>June</w:t>
            </w:r>
          </w:p>
        </w:tc>
        <w:tc>
          <w:tcPr>
            <w:tcW w:w="1905" w:type="dxa"/>
            <w:tcBorders/>
            <w:vAlign w:val="center"/>
          </w:tcPr>
          <w:p>
            <w:pPr>
              <w:pStyle w:val="TableContents"/>
              <w:bidi w:val="0"/>
              <w:jc w:val="right"/>
              <w:rPr/>
            </w:pPr>
            <w:r>
              <w:rPr/>
              <w:t>182,957</w:t>
            </w:r>
          </w:p>
        </w:tc>
        <w:tc>
          <w:tcPr>
            <w:tcW w:w="2917" w:type="dxa"/>
            <w:tcBorders/>
            <w:vAlign w:val="center"/>
          </w:tcPr>
          <w:p>
            <w:pPr>
              <w:pStyle w:val="TableContents"/>
              <w:bidi w:val="0"/>
              <w:jc w:val="right"/>
              <w:rPr/>
            </w:pPr>
            <w:r>
              <w:rPr/>
              <w:t>286.8 / 322.9</w:t>
            </w:r>
          </w:p>
        </w:tc>
        <w:tc>
          <w:tcPr>
            <w:tcW w:w="2730" w:type="dxa"/>
            <w:tcBorders/>
            <w:vAlign w:val="center"/>
          </w:tcPr>
          <w:p>
            <w:pPr>
              <w:pStyle w:val="TableContents"/>
              <w:bidi w:val="0"/>
              <w:jc w:val="right"/>
              <w:rPr/>
            </w:pPr>
            <w:r>
              <w:rPr/>
              <w:t>286.9 / 303.0</w:t>
            </w:r>
          </w:p>
        </w:tc>
        <w:tc>
          <w:tcPr>
            <w:tcW w:w="1840" w:type="dxa"/>
            <w:tcBorders/>
            <w:vAlign w:val="center"/>
          </w:tcPr>
          <w:p>
            <w:pPr>
              <w:pStyle w:val="TableContents"/>
              <w:bidi w:val="0"/>
              <w:jc w:val="right"/>
              <w:rPr/>
            </w:pPr>
            <w:r>
              <w:rPr/>
              <w:t>+20.0 s [+17.7, +22.4]</w:t>
            </w:r>
          </w:p>
        </w:tc>
      </w:tr>
      <w:tr>
        <w:trPr/>
        <w:tc>
          <w:tcPr>
            <w:tcW w:w="1147" w:type="dxa"/>
            <w:tcBorders/>
            <w:vAlign w:val="center"/>
          </w:tcPr>
          <w:p>
            <w:pPr>
              <w:pStyle w:val="TableContents"/>
              <w:widowControl w:val="false"/>
              <w:suppressLineNumbers/>
              <w:bidi w:val="0"/>
              <w:jc w:val="left"/>
              <w:rPr/>
            </w:pPr>
            <w:r>
              <w:rPr/>
              <w:t>July</w:t>
            </w:r>
          </w:p>
        </w:tc>
        <w:tc>
          <w:tcPr>
            <w:tcW w:w="1905" w:type="dxa"/>
            <w:tcBorders/>
            <w:vAlign w:val="center"/>
          </w:tcPr>
          <w:p>
            <w:pPr>
              <w:pStyle w:val="TableContents"/>
              <w:bidi w:val="0"/>
              <w:jc w:val="right"/>
              <w:rPr/>
            </w:pPr>
            <w:r>
              <w:rPr/>
              <w:t>190,378</w:t>
            </w:r>
          </w:p>
        </w:tc>
        <w:tc>
          <w:tcPr>
            <w:tcW w:w="2917" w:type="dxa"/>
            <w:tcBorders/>
            <w:vAlign w:val="center"/>
          </w:tcPr>
          <w:p>
            <w:pPr>
              <w:pStyle w:val="TableContents"/>
              <w:bidi w:val="0"/>
              <w:jc w:val="right"/>
              <w:rPr/>
            </w:pPr>
            <w:r>
              <w:rPr/>
              <w:t>332.5 / 412.7</w:t>
            </w:r>
          </w:p>
        </w:tc>
        <w:tc>
          <w:tcPr>
            <w:tcW w:w="2730" w:type="dxa"/>
            <w:tcBorders/>
            <w:vAlign w:val="center"/>
          </w:tcPr>
          <w:p>
            <w:pPr>
              <w:pStyle w:val="TableContents"/>
              <w:bidi w:val="0"/>
              <w:jc w:val="right"/>
              <w:rPr/>
            </w:pPr>
            <w:r>
              <w:rPr/>
              <w:t>332.7 / 396.0</w:t>
            </w:r>
          </w:p>
        </w:tc>
        <w:tc>
          <w:tcPr>
            <w:tcW w:w="1840" w:type="dxa"/>
            <w:tcBorders/>
            <w:vAlign w:val="center"/>
          </w:tcPr>
          <w:p>
            <w:pPr>
              <w:pStyle w:val="TableContents"/>
              <w:bidi w:val="0"/>
              <w:jc w:val="right"/>
              <w:rPr/>
            </w:pPr>
            <w:r>
              <w:rPr/>
              <w:t>+16.9 s [+13.2, +21.6]</w:t>
            </w:r>
          </w:p>
        </w:tc>
      </w:tr>
      <w:tr>
        <w:trPr/>
        <w:tc>
          <w:tcPr>
            <w:tcW w:w="1147" w:type="dxa"/>
            <w:tcBorders/>
            <w:vAlign w:val="center"/>
          </w:tcPr>
          <w:p>
            <w:pPr>
              <w:pStyle w:val="TableContents"/>
              <w:widowControl w:val="false"/>
              <w:suppressLineNumbers/>
              <w:bidi w:val="0"/>
              <w:jc w:val="left"/>
              <w:rPr/>
            </w:pPr>
            <w:r>
              <w:rPr/>
              <w:t>August</w:t>
            </w:r>
          </w:p>
        </w:tc>
        <w:tc>
          <w:tcPr>
            <w:tcW w:w="1905" w:type="dxa"/>
            <w:tcBorders/>
            <w:vAlign w:val="center"/>
          </w:tcPr>
          <w:p>
            <w:pPr>
              <w:pStyle w:val="TableContents"/>
              <w:bidi w:val="0"/>
              <w:jc w:val="right"/>
              <w:rPr/>
            </w:pPr>
            <w:r>
              <w:rPr/>
              <w:t>190,985</w:t>
            </w:r>
          </w:p>
        </w:tc>
        <w:tc>
          <w:tcPr>
            <w:tcW w:w="2917" w:type="dxa"/>
            <w:tcBorders/>
            <w:vAlign w:val="center"/>
          </w:tcPr>
          <w:p>
            <w:pPr>
              <w:pStyle w:val="TableContents"/>
              <w:bidi w:val="0"/>
              <w:jc w:val="right"/>
              <w:rPr/>
            </w:pPr>
            <w:r>
              <w:rPr/>
              <w:t>315.4 / 322.3</w:t>
            </w:r>
          </w:p>
        </w:tc>
        <w:tc>
          <w:tcPr>
            <w:tcW w:w="2730" w:type="dxa"/>
            <w:tcBorders/>
            <w:vAlign w:val="center"/>
          </w:tcPr>
          <w:p>
            <w:pPr>
              <w:pStyle w:val="TableContents"/>
              <w:bidi w:val="0"/>
              <w:jc w:val="right"/>
              <w:rPr/>
            </w:pPr>
            <w:r>
              <w:rPr/>
              <w:t>315.2 / 301.8</w:t>
            </w:r>
          </w:p>
        </w:tc>
        <w:tc>
          <w:tcPr>
            <w:tcW w:w="1840" w:type="dxa"/>
            <w:tcBorders/>
            <w:vAlign w:val="center"/>
          </w:tcPr>
          <w:p>
            <w:pPr>
              <w:pStyle w:val="TableContents"/>
              <w:bidi w:val="0"/>
              <w:jc w:val="right"/>
              <w:rPr/>
            </w:pPr>
            <w:r>
              <w:rPr/>
              <w:t>+20.3 s [+17.9, +22.6]</w:t>
            </w:r>
          </w:p>
        </w:tc>
      </w:tr>
      <w:tr>
        <w:trPr/>
        <w:tc>
          <w:tcPr>
            <w:tcW w:w="1147" w:type="dxa"/>
            <w:tcBorders/>
            <w:vAlign w:val="center"/>
          </w:tcPr>
          <w:p>
            <w:pPr>
              <w:pStyle w:val="TableContents"/>
              <w:widowControl w:val="false"/>
              <w:suppressLineNumbers/>
              <w:bidi w:val="0"/>
              <w:jc w:val="left"/>
              <w:rPr/>
            </w:pPr>
            <w:r>
              <w:rPr/>
              <w:t>September</w:t>
            </w:r>
          </w:p>
        </w:tc>
        <w:tc>
          <w:tcPr>
            <w:tcW w:w="1905" w:type="dxa"/>
            <w:tcBorders/>
            <w:vAlign w:val="center"/>
          </w:tcPr>
          <w:p>
            <w:pPr>
              <w:pStyle w:val="TableContents"/>
              <w:bidi w:val="0"/>
              <w:jc w:val="right"/>
              <w:rPr/>
            </w:pPr>
            <w:r>
              <w:rPr/>
              <w:t>183,782</w:t>
            </w:r>
          </w:p>
        </w:tc>
        <w:tc>
          <w:tcPr>
            <w:tcW w:w="2917" w:type="dxa"/>
            <w:tcBorders/>
            <w:vAlign w:val="center"/>
          </w:tcPr>
          <w:p>
            <w:pPr>
              <w:pStyle w:val="TableContents"/>
              <w:bidi w:val="0"/>
              <w:jc w:val="right"/>
              <w:rPr/>
            </w:pPr>
            <w:r>
              <w:rPr/>
              <w:t>278.7 / 318.6</w:t>
            </w:r>
          </w:p>
        </w:tc>
        <w:tc>
          <w:tcPr>
            <w:tcW w:w="2730" w:type="dxa"/>
            <w:tcBorders/>
            <w:vAlign w:val="center"/>
          </w:tcPr>
          <w:p>
            <w:pPr>
              <w:pStyle w:val="TableContents"/>
              <w:bidi w:val="0"/>
              <w:jc w:val="right"/>
              <w:rPr/>
            </w:pPr>
            <w:r>
              <w:rPr/>
              <w:t>278.0 / 297.1</w:t>
            </w:r>
          </w:p>
        </w:tc>
        <w:tc>
          <w:tcPr>
            <w:tcW w:w="1840" w:type="dxa"/>
            <w:tcBorders/>
            <w:vAlign w:val="center"/>
          </w:tcPr>
          <w:p>
            <w:pPr>
              <w:pStyle w:val="TableContents"/>
              <w:bidi w:val="0"/>
              <w:jc w:val="right"/>
              <w:rPr/>
            </w:pPr>
            <w:r>
              <w:rPr/>
              <w:t>+20.7 s [+18.4, +23.0]</w:t>
            </w:r>
          </w:p>
        </w:tc>
      </w:tr>
      <w:tr>
        <w:trPr/>
        <w:tc>
          <w:tcPr>
            <w:tcW w:w="1147" w:type="dxa"/>
            <w:tcBorders/>
            <w:vAlign w:val="center"/>
          </w:tcPr>
          <w:p>
            <w:pPr>
              <w:pStyle w:val="TableContents"/>
              <w:widowControl w:val="false"/>
              <w:suppressLineNumbers/>
              <w:bidi w:val="0"/>
              <w:jc w:val="left"/>
              <w:rPr/>
            </w:pPr>
            <w:r>
              <w:rPr/>
              <w:t>October</w:t>
            </w:r>
          </w:p>
        </w:tc>
        <w:tc>
          <w:tcPr>
            <w:tcW w:w="1905" w:type="dxa"/>
            <w:tcBorders/>
            <w:vAlign w:val="center"/>
          </w:tcPr>
          <w:p>
            <w:pPr>
              <w:pStyle w:val="TableContents"/>
              <w:bidi w:val="0"/>
              <w:jc w:val="right"/>
              <w:rPr/>
            </w:pPr>
            <w:r>
              <w:rPr/>
              <w:t>185,559</w:t>
            </w:r>
          </w:p>
        </w:tc>
        <w:tc>
          <w:tcPr>
            <w:tcW w:w="2917" w:type="dxa"/>
            <w:tcBorders/>
            <w:vAlign w:val="center"/>
          </w:tcPr>
          <w:p>
            <w:pPr>
              <w:pStyle w:val="TableContents"/>
              <w:bidi w:val="0"/>
              <w:jc w:val="right"/>
              <w:rPr/>
            </w:pPr>
            <w:r>
              <w:rPr/>
              <w:t>315.1 / 318.5</w:t>
            </w:r>
          </w:p>
        </w:tc>
        <w:tc>
          <w:tcPr>
            <w:tcW w:w="2730" w:type="dxa"/>
            <w:tcBorders/>
            <w:vAlign w:val="center"/>
          </w:tcPr>
          <w:p>
            <w:pPr>
              <w:pStyle w:val="TableContents"/>
              <w:bidi w:val="0"/>
              <w:jc w:val="right"/>
              <w:rPr/>
            </w:pPr>
            <w:r>
              <w:rPr/>
              <w:t>315.0 / 298.2</w:t>
            </w:r>
          </w:p>
        </w:tc>
        <w:tc>
          <w:tcPr>
            <w:tcW w:w="1840" w:type="dxa"/>
            <w:tcBorders/>
            <w:vAlign w:val="center"/>
          </w:tcPr>
          <w:p>
            <w:pPr>
              <w:pStyle w:val="TableContents"/>
              <w:bidi w:val="0"/>
              <w:jc w:val="right"/>
              <w:rPr/>
            </w:pPr>
            <w:r>
              <w:rPr/>
              <w:t>+20.2 s [+18.2, +22.3]</w:t>
            </w:r>
          </w:p>
        </w:tc>
      </w:tr>
      <w:tr>
        <w:trPr/>
        <w:tc>
          <w:tcPr>
            <w:tcW w:w="1147" w:type="dxa"/>
            <w:tcBorders/>
            <w:vAlign w:val="center"/>
          </w:tcPr>
          <w:p>
            <w:pPr>
              <w:pStyle w:val="TableContents"/>
              <w:widowControl w:val="false"/>
              <w:suppressLineNumbers/>
              <w:bidi w:val="0"/>
              <w:jc w:val="left"/>
              <w:rPr/>
            </w:pPr>
            <w:r>
              <w:rPr/>
              <w:t>November</w:t>
            </w:r>
          </w:p>
        </w:tc>
        <w:tc>
          <w:tcPr>
            <w:tcW w:w="1905" w:type="dxa"/>
            <w:tcBorders/>
            <w:vAlign w:val="center"/>
          </w:tcPr>
          <w:p>
            <w:pPr>
              <w:pStyle w:val="TableContents"/>
              <w:bidi w:val="0"/>
              <w:jc w:val="right"/>
              <w:rPr/>
            </w:pPr>
            <w:r>
              <w:rPr/>
              <w:t>162,280</w:t>
            </w:r>
          </w:p>
        </w:tc>
        <w:tc>
          <w:tcPr>
            <w:tcW w:w="2917" w:type="dxa"/>
            <w:tcBorders/>
            <w:vAlign w:val="center"/>
          </w:tcPr>
          <w:p>
            <w:pPr>
              <w:pStyle w:val="TableContents"/>
              <w:bidi w:val="0"/>
              <w:jc w:val="right"/>
              <w:rPr/>
            </w:pPr>
            <w:r>
              <w:rPr/>
              <w:t>297.5 / 321.6</w:t>
            </w:r>
          </w:p>
        </w:tc>
        <w:tc>
          <w:tcPr>
            <w:tcW w:w="2730" w:type="dxa"/>
            <w:tcBorders/>
            <w:vAlign w:val="center"/>
          </w:tcPr>
          <w:p>
            <w:pPr>
              <w:pStyle w:val="TableContents"/>
              <w:bidi w:val="0"/>
              <w:jc w:val="right"/>
              <w:rPr/>
            </w:pPr>
            <w:r>
              <w:rPr/>
              <w:t>297.2 / 300.6</w:t>
            </w:r>
          </w:p>
        </w:tc>
        <w:tc>
          <w:tcPr>
            <w:tcW w:w="1840" w:type="dxa"/>
            <w:tcBorders/>
            <w:vAlign w:val="center"/>
          </w:tcPr>
          <w:p>
            <w:pPr>
              <w:pStyle w:val="TableContents"/>
              <w:bidi w:val="0"/>
              <w:jc w:val="right"/>
              <w:rPr/>
            </w:pPr>
            <w:r>
              <w:rPr/>
              <w:t>+20.7 s [+18.3, +23.2]</w:t>
            </w:r>
          </w:p>
        </w:tc>
      </w:tr>
      <w:tr>
        <w:trPr/>
        <w:tc>
          <w:tcPr>
            <w:tcW w:w="1147" w:type="dxa"/>
            <w:tcBorders/>
            <w:vAlign w:val="center"/>
          </w:tcPr>
          <w:p>
            <w:pPr>
              <w:pStyle w:val="TableContents"/>
              <w:widowControl w:val="false"/>
              <w:suppressLineNumbers/>
              <w:bidi w:val="0"/>
              <w:jc w:val="left"/>
              <w:rPr/>
            </w:pPr>
            <w:r>
              <w:rPr/>
              <w:t>December</w:t>
            </w:r>
          </w:p>
        </w:tc>
        <w:tc>
          <w:tcPr>
            <w:tcW w:w="1905" w:type="dxa"/>
            <w:tcBorders/>
            <w:vAlign w:val="center"/>
          </w:tcPr>
          <w:p>
            <w:pPr>
              <w:pStyle w:val="TableContents"/>
              <w:bidi w:val="0"/>
              <w:jc w:val="right"/>
              <w:rPr/>
            </w:pPr>
            <w:r>
              <w:rPr/>
              <w:t>165,589</w:t>
            </w:r>
          </w:p>
        </w:tc>
        <w:tc>
          <w:tcPr>
            <w:tcW w:w="2917" w:type="dxa"/>
            <w:tcBorders/>
            <w:vAlign w:val="center"/>
          </w:tcPr>
          <w:p>
            <w:pPr>
              <w:pStyle w:val="TableContents"/>
              <w:bidi w:val="0"/>
              <w:jc w:val="right"/>
              <w:rPr/>
            </w:pPr>
            <w:r>
              <w:rPr/>
              <w:t>275.3 / 325.7</w:t>
            </w:r>
          </w:p>
        </w:tc>
        <w:tc>
          <w:tcPr>
            <w:tcW w:w="2730" w:type="dxa"/>
            <w:tcBorders/>
            <w:vAlign w:val="center"/>
          </w:tcPr>
          <w:p>
            <w:pPr>
              <w:pStyle w:val="TableContents"/>
              <w:bidi w:val="0"/>
              <w:jc w:val="right"/>
              <w:rPr/>
            </w:pPr>
            <w:r>
              <w:rPr/>
              <w:t>274.4 / 304.4</w:t>
            </w:r>
          </w:p>
        </w:tc>
        <w:tc>
          <w:tcPr>
            <w:tcW w:w="1840" w:type="dxa"/>
            <w:tcBorders/>
            <w:vAlign w:val="center"/>
          </w:tcPr>
          <w:p>
            <w:pPr>
              <w:pStyle w:val="TableContents"/>
              <w:bidi w:val="0"/>
              <w:jc w:val="right"/>
              <w:rPr/>
            </w:pPr>
            <w:r>
              <w:rPr/>
              <w:t>+20.4 s [+17.8, +22.7]</w:t>
            </w:r>
          </w:p>
        </w:tc>
      </w:tr>
      <w:tr>
        <w:trPr/>
        <w:tc>
          <w:tcPr>
            <w:tcW w:w="1147" w:type="dxa"/>
            <w:tcBorders/>
            <w:vAlign w:val="center"/>
          </w:tcPr>
          <w:p>
            <w:pPr>
              <w:pStyle w:val="TableContents"/>
              <w:widowControl w:val="false"/>
              <w:suppressLineNumbers/>
              <w:bidi w:val="0"/>
              <w:jc w:val="left"/>
              <w:rPr/>
            </w:pPr>
            <w:r>
              <w:rPr>
                <w:rStyle w:val="Strong"/>
              </w:rPr>
              <w:t>the year</w:t>
            </w:r>
          </w:p>
        </w:tc>
        <w:tc>
          <w:tcPr>
            <w:tcW w:w="1905" w:type="dxa"/>
            <w:tcBorders/>
            <w:vAlign w:val="center"/>
          </w:tcPr>
          <w:p>
            <w:pPr>
              <w:pStyle w:val="TableContents"/>
              <w:bidi w:val="0"/>
              <w:jc w:val="right"/>
              <w:rPr/>
            </w:pPr>
            <w:r>
              <w:rPr/>
              <w:t>2,083,562</w:t>
            </w:r>
          </w:p>
        </w:tc>
        <w:tc>
          <w:tcPr>
            <w:tcW w:w="2917" w:type="dxa"/>
            <w:tcBorders/>
            <w:vAlign w:val="center"/>
          </w:tcPr>
          <w:p>
            <w:pPr>
              <w:pStyle w:val="TableContents"/>
              <w:bidi w:val="0"/>
              <w:jc w:val="right"/>
              <w:rPr/>
            </w:pPr>
            <w:r>
              <w:rPr/>
              <w:t>291.4 / 343.8</w:t>
            </w:r>
          </w:p>
        </w:tc>
        <w:tc>
          <w:tcPr>
            <w:tcW w:w="2730" w:type="dxa"/>
            <w:tcBorders/>
            <w:vAlign w:val="center"/>
          </w:tcPr>
          <w:p>
            <w:pPr>
              <w:pStyle w:val="TableContents"/>
              <w:bidi w:val="0"/>
              <w:jc w:val="right"/>
              <w:rPr/>
            </w:pPr>
            <w:r>
              <w:rPr/>
              <w:t>290.9 / 324.9</w:t>
            </w:r>
          </w:p>
        </w:tc>
        <w:tc>
          <w:tcPr>
            <w:tcW w:w="1840" w:type="dxa"/>
            <w:tcBorders/>
            <w:vAlign w:val="center"/>
          </w:tcPr>
          <w:p>
            <w:pPr>
              <w:pStyle w:val="TableContents"/>
              <w:bidi w:val="0"/>
              <w:jc w:val="right"/>
              <w:rPr/>
            </w:pPr>
            <w:r>
              <w:rPr>
                <w:rStyle w:val="Strong"/>
              </w:rPr>
              <w:t>+18.5 s [+16.7, +20.5]</w:t>
            </w:r>
          </w:p>
        </w:tc>
      </w:tr>
    </w:tbl>
    <w:p>
      <w:pPr>
        <w:pStyle w:val="BodyText"/>
        <w:bidi w:val="0"/>
        <w:jc w:val="left"/>
        <w:rPr/>
      </w:pPr>
      <w:r>
        <w:rPr>
          <w:rStyle w:val="Strong"/>
        </w:rPr>
        <w:t>The claim clears zero in twelve of twelve months</w:t>
      </w:r>
      <w:r>
        <w:rPr/>
        <w:t>, from +15.6 s in May to +20.7 s in September and November, and over the rows of four hours or less, a diagnostic, in twelve of twelve as well. Per airport and month the contrast clears zero in every cell but three: Schiphol in January, and Barcelona in January and December (Annex D). The block's worth on the forward splits (§7.2) and over the held-out year, −1.4 s pooled (§8.4), is the other reading of the same block, and §9.1 says why the two are not in tension. Over the year, the base configuration reads 35.1 s [+13.8, +57.0] worse on a pair it has never seen than on one it has, and 11.0 s [+5.9, +16.3] worse over the rows of four hours or less. The seven day-shift rows, each on a pair held out in one fold, are the difference between the two readings (Annex D).</w:t>
      </w:r>
    </w:p>
    <w:p>
      <w:pPr>
        <w:pStyle w:val="BodyText"/>
        <w:bidi w:val="0"/>
        <w:jc w:val="left"/>
        <w:rPr/>
      </w:pPr>
      <w:r>
        <w:rPr/>
        <w:drawing>
          <wp:inline distT="0" distB="0" distL="0" distR="0">
            <wp:extent cx="720090" cy="360045"/>
            <wp:effectExtent l="0" t="0" r="0" b="0"/>
            <wp:docPr id="2" name="Image2" descr="The geometry claim in each month of the held-out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The geometry claim in each month of the held-out year"/>
                    <pic:cNvPicPr>
                      <a:picLocks noChangeAspect="1" noChangeArrowheads="1"/>
                    </pic:cNvPicPr>
                  </pic:nvPicPr>
                  <pic:blipFill>
                    <a:blip r:link="rId4"/>
                    <a:stretch>
                      <a:fillRect/>
                    </a:stretch>
                  </pic:blipFill>
                  <pic:spPr bwMode="auto">
                    <a:xfrm>
                      <a:off x="0" y="0"/>
                      <a:ext cx="720090" cy="360045"/>
                    </a:xfrm>
                    <a:prstGeom prst="rect">
                      <a:avLst/>
                    </a:prstGeom>
                    <a:noFill/>
                  </pic:spPr>
                </pic:pic>
              </a:graphicData>
            </a:graphic>
          </wp:inline>
        </w:drawing>
      </w:r>
    </w:p>
    <w:p>
      <w:pPr>
        <w:pStyle w:val="BodyText"/>
        <w:bidi w:val="0"/>
        <w:jc w:val="left"/>
        <w:rPr/>
      </w:pPr>
      <w:r>
        <w:rPr>
          <w:rStyle w:val="Strong"/>
        </w:rPr>
        <w:t>Figure 2.</w:t>
      </w:r>
      <w:r>
        <w:rPr/>
        <w:t xml:space="preserve"> The geometry claim in each month of the held-out year. Each dot is the month's difference in differences with its pair-clustered 95% interval, and the shaded band is the year's interval, +18.5 s [+16.7, +20.5]. The interval clears zero in every month, and the bar at the right marks the middle half of the twelve monthly estimates, so no single month carries the year.</w:t>
      </w:r>
    </w:p>
    <w:p>
      <w:pPr>
        <w:pStyle w:val="BodyText"/>
        <w:bidi w:val="0"/>
        <w:jc w:val="left"/>
        <w:rPr/>
      </w:pPr>
      <w:r>
        <w:rPr/>
        <w:t xml:space="preserve">Sources: </w:t>
      </w:r>
      <w:r>
        <w:rPr>
          <w:rStyle w:val="SourceText"/>
        </w:rPr>
        <w:t>reports/monthly_pairs.md</w:t>
      </w:r>
      <w:r>
        <w:rPr/>
        <w:t xml:space="preserve">, </w:t>
      </w:r>
      <w:r>
        <w:rPr>
          <w:rStyle w:val="Emphasis"/>
        </w:rPr>
        <w:t>Per month of 2025</w:t>
      </w:r>
      <w:r>
        <w:rPr/>
        <w:t xml:space="preserve">, </w:t>
      </w:r>
      <w:r>
        <w:rPr>
          <w:rStyle w:val="Emphasis"/>
        </w:rPr>
        <w:t>Per airport and month</w:t>
      </w:r>
      <w:r>
        <w:rPr/>
        <w:t xml:space="preserve">, </w:t>
      </w:r>
      <w:r>
        <w:rPr>
          <w:rStyle w:val="Emphasis"/>
        </w:rPr>
        <w:t>The shipped rung's gap</w:t>
      </w:r>
      <w:r>
        <w:rPr/>
        <w:t xml:space="preserve"> and </w:t>
      </w:r>
      <w:r>
        <w:rPr>
          <w:rStyle w:val="Emphasis"/>
        </w:rPr>
        <w:t>In how many months the claim holds</w:t>
      </w:r>
      <w:r>
        <w:rPr/>
        <w:t xml:space="preserve">; </w:t>
      </w:r>
      <w:r>
        <w:rPr>
          <w:rStyle w:val="SourceText"/>
        </w:rPr>
        <w:t>reports/monthly_ladder.md</w:t>
      </w:r>
      <w:r>
        <w:rPr/>
        <w:t xml:space="preserve">, </w:t>
      </w:r>
      <w:r>
        <w:rPr>
          <w:rStyle w:val="Emphasis"/>
        </w:rPr>
        <w:t>Summary: the year, pooled from the twelve months</w:t>
      </w:r>
      <w:r>
        <w:rPr/>
        <w:t>.</w:t>
      </w:r>
    </w:p>
    <w:p>
      <w:pPr>
        <w:pStyle w:val="Heading3"/>
        <w:bidi w:val="0"/>
        <w:jc w:val="left"/>
        <w:rPr/>
      </w:pPr>
      <w:r>
        <w:rPr/>
        <w:t>8.6 What the challenge score can and cannot show</w:t>
      </w:r>
    </w:p>
    <w:p>
      <w:pPr>
        <w:pStyle w:val="BodyText"/>
        <w:bidi w:val="0"/>
        <w:jc w:val="left"/>
        <w:rPr/>
      </w:pPr>
      <w:r>
        <w:rPr/>
        <w:t>The pooled test figure is a census of ten airports over two months, weighted by their departures, with July 2026 holding 192,122 of the 344,841 rows. The §7.3 bounds put the plan-lag regime shift at up to +5.6 s pooled in January and +5.1 in July, most of July's at Paris, and the winter regime at Frankfurt and Zurich is where the model extrapolates furthest. Three kinds of row decide the rest, and §8.2 has shown each kind on the training year. The record-quality term reaches 383 rows, all at Fiumicino, whose July departures are in the scored set; on the held-out year those rows take the figure from 243.7 s to 275.9. A day-shift row in a cell the term does not cover is scored at its recorded value and can move the pooled figure by itself: seven such rows in 2025, at three airports, take the year from 217.8 s to 243.7, and January's figure from 231.8 s to 346.8 on two of them. Finally, one ranking row is predicted by the rule of §4 at 52,550 s, with the two outcomes that section prices. The challenge score is one number over 344,841 rows, a mixture of the three readings above; the base configuration's was 313.169 s. §8.7 gives the files after it.</w:t>
      </w:r>
    </w:p>
    <w:p>
      <w:pPr>
        <w:pStyle w:val="BodyText"/>
        <w:bidi w:val="0"/>
        <w:jc w:val="left"/>
        <w:rPr/>
      </w:pPr>
      <w:r>
        <w:rPr/>
        <w:t xml:space="preserve">Sources: </w:t>
      </w:r>
      <w:r>
        <w:rPr>
          <w:rStyle w:val="SourceText"/>
        </w:rPr>
        <w:t>reports/congestion.md</w:t>
      </w:r>
      <w:r>
        <w:rPr/>
        <w:t xml:space="preserve">, </w:t>
      </w:r>
      <w:r>
        <w:rPr>
          <w:rStyle w:val="Emphasis"/>
        </w:rPr>
        <w:t>What it bounds</w:t>
      </w:r>
      <w:r>
        <w:rPr/>
        <w:t xml:space="preserve">; </w:t>
      </w:r>
      <w:r>
        <w:rPr>
          <w:rStyle w:val="SourceText"/>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rPr>
        <w:t>reports/tails.md</w:t>
      </w:r>
      <w:r>
        <w:rPr/>
        <w:t xml:space="preserve">, </w:t>
      </w:r>
      <w:r>
        <w:rPr>
          <w:rStyle w:val="Emphasis"/>
        </w:rPr>
        <w:t>What it touches in the ranking set</w:t>
      </w:r>
      <w:r>
        <w:rPr/>
        <w:t xml:space="preserve"> and </w:t>
      </w:r>
      <w:r>
        <w:rPr>
          <w:rStyle w:val="Emphasis"/>
        </w:rPr>
        <w:t>The plan-shifted departures</w:t>
      </w:r>
      <w:r>
        <w:rPr/>
        <w:t xml:space="preserve">; </w:t>
      </w:r>
      <w:r>
        <w:rPr>
          <w:rStyle w:val="SourceText"/>
        </w:rPr>
        <w:t>reports/monthly_seeds.md</w:t>
      </w:r>
      <w:r>
        <w:rPr/>
        <w:t xml:space="preserve">, </w:t>
      </w:r>
      <w:r>
        <w:rPr>
          <w:rStyle w:val="Emphasis"/>
        </w:rPr>
        <w:t>Per month and over the year</w:t>
      </w:r>
      <w:r>
        <w:rPr/>
        <w:t xml:space="preserve">; </w:t>
      </w:r>
      <w:r>
        <w:rPr>
          <w:rStyle w:val="SourceText"/>
        </w:rPr>
        <w:t>reports/planshift.md</w:t>
      </w:r>
      <w:r>
        <w:rPr/>
        <w:t xml:space="preserve">, </w:t>
      </w:r>
      <w:r>
        <w:rPr>
          <w:rStyle w:val="Emphasis"/>
        </w:rPr>
        <w:t>The one ranking departure</w:t>
      </w:r>
      <w:r>
        <w:rPr/>
        <w:t xml:space="preserve">; </w:t>
      </w:r>
      <w:r>
        <w:rPr>
          <w:rStyle w:val="SourceText"/>
        </w:rPr>
        <w:t>reports/submission-2026-10-04.md</w:t>
      </w:r>
      <w:r>
        <w:rPr/>
        <w:t xml:space="preserve">, </w:t>
      </w:r>
      <w:r>
        <w:rPr>
          <w:rStyle w:val="Emphasis"/>
        </w:rPr>
        <w:t>The file</w:t>
      </w:r>
      <w:r>
        <w:rPr/>
        <w:t>, a dated record.</w:t>
      </w:r>
    </w:p>
    <w:p>
      <w:pPr>
        <w:pStyle w:val="Heading3"/>
        <w:bidi w:val="0"/>
        <w:jc w:val="left"/>
        <w:rPr/>
      </w:pPr>
      <w:r>
        <w:rPr/>
        <w:t>8.7 After the first score: the refinements</w:t>
      </w:r>
    </w:p>
    <w:p>
      <w:pPr>
        <w:pStyle w:val="Heading4"/>
        <w:bidi w:val="0"/>
        <w:jc w:val="left"/>
        <w:rPr/>
      </w:pPr>
      <w:r>
        <w:rPr/>
        <w:t>8.7.1 From the base configuration to the final one</w:t>
      </w:r>
    </w:p>
    <w:p>
      <w:pPr>
        <w:pStyle w:val="BodyText"/>
        <w:bidi w:val="0"/>
        <w:jc w:val="left"/>
        <w:rPr/>
      </w:pPr>
      <w:r>
        <w:rPr/>
        <w:t xml:space="preserve">The base configuration of §8.1, a five-seed LightGBM booster with the two rules of §3.3, was frozen before the first challenge score, 313.169 s, was read. It was then tested against what it had left out: the two rules of §3.3, further feature groups, a second learner, the aircraft's own ground movements and the flight-plan record. Every refinement was fixed in a pre-registration before any of its figures existed, with the two exceptions that §8.7.2 and §8.7.4 disclose, and each pre-registration is published in </w:t>
      </w:r>
      <w:r>
        <w:rPr>
          <w:rStyle w:val="SourceText"/>
        </w:rPr>
        <w:t>reports/</w:t>
      </w:r>
      <w:r>
        <w:rPr/>
        <w:t>. The challenge returns a count of matched pairs and a score per submission, and nothing else was read back. A final phase then asked for one submission over four months of 2026, which is the final configuration.</w:t>
      </w:r>
    </w:p>
    <w:tbl>
      <w:tblPr>
        <w:tblW w:w="10539" w:type="dxa"/>
        <w:jc w:val="left"/>
        <w:tblInd w:w="28" w:type="dxa"/>
        <w:tblLayout w:type="fixed"/>
        <w:tblCellMar>
          <w:top w:w="28" w:type="dxa"/>
          <w:left w:w="28" w:type="dxa"/>
          <w:bottom w:w="28" w:type="dxa"/>
          <w:right w:w="28" w:type="dxa"/>
        </w:tblCellMar>
      </w:tblPr>
      <w:tblGrid>
        <w:gridCol w:w="2629"/>
        <w:gridCol w:w="6141"/>
        <w:gridCol w:w="1769"/>
      </w:tblGrid>
      <w:tr>
        <w:trPr>
          <w:tblHeader w:val="true"/>
        </w:trPr>
        <w:tc>
          <w:tcPr>
            <w:tcW w:w="2629" w:type="dxa"/>
            <w:tcBorders/>
            <w:vAlign w:val="center"/>
          </w:tcPr>
          <w:p>
            <w:pPr>
              <w:pStyle w:val="TableHeading"/>
              <w:suppressLineNumbers/>
              <w:bidi w:val="0"/>
              <w:jc w:val="center"/>
              <w:rPr/>
            </w:pPr>
            <w:r>
              <w:rPr/>
              <w:t>stage</w:t>
            </w:r>
          </w:p>
        </w:tc>
        <w:tc>
          <w:tcPr>
            <w:tcW w:w="6141" w:type="dxa"/>
            <w:tcBorders/>
            <w:vAlign w:val="center"/>
          </w:tcPr>
          <w:p>
            <w:pPr>
              <w:pStyle w:val="TableHeading"/>
              <w:suppressLineNumbers/>
              <w:bidi w:val="0"/>
              <w:jc w:val="center"/>
              <w:rPr/>
            </w:pPr>
            <w:r>
              <w:rPr/>
              <w:t>what it changes from the stage before</w:t>
            </w:r>
          </w:p>
        </w:tc>
        <w:tc>
          <w:tcPr>
            <w:tcW w:w="1769" w:type="dxa"/>
            <w:tcBorders/>
            <w:vAlign w:val="center"/>
          </w:tcPr>
          <w:p>
            <w:pPr>
              <w:pStyle w:val="TableHeading"/>
              <w:bidi w:val="0"/>
              <w:jc w:val="right"/>
              <w:rPr/>
            </w:pPr>
            <w:r>
              <w:rPr/>
              <w:t>challenge score (s)</w:t>
            </w:r>
          </w:p>
        </w:tc>
      </w:tr>
      <w:tr>
        <w:trPr/>
        <w:tc>
          <w:tcPr>
            <w:tcW w:w="2629" w:type="dxa"/>
            <w:tcBorders/>
            <w:vAlign w:val="center"/>
          </w:tcPr>
          <w:p>
            <w:pPr>
              <w:pStyle w:val="TableContents"/>
              <w:widowControl w:val="false"/>
              <w:suppressLineNumbers/>
              <w:bidi w:val="0"/>
              <w:jc w:val="left"/>
              <w:rPr/>
            </w:pPr>
            <w:r>
              <w:rPr/>
              <w:t>the base configuration</w:t>
            </w:r>
          </w:p>
        </w:tc>
        <w:tc>
          <w:tcPr>
            <w:tcW w:w="6141" w:type="dxa"/>
            <w:tcBorders/>
            <w:vAlign w:val="center"/>
          </w:tcPr>
          <w:p>
            <w:pPr>
              <w:pStyle w:val="TableContents"/>
              <w:widowControl w:val="false"/>
              <w:suppressLineNumbers/>
              <w:bidi w:val="0"/>
              <w:jc w:val="left"/>
              <w:rPr/>
            </w:pPr>
            <w:r>
              <w:rPr/>
              <w:t>the booster of §8.1, with both rules of §3.3</w:t>
            </w:r>
          </w:p>
        </w:tc>
        <w:tc>
          <w:tcPr>
            <w:tcW w:w="1769" w:type="dxa"/>
            <w:tcBorders/>
            <w:vAlign w:val="center"/>
          </w:tcPr>
          <w:p>
            <w:pPr>
              <w:pStyle w:val="TableContents"/>
              <w:bidi w:val="0"/>
              <w:jc w:val="right"/>
              <w:rPr/>
            </w:pPr>
            <w:r>
              <w:rPr/>
              <w:t>313.169</w:t>
            </w:r>
          </w:p>
        </w:tc>
      </w:tr>
      <w:tr>
        <w:trPr/>
        <w:tc>
          <w:tcPr>
            <w:tcW w:w="2629" w:type="dxa"/>
            <w:tcBorders/>
            <w:vAlign w:val="center"/>
          </w:tcPr>
          <w:p>
            <w:pPr>
              <w:pStyle w:val="TableContents"/>
              <w:widowControl w:val="false"/>
              <w:suppressLineNumbers/>
              <w:bidi w:val="0"/>
              <w:jc w:val="left"/>
              <w:rPr/>
            </w:pPr>
            <w:r>
              <w:rPr/>
              <w:t>rules switched off</w:t>
            </w:r>
          </w:p>
        </w:tc>
        <w:tc>
          <w:tcPr>
            <w:tcW w:w="6141" w:type="dxa"/>
            <w:tcBorders/>
            <w:vAlign w:val="center"/>
          </w:tcPr>
          <w:p>
            <w:pPr>
              <w:pStyle w:val="TableContents"/>
              <w:widowControl w:val="false"/>
              <w:suppressLineNumbers/>
              <w:bidi w:val="0"/>
              <w:jc w:val="left"/>
              <w:rPr/>
            </w:pPr>
            <w:r>
              <w:rPr/>
              <w:t>both rules off: the booster predicts every row</w:t>
            </w:r>
          </w:p>
        </w:tc>
        <w:tc>
          <w:tcPr>
            <w:tcW w:w="1769" w:type="dxa"/>
            <w:tcBorders/>
            <w:vAlign w:val="center"/>
          </w:tcPr>
          <w:p>
            <w:pPr>
              <w:pStyle w:val="TableContents"/>
              <w:bidi w:val="0"/>
              <w:jc w:val="right"/>
              <w:rPr/>
            </w:pPr>
            <w:r>
              <w:rPr/>
              <w:t>533.1066</w:t>
            </w:r>
          </w:p>
        </w:tc>
      </w:tr>
      <w:tr>
        <w:trPr/>
        <w:tc>
          <w:tcPr>
            <w:tcW w:w="2629" w:type="dxa"/>
            <w:tcBorders/>
            <w:vAlign w:val="center"/>
          </w:tcPr>
          <w:p>
            <w:pPr>
              <w:pStyle w:val="TableContents"/>
              <w:widowControl w:val="false"/>
              <w:suppressLineNumbers/>
              <w:bidi w:val="0"/>
              <w:jc w:val="left"/>
              <w:rPr/>
            </w:pPr>
            <w:r>
              <w:rPr/>
              <w:t>feature groups and a second learner</w:t>
            </w:r>
          </w:p>
        </w:tc>
        <w:tc>
          <w:tcPr>
            <w:tcW w:w="6141" w:type="dxa"/>
            <w:tcBorders/>
            <w:vAlign w:val="center"/>
          </w:tcPr>
          <w:p>
            <w:pPr>
              <w:pStyle w:val="TableContents"/>
              <w:widowControl w:val="false"/>
              <w:suppressLineNumbers/>
              <w:bidi w:val="0"/>
              <w:jc w:val="left"/>
              <w:rPr/>
            </w:pPr>
            <w:r>
              <w:rPr/>
              <w:t>both rules restored; two feature groups and a CatBoost learner added; the term's rows predicted per row</w:t>
            </w:r>
          </w:p>
        </w:tc>
        <w:tc>
          <w:tcPr>
            <w:tcW w:w="1769" w:type="dxa"/>
            <w:tcBorders/>
            <w:vAlign w:val="center"/>
          </w:tcPr>
          <w:p>
            <w:pPr>
              <w:pStyle w:val="TableContents"/>
              <w:bidi w:val="0"/>
              <w:jc w:val="right"/>
              <w:rPr/>
            </w:pPr>
            <w:r>
              <w:rPr/>
              <w:t>282.399</w:t>
            </w:r>
          </w:p>
        </w:tc>
      </w:tr>
      <w:tr>
        <w:trPr/>
        <w:tc>
          <w:tcPr>
            <w:tcW w:w="2629" w:type="dxa"/>
            <w:tcBorders/>
            <w:vAlign w:val="center"/>
          </w:tcPr>
          <w:p>
            <w:pPr>
              <w:pStyle w:val="TableContents"/>
              <w:widowControl w:val="false"/>
              <w:suppressLineNumbers/>
              <w:bidi w:val="0"/>
              <w:jc w:val="left"/>
              <w:rPr/>
            </w:pPr>
            <w:r>
              <w:rPr/>
              <w:t>ground-movement correction</w:t>
            </w:r>
          </w:p>
        </w:tc>
        <w:tc>
          <w:tcPr>
            <w:tcW w:w="6141" w:type="dxa"/>
            <w:tcBorders/>
            <w:vAlign w:val="center"/>
          </w:tcPr>
          <w:p>
            <w:pPr>
              <w:pStyle w:val="TableContents"/>
              <w:widowControl w:val="false"/>
              <w:suppressLineNumbers/>
              <w:bidi w:val="0"/>
              <w:jc w:val="left"/>
              <w:rPr/>
            </w:pPr>
            <w:r>
              <w:rPr/>
              <w:t>a correction from ground movements seen in open ADS-B and OPDI, gated by coverage and by airport</w:t>
            </w:r>
          </w:p>
        </w:tc>
        <w:tc>
          <w:tcPr>
            <w:tcW w:w="1769" w:type="dxa"/>
            <w:tcBorders/>
            <w:vAlign w:val="center"/>
          </w:tcPr>
          <w:p>
            <w:pPr>
              <w:pStyle w:val="TableContents"/>
              <w:bidi w:val="0"/>
              <w:jc w:val="right"/>
              <w:rPr/>
            </w:pPr>
            <w:r>
              <w:rPr/>
              <w:t>272.0897</w:t>
            </w:r>
          </w:p>
        </w:tc>
      </w:tr>
      <w:tr>
        <w:trPr/>
        <w:tc>
          <w:tcPr>
            <w:tcW w:w="2629" w:type="dxa"/>
            <w:tcBorders/>
            <w:vAlign w:val="center"/>
          </w:tcPr>
          <w:p>
            <w:pPr>
              <w:pStyle w:val="TableContents"/>
              <w:widowControl w:val="false"/>
              <w:suppressLineNumbers/>
              <w:bidi w:val="0"/>
              <w:jc w:val="left"/>
              <w:rPr/>
            </w:pPr>
            <w:r>
              <w:rPr/>
              <w:t>learner refitted, blend per airport</w:t>
            </w:r>
          </w:p>
        </w:tc>
        <w:tc>
          <w:tcPr>
            <w:tcW w:w="6141" w:type="dxa"/>
            <w:tcBorders/>
            <w:vAlign w:val="center"/>
          </w:tcPr>
          <w:p>
            <w:pPr>
              <w:pStyle w:val="TableContents"/>
              <w:widowControl w:val="false"/>
              <w:suppressLineNumbers/>
              <w:bidi w:val="0"/>
              <w:jc w:val="left"/>
              <w:rPr/>
            </w:pPr>
            <w:r>
              <w:rPr/>
              <w:t>the CatBoost learner refitted with the feature groups, a blend chosen per airport; the correction refitted on top</w:t>
            </w:r>
          </w:p>
        </w:tc>
        <w:tc>
          <w:tcPr>
            <w:tcW w:w="1769" w:type="dxa"/>
            <w:tcBorders/>
            <w:vAlign w:val="center"/>
          </w:tcPr>
          <w:p>
            <w:pPr>
              <w:pStyle w:val="TableContents"/>
              <w:bidi w:val="0"/>
              <w:jc w:val="right"/>
              <w:rPr/>
            </w:pPr>
            <w:r>
              <w:rPr/>
              <w:t>269.1368</w:t>
            </w:r>
          </w:p>
        </w:tc>
      </w:tr>
      <w:tr>
        <w:trPr/>
        <w:tc>
          <w:tcPr>
            <w:tcW w:w="2629" w:type="dxa"/>
            <w:tcBorders/>
            <w:vAlign w:val="center"/>
          </w:tcPr>
          <w:p>
            <w:pPr>
              <w:pStyle w:val="TableContents"/>
              <w:widowControl w:val="false"/>
              <w:suppressLineNumbers/>
              <w:bidi w:val="0"/>
              <w:jc w:val="left"/>
              <w:rPr/>
            </w:pPr>
            <w:r>
              <w:rPr/>
              <w:t>the final configuration</w:t>
            </w:r>
          </w:p>
        </w:tc>
        <w:tc>
          <w:tcPr>
            <w:tcW w:w="6141" w:type="dxa"/>
            <w:tcBorders/>
            <w:vAlign w:val="center"/>
          </w:tcPr>
          <w:p>
            <w:pPr>
              <w:pStyle w:val="TableContents"/>
              <w:widowControl w:val="false"/>
              <w:suppressLineNumbers/>
              <w:bidi w:val="0"/>
              <w:jc w:val="left"/>
              <w:rPr/>
            </w:pPr>
            <w:r>
              <w:rPr/>
              <w:t>the final phase's four months; the ground-movement correction refitted on every day of 2025; the flight-plan window</w:t>
            </w:r>
          </w:p>
        </w:tc>
        <w:tc>
          <w:tcPr>
            <w:tcW w:w="1769" w:type="dxa"/>
            <w:tcBorders/>
            <w:vAlign w:val="center"/>
          </w:tcPr>
          <w:p>
            <w:pPr>
              <w:pStyle w:val="TableContents"/>
              <w:bidi w:val="0"/>
              <w:jc w:val="right"/>
              <w:rPr/>
            </w:pPr>
            <w:r>
              <w:rPr/>
              <w:t>pending the final ranking</w:t>
            </w:r>
          </w:p>
        </w:tc>
      </w:tr>
    </w:tbl>
    <w:p>
      <w:pPr>
        <w:pStyle w:val="BodyText"/>
        <w:bidi w:val="0"/>
        <w:jc w:val="left"/>
        <w:rPr/>
      </w:pPr>
      <w:r>
        <w:rPr/>
        <w:t>Scores were read but chose nothing, apart from the case §8.7.2 discloses. Read in order, lower being better, every refinement the rules adopted on the training year scored better than the stage before it. The one stage that set the training year's evidence aside, with the rules switched off, scored far worse.</w:t>
      </w:r>
    </w:p>
    <w:p>
      <w:pPr>
        <w:pStyle w:val="Heading4"/>
        <w:bidi w:val="0"/>
        <w:jc w:val="left"/>
        <w:rPr/>
      </w:pPr>
      <w:r>
        <w:rPr/>
        <w:t>8.7.2 The one decision taken on a score</w:t>
      </w:r>
    </w:p>
    <w:p>
      <w:pPr>
        <w:pStyle w:val="BodyText"/>
        <w:bidi w:val="0"/>
        <w:jc w:val="left"/>
        <w:rPr/>
      </w:pPr>
      <w:r>
        <w:rPr/>
        <w:t>The first pre-registration judged the two rules of §3.3 a liability on the 2026 rows, on an analysis computed before the base configuration's score existed. The variant built on that conclusion switches both rules off and differs from the base configuration only on the 384 rows they take. Its score, in the table above, contradicted the conclusion, and an amendment withdrew it. The amendment states the withdrawal as a choice made after a score and on it. Every later stage applies both rules exactly as the base configuration does. No other decision in this work reads a score.</w:t>
      </w:r>
    </w:p>
    <w:p>
      <w:pPr>
        <w:pStyle w:val="Heading4"/>
        <w:bidi w:val="0"/>
        <w:jc w:val="left"/>
        <w:rPr/>
      </w:pPr>
      <w:r>
        <w:rPr/>
        <w:t>8.7.3 Feature groups and a second learner</w:t>
      </w:r>
    </w:p>
    <w:p>
      <w:pPr>
        <w:pStyle w:val="BodyText"/>
        <w:bidi w:val="0"/>
        <w:jc w:val="left"/>
        <w:rPr/>
      </w:pPr>
      <w:r>
        <w:rPr/>
        <w:t xml:space="preserve">Nine candidates were each read against the base configuration on the legs of §7.1 and the twelve held-out months, and those that passed their rule alone were then read together. Three passed. The first is a feature group built on the network manager's recorded off-block time, </w:t>
      </w:r>
      <w:r>
        <w:rPr>
          <w:rStyle w:val="SourceText"/>
        </w:rPr>
        <w:t>AOBT_3_flt</w:t>
      </w:r>
      <w:r>
        <w:rPr/>
        <w:t>, and the queue of departures it lets the booster count. The second is each flight number's own history in the training year. The third is a second learner, a CatBoost learner, blended with the booster at equal weight. Together they are better than the base configuration by 13.81 s on December, by 12.10 on July over all ten airports, and by 8.25 pooled over the twelve held-out months. A winter layer, a per-airport recalibration, a gamma-deviance learner, thunderstorm flags from the METAR and row weights toward the target month did not pass.</w:t>
      </w:r>
    </w:p>
    <w:p>
      <w:pPr>
        <w:pStyle w:val="BodyText"/>
        <w:bidi w:val="0"/>
        <w:jc w:val="left"/>
        <w:rPr/>
      </w:pPr>
      <w:r>
        <w:rPr>
          <w:rStyle w:val="SourceText"/>
        </w:rPr>
        <w:t>AOBT_3_flt</w:t>
      </w:r>
      <w:r>
        <w:rPr/>
        <w:t xml:space="preserve"> was first kept out of the features, as a record of the departure itself. It is published in the ranking set and not blanked, and the features built on it are this work's own, so it was admitted once the feature group had passed and before the configuration that uses it was built. On the 383 rows the record-quality term covers, a classifier of whether a row's block time sits at its schedule replaces the term's single share per cell. Pooled over the twelve months, its mean squared error is 17,687,795 s² against the term's 23,585,522.</w:t>
      </w:r>
    </w:p>
    <w:p>
      <w:pPr>
        <w:pStyle w:val="Heading4"/>
        <w:bidi w:val="0"/>
        <w:jc w:val="left"/>
        <w:rPr/>
      </w:pPr>
      <w:r>
        <w:rPr/>
        <w:t>8.7.4 The ground-movement correction</w:t>
      </w:r>
    </w:p>
    <w:p>
      <w:pPr>
        <w:pStyle w:val="BodyText"/>
        <w:bidi w:val="0"/>
        <w:jc w:val="left"/>
        <w:rPr/>
      </w:pPr>
      <w:r>
        <w:rPr/>
        <w:t xml:space="preserve">Two open sources of surface positions were matched to the departures: the adsb.lol globe history, under the Open Database License, and the flight events of EUROCONTROL's OPDI. From them come the times an aircraft is first seen on the ground, first moves and stops, and the same for the other departures around it. A second learner, a stacker, reads them and corrects the out-of-fold prediction of the configuration with the feature groups and the second learner. This is the ground-movement correction. Under its rule as first written, the correction was better pooled, by 3.89 s, but worse in January and July, the months in which airports that no receiver sees carry most of the error, so it was not adopted. Applied only to rows a source covers, it is better by 7.49 s pooled and 9.67 on December, and holds in every month. At three airports, EGLL, LFPG and LIRF (Heathrow, Paris and Fiumicino), it was still worse on the rows it covered, so a second gate was added: the correction is kept at an airport in a month only where it beat the uncorrected prediction on that airport's covered rows in the other eleven months. </w:t>
      </w:r>
      <w:r>
        <w:rPr>
          <w:rStyle w:val="Strong"/>
        </w:rPr>
        <w:t>That airport gate was defined after the per-airport figures had been seen</w:t>
      </w:r>
      <w:r>
        <w:rPr/>
        <w:t>, and its pre-registration says so. It is better than the coverage gate alone by 2.40 s pooled and 4.75 on December, and better than the uncorrected prediction by 9.89 pooled. The gate drops EGLL, LFPG and LIRF in every month and keeps the other seven; no ranking row at Istanbul (LTFM) is covered, so the correction applies at six airports.</w:t>
      </w:r>
    </w:p>
    <w:p>
      <w:pPr>
        <w:pStyle w:val="Heading4"/>
        <w:bidi w:val="0"/>
        <w:jc w:val="left"/>
        <w:rPr/>
      </w:pPr>
      <w:r>
        <w:rPr/>
        <w:t>8.7.5 The learner refitted, and a choice per airport</w:t>
      </w:r>
    </w:p>
    <w:p>
      <w:pPr>
        <w:pStyle w:val="BodyText"/>
        <w:bidi w:val="0"/>
        <w:jc w:val="left"/>
        <w:rPr/>
      </w:pPr>
      <w:r>
        <w:rPr/>
        <w:t>Six more candidates were read, five of them fitted on every split. The one with a mechanism behind it carried the result. The CatBoost learner had been fitted without the two feature groups the booster had gained; refitted with them, the blend is better than the stage before by 3.03 s over the twelve held-out months. One booster per airport and a larger booster both failed July, and the winter layer did worse on its own January check. The booster's weight in the blend was chosen among four values, a selection the report discloses. A selector then chose, per airport and out of fold, among eight of these predictions. It is better than that configuration by 2.49 s pooled and 4.52 on December, and for the ranking rows it takes the refitted blend at nine airports and the old learners at Fiumicino (LIRF). It should be highlighted that on its forward legs the selector could see months after the one being scored, and the report says so. The ground-movement correction refitted on top of it is better than it by 6.59 s pooled with the coverage gate, and the airport gate adds 2.42; the gate keeps the same airports. Choosing airport by airport did not beat a better shared model: the per-airport boosters lost July, and the selector chose the shared learner everywhere but one airport.</w:t>
      </w:r>
    </w:p>
    <w:p>
      <w:pPr>
        <w:pStyle w:val="BodyText"/>
        <w:bidi w:val="0"/>
        <w:jc w:val="left"/>
        <w:rPr/>
      </w:pPr>
      <w:r>
        <w:rPr/>
        <w:t>Two last candidates were fixed before their figures: the booster's weight in the refitted blend, and a larger stacker for the correction. Neither passed, and the refitted configuration stood until the final phase. Their pre-registration is published with the others.</w:t>
      </w:r>
    </w:p>
    <w:p>
      <w:pPr>
        <w:pStyle w:val="Heading4"/>
        <w:bidi w:val="0"/>
        <w:jc w:val="left"/>
        <w:rPr/>
      </w:pPr>
      <w:r>
        <w:rPr/>
        <w:t>8.7.6 The final configuration</w:t>
      </w:r>
    </w:p>
    <w:p>
      <w:pPr>
        <w:pStyle w:val="BodyText"/>
        <w:bidi w:val="0"/>
        <w:jc w:val="left"/>
        <w:rPr/>
      </w:pPr>
      <w:r>
        <w:rPr/>
        <w:t>The final phase asks for one submission predicting four months of 2026, January and July with February and June added, ranked on January with July, on February with June and on the four together. The final configuration is that submission. It is the refitted configuration, unchanged in every learner, weight, gate, rule and seed, applied to the four months, and nothing in it was chosen on a figure read on the new rows. Two changes were made, each under a pre-registration written before any of its figures existed. First, the ground-movement correction is refitted, its parameters, features and seed unchanged, on every day of 2025 with an adsb.lol table rather than every second day: 348 days in place of 174. Second, a flight-plan window is applied, which rests on a measurement of the training year, with thresholds fixed before any count existed. Over the 2,062,577 departures of 2025 that carry a flight plan's off-block time, the recorded off-block time never lies more than 3,606 s from it. The count stops at that edge rather than thinning into it, with 4,315 rows within 300 s of the edge against 5,763 in the 300 s before. A record appears to be associated with a flight plan only inside that window. The window therefore clips each prediction to the plan's lag within 3,618 s (the edge plus the 12 s by which the ranking set's take-off times are redrawn), after everything else, the two rules included. Tests of records shifted by a day or by a UTC offset were read under the same pre-registration; the candidate built on them did not pass, and nothing joined the final configuration from it. §8.8 reads what each step of the final configuration is worth.</w:t>
      </w:r>
    </w:p>
    <w:p>
      <w:pPr>
        <w:pStyle w:val="BodyText"/>
        <w:bidi w:val="0"/>
        <w:jc w:val="left"/>
        <w:rPr/>
      </w:pPr>
      <w:r>
        <w:rPr/>
        <w:t xml:space="preserve">The final configuration was built twice from a clean tree with identical bytes. Its score follows the final ranking, and its record is the final submission record in </w:t>
      </w:r>
      <w:r>
        <w:rPr>
          <w:rStyle w:val="SourceText"/>
        </w:rPr>
        <w:t>reports/</w:t>
      </w:r>
      <w:r>
        <w:rPr/>
        <w:t>.</w:t>
      </w:r>
    </w:p>
    <w:p>
      <w:pPr>
        <w:pStyle w:val="Heading4"/>
        <w:bidi w:val="0"/>
        <w:jc w:val="left"/>
        <w:rPr/>
      </w:pPr>
      <w:r>
        <w:rPr/>
        <w:t>8.7.7 The working names, and where to find them</w:t>
      </w:r>
    </w:p>
    <w:p>
      <w:pPr>
        <w:pStyle w:val="BodyText"/>
        <w:bidi w:val="0"/>
        <w:jc w:val="left"/>
        <w:rPr/>
      </w:pPr>
      <w:r>
        <w:rPr/>
        <w:t>The pre-registrations and reports name each change by a short code, written before the change had a description. The paper uses the descriptions; this table gives the code each one carries in the record, and where to read it.</w:t>
      </w:r>
    </w:p>
    <w:tbl>
      <w:tblPr>
        <w:tblW w:w="10539" w:type="dxa"/>
        <w:jc w:val="left"/>
        <w:tblInd w:w="28" w:type="dxa"/>
        <w:tblLayout w:type="fixed"/>
        <w:tblCellMar>
          <w:top w:w="28" w:type="dxa"/>
          <w:left w:w="28" w:type="dxa"/>
          <w:bottom w:w="28" w:type="dxa"/>
          <w:right w:w="28" w:type="dxa"/>
        </w:tblCellMar>
      </w:tblPr>
      <w:tblGrid>
        <w:gridCol w:w="3806"/>
        <w:gridCol w:w="1292"/>
        <w:gridCol w:w="5441"/>
      </w:tblGrid>
      <w:tr>
        <w:trPr>
          <w:tblHeader w:val="true"/>
        </w:trPr>
        <w:tc>
          <w:tcPr>
            <w:tcW w:w="3806" w:type="dxa"/>
            <w:tcBorders/>
            <w:vAlign w:val="center"/>
          </w:tcPr>
          <w:p>
            <w:pPr>
              <w:pStyle w:val="TableHeading"/>
              <w:suppressLineNumbers/>
              <w:bidi w:val="0"/>
              <w:jc w:val="center"/>
              <w:rPr/>
            </w:pPr>
            <w:r>
              <w:rPr/>
              <w:t>what the paper calls it</w:t>
            </w:r>
          </w:p>
        </w:tc>
        <w:tc>
          <w:tcPr>
            <w:tcW w:w="1292" w:type="dxa"/>
            <w:tcBorders/>
            <w:vAlign w:val="center"/>
          </w:tcPr>
          <w:p>
            <w:pPr>
              <w:pStyle w:val="TableHeading"/>
              <w:suppressLineNumbers/>
              <w:bidi w:val="0"/>
              <w:jc w:val="center"/>
              <w:rPr/>
            </w:pPr>
            <w:r>
              <w:rPr/>
              <w:t>name in the record</w:t>
            </w:r>
          </w:p>
        </w:tc>
        <w:tc>
          <w:tcPr>
            <w:tcW w:w="5441" w:type="dxa"/>
            <w:tcBorders/>
            <w:vAlign w:val="center"/>
          </w:tcPr>
          <w:p>
            <w:pPr>
              <w:pStyle w:val="TableHeading"/>
              <w:suppressLineNumbers/>
              <w:bidi w:val="0"/>
              <w:jc w:val="center"/>
              <w:rPr/>
            </w:pPr>
            <w:r>
              <w:rPr/>
              <w:t>where to read it</w:t>
            </w:r>
          </w:p>
        </w:tc>
      </w:tr>
      <w:tr>
        <w:trPr/>
        <w:tc>
          <w:tcPr>
            <w:tcW w:w="3806" w:type="dxa"/>
            <w:tcBorders/>
            <w:vAlign w:val="center"/>
          </w:tcPr>
          <w:p>
            <w:pPr>
              <w:pStyle w:val="TableContents"/>
              <w:widowControl w:val="false"/>
              <w:suppressLineNumbers/>
              <w:bidi w:val="0"/>
              <w:jc w:val="left"/>
              <w:rPr/>
            </w:pPr>
            <w:r>
              <w:rPr/>
              <w:t>the feature group on the network manager's recorded off-block time</w:t>
            </w:r>
          </w:p>
        </w:tc>
        <w:tc>
          <w:tcPr>
            <w:tcW w:w="1292" w:type="dxa"/>
            <w:tcBorders/>
            <w:vAlign w:val="center"/>
          </w:tcPr>
          <w:p>
            <w:pPr>
              <w:pStyle w:val="TableContents"/>
              <w:widowControl w:val="false"/>
              <w:suppressLineNumbers/>
              <w:bidi w:val="0"/>
              <w:jc w:val="left"/>
              <w:rPr/>
            </w:pPr>
            <w:r>
              <w:rPr/>
              <w:t>C1</w:t>
            </w:r>
          </w:p>
        </w:tc>
        <w:tc>
          <w:tcPr>
            <w:tcW w:w="5441" w:type="dxa"/>
            <w:tcBorders/>
            <w:vAlign w:val="center"/>
          </w:tcPr>
          <w:p>
            <w:pPr>
              <w:pStyle w:val="TableContents"/>
              <w:widowControl w:val="false"/>
              <w:suppressLineNumbers/>
              <w:bidi w:val="0"/>
              <w:jc w:val="left"/>
              <w:rPr/>
            </w:pPr>
            <w:r>
              <w:rPr>
                <w:rStyle w:val="SourceText"/>
              </w:rPr>
              <w:t>reports/preregistered-2026-10-04.md</w:t>
            </w:r>
            <w:r>
              <w:rPr/>
              <w:t xml:space="preserve">, §3; </w:t>
            </w:r>
            <w:r>
              <w:rPr>
                <w:rStyle w:val="SourceText"/>
              </w:rPr>
              <w:t>reports/candidates-2026-10-05.md</w:t>
            </w:r>
          </w:p>
        </w:tc>
      </w:tr>
      <w:tr>
        <w:trPr/>
        <w:tc>
          <w:tcPr>
            <w:tcW w:w="3806" w:type="dxa"/>
            <w:tcBorders/>
            <w:vAlign w:val="center"/>
          </w:tcPr>
          <w:p>
            <w:pPr>
              <w:pStyle w:val="TableContents"/>
              <w:widowControl w:val="false"/>
              <w:suppressLineNumbers/>
              <w:bidi w:val="0"/>
              <w:jc w:val="left"/>
              <w:rPr/>
            </w:pPr>
            <w:r>
              <w:rPr/>
              <w:t>the flight number's own history</w:t>
            </w:r>
          </w:p>
        </w:tc>
        <w:tc>
          <w:tcPr>
            <w:tcW w:w="1292" w:type="dxa"/>
            <w:tcBorders/>
            <w:vAlign w:val="center"/>
          </w:tcPr>
          <w:p>
            <w:pPr>
              <w:pStyle w:val="TableContents"/>
              <w:widowControl w:val="false"/>
              <w:suppressLineNumbers/>
              <w:bidi w:val="0"/>
              <w:jc w:val="left"/>
              <w:rPr/>
            </w:pPr>
            <w:r>
              <w:rPr/>
              <w:t>C4</w:t>
            </w:r>
          </w:p>
        </w:tc>
        <w:tc>
          <w:tcPr>
            <w:tcW w:w="5441" w:type="dxa"/>
            <w:tcBorders/>
            <w:vAlign w:val="center"/>
          </w:tcPr>
          <w:p>
            <w:pPr>
              <w:pStyle w:val="TableContents"/>
              <w:widowControl w:val="false"/>
              <w:suppressLineNumbers/>
              <w:bidi w:val="0"/>
              <w:jc w:val="left"/>
              <w:rPr/>
            </w:pPr>
            <w:r>
              <w:rPr/>
              <w:t>the same</w:t>
            </w:r>
          </w:p>
        </w:tc>
      </w:tr>
      <w:tr>
        <w:trPr/>
        <w:tc>
          <w:tcPr>
            <w:tcW w:w="3806" w:type="dxa"/>
            <w:tcBorders/>
            <w:vAlign w:val="center"/>
          </w:tcPr>
          <w:p>
            <w:pPr>
              <w:pStyle w:val="TableContents"/>
              <w:widowControl w:val="false"/>
              <w:suppressLineNumbers/>
              <w:bidi w:val="0"/>
              <w:jc w:val="left"/>
              <w:rPr/>
            </w:pPr>
            <w:r>
              <w:rPr/>
              <w:t>the CatBoost learner, blended with the booster at equal weight</w:t>
            </w:r>
          </w:p>
        </w:tc>
        <w:tc>
          <w:tcPr>
            <w:tcW w:w="1292" w:type="dxa"/>
            <w:tcBorders/>
            <w:vAlign w:val="center"/>
          </w:tcPr>
          <w:p>
            <w:pPr>
              <w:pStyle w:val="TableContents"/>
              <w:widowControl w:val="false"/>
              <w:suppressLineNumbers/>
              <w:bidi w:val="0"/>
              <w:jc w:val="left"/>
              <w:rPr/>
            </w:pPr>
            <w:r>
              <w:rPr/>
              <w:t>C3b</w:t>
            </w:r>
          </w:p>
        </w:tc>
        <w:tc>
          <w:tcPr>
            <w:tcW w:w="5441" w:type="dxa"/>
            <w:tcBorders/>
            <w:vAlign w:val="center"/>
          </w:tcPr>
          <w:p>
            <w:pPr>
              <w:pStyle w:val="TableContents"/>
              <w:widowControl w:val="false"/>
              <w:suppressLineNumbers/>
              <w:bidi w:val="0"/>
              <w:jc w:val="left"/>
              <w:rPr/>
            </w:pPr>
            <w:r>
              <w:rPr/>
              <w:t>the same</w:t>
            </w:r>
          </w:p>
        </w:tc>
      </w:tr>
      <w:tr>
        <w:trPr/>
        <w:tc>
          <w:tcPr>
            <w:tcW w:w="3806" w:type="dxa"/>
            <w:tcBorders/>
            <w:vAlign w:val="center"/>
          </w:tcPr>
          <w:p>
            <w:pPr>
              <w:pStyle w:val="TableContents"/>
              <w:widowControl w:val="false"/>
              <w:suppressLineNumbers/>
              <w:bidi w:val="0"/>
              <w:jc w:val="left"/>
              <w:rPr/>
            </w:pPr>
            <w:r>
              <w:rPr/>
              <w:t>the classifier for the record-quality rows</w:t>
            </w:r>
          </w:p>
        </w:tc>
        <w:tc>
          <w:tcPr>
            <w:tcW w:w="1292" w:type="dxa"/>
            <w:tcBorders/>
            <w:vAlign w:val="center"/>
          </w:tcPr>
          <w:p>
            <w:pPr>
              <w:pStyle w:val="TableContents"/>
              <w:widowControl w:val="false"/>
              <w:suppressLineNumbers/>
              <w:bidi w:val="0"/>
              <w:jc w:val="left"/>
              <w:rPr/>
            </w:pPr>
            <w:r>
              <w:rPr/>
              <w:t>C6b</w:t>
            </w:r>
          </w:p>
        </w:tc>
        <w:tc>
          <w:tcPr>
            <w:tcW w:w="5441" w:type="dxa"/>
            <w:tcBorders/>
            <w:vAlign w:val="center"/>
          </w:tcPr>
          <w:p>
            <w:pPr>
              <w:pStyle w:val="TableContents"/>
              <w:widowControl w:val="false"/>
              <w:suppressLineNumbers/>
              <w:bidi w:val="0"/>
              <w:jc w:val="left"/>
              <w:rPr/>
            </w:pPr>
            <w:r>
              <w:rPr>
                <w:rStyle w:val="SourceText"/>
              </w:rPr>
              <w:t>reports/c6.md</w:t>
            </w:r>
          </w:p>
        </w:tc>
      </w:tr>
      <w:tr>
        <w:trPr/>
        <w:tc>
          <w:tcPr>
            <w:tcW w:w="3806" w:type="dxa"/>
            <w:tcBorders/>
            <w:vAlign w:val="center"/>
          </w:tcPr>
          <w:p>
            <w:pPr>
              <w:pStyle w:val="TableContents"/>
              <w:widowControl w:val="false"/>
              <w:suppressLineNumbers/>
              <w:bidi w:val="0"/>
              <w:jc w:val="left"/>
              <w:rPr/>
            </w:pPr>
            <w:r>
              <w:rPr/>
              <w:t>the ground-movement correction</w:t>
            </w:r>
          </w:p>
        </w:tc>
        <w:tc>
          <w:tcPr>
            <w:tcW w:w="1292" w:type="dxa"/>
            <w:tcBorders/>
            <w:vAlign w:val="center"/>
          </w:tcPr>
          <w:p>
            <w:pPr>
              <w:pStyle w:val="TableContents"/>
              <w:widowControl w:val="false"/>
              <w:suppressLineNumbers/>
              <w:bidi w:val="0"/>
              <w:jc w:val="left"/>
              <w:rPr/>
            </w:pPr>
            <w:r>
              <w:rPr/>
              <w:t>the fusion</w:t>
            </w:r>
          </w:p>
        </w:tc>
        <w:tc>
          <w:tcPr>
            <w:tcW w:w="5441" w:type="dxa"/>
            <w:tcBorders/>
            <w:vAlign w:val="center"/>
          </w:tcPr>
          <w:p>
            <w:pPr>
              <w:pStyle w:val="TableContents"/>
              <w:widowControl w:val="false"/>
              <w:suppressLineNumbers/>
              <w:bidi w:val="0"/>
              <w:jc w:val="left"/>
              <w:rPr/>
            </w:pPr>
            <w:r>
              <w:rPr>
                <w:rStyle w:val="SourceText"/>
              </w:rPr>
              <w:t>reports/fusion.md</w:t>
            </w:r>
          </w:p>
        </w:tc>
      </w:tr>
      <w:tr>
        <w:trPr/>
        <w:tc>
          <w:tcPr>
            <w:tcW w:w="3806" w:type="dxa"/>
            <w:tcBorders/>
            <w:vAlign w:val="center"/>
          </w:tcPr>
          <w:p>
            <w:pPr>
              <w:pStyle w:val="TableContents"/>
              <w:widowControl w:val="false"/>
              <w:suppressLineNumbers/>
              <w:bidi w:val="0"/>
              <w:jc w:val="left"/>
              <w:rPr/>
            </w:pPr>
            <w:r>
              <w:rPr/>
              <w:t>the correction on covered rows only (the coverage gate)</w:t>
            </w:r>
          </w:p>
        </w:tc>
        <w:tc>
          <w:tcPr>
            <w:tcW w:w="1292" w:type="dxa"/>
            <w:tcBorders/>
            <w:vAlign w:val="center"/>
          </w:tcPr>
          <w:p>
            <w:pPr>
              <w:pStyle w:val="TableContents"/>
              <w:widowControl w:val="false"/>
              <w:suppressLineNumbers/>
              <w:bidi w:val="0"/>
              <w:jc w:val="left"/>
              <w:rPr/>
            </w:pPr>
            <w:r>
              <w:rPr/>
              <w:t>G1</w:t>
            </w:r>
          </w:p>
        </w:tc>
        <w:tc>
          <w:tcPr>
            <w:tcW w:w="5441" w:type="dxa"/>
            <w:tcBorders/>
            <w:vAlign w:val="center"/>
          </w:tcPr>
          <w:p>
            <w:pPr>
              <w:pStyle w:val="TableContents"/>
              <w:widowControl w:val="false"/>
              <w:suppressLineNumbers/>
              <w:bidi w:val="0"/>
              <w:jc w:val="left"/>
              <w:rPr/>
            </w:pPr>
            <w:r>
              <w:rPr>
                <w:rStyle w:val="SourceText"/>
              </w:rPr>
              <w:t>reports/fusion.md</w:t>
            </w:r>
          </w:p>
        </w:tc>
      </w:tr>
      <w:tr>
        <w:trPr/>
        <w:tc>
          <w:tcPr>
            <w:tcW w:w="3806" w:type="dxa"/>
            <w:tcBorders/>
            <w:vAlign w:val="center"/>
          </w:tcPr>
          <w:p>
            <w:pPr>
              <w:pStyle w:val="TableContents"/>
              <w:widowControl w:val="false"/>
              <w:suppressLineNumbers/>
              <w:bidi w:val="0"/>
              <w:jc w:val="left"/>
              <w:rPr/>
            </w:pPr>
            <w:r>
              <w:rPr/>
              <w:t>the correction kept only at airports where it helped (the airport gate)</w:t>
            </w:r>
          </w:p>
        </w:tc>
        <w:tc>
          <w:tcPr>
            <w:tcW w:w="1292" w:type="dxa"/>
            <w:tcBorders/>
            <w:vAlign w:val="center"/>
          </w:tcPr>
          <w:p>
            <w:pPr>
              <w:pStyle w:val="TableContents"/>
              <w:widowControl w:val="false"/>
              <w:suppressLineNumbers/>
              <w:bidi w:val="0"/>
              <w:jc w:val="left"/>
              <w:rPr/>
            </w:pPr>
            <w:r>
              <w:rPr/>
              <w:t>G1n</w:t>
            </w:r>
          </w:p>
        </w:tc>
        <w:tc>
          <w:tcPr>
            <w:tcW w:w="5441" w:type="dxa"/>
            <w:tcBorders/>
            <w:vAlign w:val="center"/>
          </w:tcPr>
          <w:p>
            <w:pPr>
              <w:pStyle w:val="TableContents"/>
              <w:widowControl w:val="false"/>
              <w:suppressLineNumbers/>
              <w:bidi w:val="0"/>
              <w:jc w:val="left"/>
              <w:rPr/>
            </w:pPr>
            <w:r>
              <w:rPr>
                <w:rStyle w:val="SourceText"/>
              </w:rPr>
              <w:t>reports/fusion.md</w:t>
            </w:r>
            <w:r>
              <w:rPr/>
              <w:t xml:space="preserve">; </w:t>
            </w:r>
            <w:r>
              <w:rPr>
                <w:rStyle w:val="SourceText"/>
              </w:rPr>
              <w:t>reports/preregistered-2026-10-06-g1n.md</w:t>
            </w:r>
          </w:p>
        </w:tc>
      </w:tr>
      <w:tr>
        <w:trPr/>
        <w:tc>
          <w:tcPr>
            <w:tcW w:w="3806" w:type="dxa"/>
            <w:tcBorders/>
            <w:vAlign w:val="center"/>
          </w:tcPr>
          <w:p>
            <w:pPr>
              <w:pStyle w:val="TableContents"/>
              <w:widowControl w:val="false"/>
              <w:suppressLineNumbers/>
              <w:bidi w:val="0"/>
              <w:jc w:val="left"/>
              <w:rPr/>
            </w:pPr>
            <w:r>
              <w:rPr/>
              <w:t>the CatBoost learner refitted with the feature groups of §8.7.3</w:t>
            </w:r>
          </w:p>
        </w:tc>
        <w:tc>
          <w:tcPr>
            <w:tcW w:w="1292" w:type="dxa"/>
            <w:tcBorders/>
            <w:vAlign w:val="center"/>
          </w:tcPr>
          <w:p>
            <w:pPr>
              <w:pStyle w:val="TableContents"/>
              <w:widowControl w:val="false"/>
              <w:suppressLineNumbers/>
              <w:bidi w:val="0"/>
              <w:jc w:val="left"/>
              <w:rPr/>
            </w:pPr>
            <w:r>
              <w:rPr/>
              <w:t>C11</w:t>
            </w:r>
          </w:p>
        </w:tc>
        <w:tc>
          <w:tcPr>
            <w:tcW w:w="5441" w:type="dxa"/>
            <w:tcBorders/>
            <w:vAlign w:val="center"/>
          </w:tcPr>
          <w:p>
            <w:pPr>
              <w:pStyle w:val="TableContents"/>
              <w:widowControl w:val="false"/>
              <w:suppressLineNumbers/>
              <w:bidi w:val="0"/>
              <w:jc w:val="left"/>
              <w:rPr/>
            </w:pPr>
            <w:r>
              <w:rPr>
                <w:rStyle w:val="SourceText"/>
              </w:rPr>
              <w:t>reports/group-b.md</w:t>
            </w:r>
          </w:p>
        </w:tc>
      </w:tr>
      <w:tr>
        <w:trPr/>
        <w:tc>
          <w:tcPr>
            <w:tcW w:w="3806" w:type="dxa"/>
            <w:tcBorders/>
            <w:vAlign w:val="center"/>
          </w:tcPr>
          <w:p>
            <w:pPr>
              <w:pStyle w:val="TableContents"/>
              <w:widowControl w:val="false"/>
              <w:suppressLineNumbers/>
              <w:bidi w:val="0"/>
              <w:jc w:val="left"/>
              <w:rPr/>
            </w:pPr>
            <w:r>
              <w:rPr/>
              <w:t>the per-airport choice of blend</w:t>
            </w:r>
          </w:p>
        </w:tc>
        <w:tc>
          <w:tcPr>
            <w:tcW w:w="1292" w:type="dxa"/>
            <w:tcBorders/>
            <w:vAlign w:val="center"/>
          </w:tcPr>
          <w:p>
            <w:pPr>
              <w:pStyle w:val="TableContents"/>
              <w:widowControl w:val="false"/>
              <w:suppressLineNumbers/>
              <w:bidi w:val="0"/>
              <w:jc w:val="left"/>
              <w:rPr/>
            </w:pPr>
            <w:r>
              <w:rPr/>
              <w:t>C14</w:t>
            </w:r>
          </w:p>
        </w:tc>
        <w:tc>
          <w:tcPr>
            <w:tcW w:w="5441" w:type="dxa"/>
            <w:tcBorders/>
            <w:vAlign w:val="center"/>
          </w:tcPr>
          <w:p>
            <w:pPr>
              <w:pStyle w:val="TableContents"/>
              <w:widowControl w:val="false"/>
              <w:suppressLineNumbers/>
              <w:bidi w:val="0"/>
              <w:jc w:val="left"/>
              <w:rPr/>
            </w:pPr>
            <w:r>
              <w:rPr>
                <w:rStyle w:val="SourceText"/>
              </w:rPr>
              <w:t>reports/group-b.md</w:t>
            </w:r>
          </w:p>
        </w:tc>
      </w:tr>
      <w:tr>
        <w:trPr/>
        <w:tc>
          <w:tcPr>
            <w:tcW w:w="3806" w:type="dxa"/>
            <w:tcBorders/>
            <w:vAlign w:val="center"/>
          </w:tcPr>
          <w:p>
            <w:pPr>
              <w:pStyle w:val="TableContents"/>
              <w:widowControl w:val="false"/>
              <w:suppressLineNumbers/>
              <w:bidi w:val="0"/>
              <w:jc w:val="left"/>
              <w:rPr/>
            </w:pPr>
            <w:r>
              <w:rPr/>
              <w:t>the two last candidates</w:t>
            </w:r>
          </w:p>
        </w:tc>
        <w:tc>
          <w:tcPr>
            <w:tcW w:w="1292" w:type="dxa"/>
            <w:tcBorders/>
            <w:vAlign w:val="center"/>
          </w:tcPr>
          <w:p>
            <w:pPr>
              <w:pStyle w:val="TableContents"/>
              <w:widowControl w:val="false"/>
              <w:suppressLineNumbers/>
              <w:bidi w:val="0"/>
              <w:jc w:val="left"/>
              <w:rPr/>
            </w:pPr>
            <w:r>
              <w:rPr/>
              <w:t>group C</w:t>
            </w:r>
          </w:p>
        </w:tc>
        <w:tc>
          <w:tcPr>
            <w:tcW w:w="5441" w:type="dxa"/>
            <w:tcBorders/>
            <w:vAlign w:val="center"/>
          </w:tcPr>
          <w:p>
            <w:pPr>
              <w:pStyle w:val="TableContents"/>
              <w:widowControl w:val="false"/>
              <w:suppressLineNumbers/>
              <w:bidi w:val="0"/>
              <w:jc w:val="left"/>
              <w:rPr/>
            </w:pPr>
            <w:r>
              <w:rPr>
                <w:rStyle w:val="SourceText"/>
              </w:rPr>
              <w:t>reports/preregistered-2026-10-07-group-c.md</w:t>
            </w:r>
          </w:p>
        </w:tc>
      </w:tr>
      <w:tr>
        <w:trPr/>
        <w:tc>
          <w:tcPr>
            <w:tcW w:w="3806" w:type="dxa"/>
            <w:tcBorders/>
            <w:vAlign w:val="center"/>
          </w:tcPr>
          <w:p>
            <w:pPr>
              <w:pStyle w:val="TableContents"/>
              <w:widowControl w:val="false"/>
              <w:suppressLineNumbers/>
              <w:bidi w:val="0"/>
              <w:jc w:val="left"/>
              <w:rPr/>
            </w:pPr>
            <w:r>
              <w:rPr/>
              <w:t>the correction refitted on every day of 2025</w:t>
            </w:r>
          </w:p>
        </w:tc>
        <w:tc>
          <w:tcPr>
            <w:tcW w:w="1292" w:type="dxa"/>
            <w:tcBorders/>
            <w:vAlign w:val="center"/>
          </w:tcPr>
          <w:p>
            <w:pPr>
              <w:pStyle w:val="TableContents"/>
              <w:widowControl w:val="false"/>
              <w:suppressLineNumbers/>
              <w:bidi w:val="0"/>
              <w:jc w:val="left"/>
              <w:rPr/>
            </w:pPr>
            <w:r>
              <w:rPr/>
              <w:t>C17</w:t>
            </w:r>
          </w:p>
        </w:tc>
        <w:tc>
          <w:tcPr>
            <w:tcW w:w="5441" w:type="dxa"/>
            <w:tcBorders/>
            <w:vAlign w:val="center"/>
          </w:tcPr>
          <w:p>
            <w:pPr>
              <w:pStyle w:val="TableContents"/>
              <w:widowControl w:val="false"/>
              <w:suppressLineNumbers/>
              <w:bidi w:val="0"/>
              <w:jc w:val="left"/>
              <w:rPr/>
            </w:pPr>
            <w:r>
              <w:rPr>
                <w:rStyle w:val="SourceText"/>
              </w:rPr>
              <w:t>reports/preregistered-2026-10-08-all-days.md</w:t>
            </w:r>
            <w:r>
              <w:rPr/>
              <w:t xml:space="preserve">; </w:t>
            </w:r>
            <w:r>
              <w:rPr>
                <w:rStyle w:val="SourceText"/>
              </w:rPr>
              <w:t>reports/v12-ladder.md</w:t>
            </w:r>
          </w:p>
        </w:tc>
      </w:tr>
      <w:tr>
        <w:trPr/>
        <w:tc>
          <w:tcPr>
            <w:tcW w:w="3806" w:type="dxa"/>
            <w:tcBorders/>
            <w:vAlign w:val="center"/>
          </w:tcPr>
          <w:p>
            <w:pPr>
              <w:pStyle w:val="TableContents"/>
              <w:widowControl w:val="false"/>
              <w:suppressLineNumbers/>
              <w:bidi w:val="0"/>
              <w:jc w:val="left"/>
              <w:rPr/>
            </w:pPr>
            <w:r>
              <w:rPr/>
              <w:t>the flight-plan window</w:t>
            </w:r>
          </w:p>
        </w:tc>
        <w:tc>
          <w:tcPr>
            <w:tcW w:w="1292" w:type="dxa"/>
            <w:tcBorders/>
            <w:vAlign w:val="center"/>
          </w:tcPr>
          <w:p>
            <w:pPr>
              <w:pStyle w:val="TableContents"/>
              <w:widowControl w:val="false"/>
              <w:suppressLineNumbers/>
              <w:bidi w:val="0"/>
              <w:jc w:val="left"/>
              <w:rPr/>
            </w:pPr>
            <w:r>
              <w:rPr/>
              <w:t>W</w:t>
            </w:r>
          </w:p>
        </w:tc>
        <w:tc>
          <w:tcPr>
            <w:tcW w:w="5441" w:type="dxa"/>
            <w:tcBorders/>
            <w:vAlign w:val="center"/>
          </w:tcPr>
          <w:p>
            <w:pPr>
              <w:pStyle w:val="TableContents"/>
              <w:widowControl w:val="false"/>
              <w:suppressLineNumbers/>
              <w:bidi w:val="0"/>
              <w:jc w:val="left"/>
              <w:rPr/>
            </w:pPr>
            <w:r>
              <w:rPr>
                <w:rStyle w:val="SourceText"/>
              </w:rPr>
              <w:t>reports/preregistered-2026-10-09-records.md</w:t>
            </w:r>
            <w:r>
              <w:rPr/>
              <w:t xml:space="preserve">, §1; </w:t>
            </w:r>
            <w:r>
              <w:rPr>
                <w:rStyle w:val="SourceText"/>
              </w:rPr>
              <w:t>reports/window.md</w:t>
            </w:r>
          </w:p>
        </w:tc>
      </w:tr>
      <w:tr>
        <w:trPr/>
        <w:tc>
          <w:tcPr>
            <w:tcW w:w="3806" w:type="dxa"/>
            <w:tcBorders/>
            <w:vAlign w:val="center"/>
          </w:tcPr>
          <w:p>
            <w:pPr>
              <w:pStyle w:val="TableContents"/>
              <w:widowControl w:val="false"/>
              <w:suppressLineNumbers/>
              <w:bidi w:val="0"/>
              <w:jc w:val="left"/>
              <w:rPr/>
            </w:pPr>
            <w:r>
              <w:rPr/>
              <w:t>the candidate built on shifted records</w:t>
            </w:r>
          </w:p>
        </w:tc>
        <w:tc>
          <w:tcPr>
            <w:tcW w:w="1292" w:type="dxa"/>
            <w:tcBorders/>
            <w:vAlign w:val="center"/>
          </w:tcPr>
          <w:p>
            <w:pPr>
              <w:pStyle w:val="TableContents"/>
              <w:widowControl w:val="false"/>
              <w:suppressLineNumbers/>
              <w:bidi w:val="0"/>
              <w:jc w:val="left"/>
              <w:rPr/>
            </w:pPr>
            <w:r>
              <w:rPr/>
              <w:t>C20</w:t>
            </w:r>
          </w:p>
        </w:tc>
        <w:tc>
          <w:tcPr>
            <w:tcW w:w="5441" w:type="dxa"/>
            <w:tcBorders/>
            <w:vAlign w:val="center"/>
          </w:tcPr>
          <w:p>
            <w:pPr>
              <w:pStyle w:val="TableContents"/>
              <w:widowControl w:val="false"/>
              <w:suppressLineNumbers/>
              <w:bidi w:val="0"/>
              <w:jc w:val="left"/>
              <w:rPr/>
            </w:pPr>
            <w:r>
              <w:rPr>
                <w:rStyle w:val="SourceText"/>
              </w:rPr>
              <w:t>reports/preregistered-2026-10-09-records.md</w:t>
            </w:r>
            <w:r>
              <w:rPr/>
              <w:t>, §2</w:t>
            </w:r>
          </w:p>
        </w:tc>
      </w:tr>
      <w:tr>
        <w:trPr/>
        <w:tc>
          <w:tcPr>
            <w:tcW w:w="3806" w:type="dxa"/>
            <w:tcBorders/>
            <w:vAlign w:val="center"/>
          </w:tcPr>
          <w:p>
            <w:pPr>
              <w:pStyle w:val="TableContents"/>
              <w:widowControl w:val="false"/>
              <w:suppressLineNumbers/>
              <w:bidi w:val="0"/>
              <w:jc w:val="left"/>
              <w:rPr/>
            </w:pPr>
            <w:r>
              <w:rPr/>
              <w:t>the six steps of the final configuration in §8.8</w:t>
            </w:r>
          </w:p>
        </w:tc>
        <w:tc>
          <w:tcPr>
            <w:tcW w:w="1292" w:type="dxa"/>
            <w:tcBorders/>
            <w:vAlign w:val="center"/>
          </w:tcPr>
          <w:p>
            <w:pPr>
              <w:pStyle w:val="TableContents"/>
              <w:widowControl w:val="false"/>
              <w:suppressLineNumbers/>
              <w:bidi w:val="0"/>
              <w:jc w:val="left"/>
              <w:rPr/>
            </w:pPr>
            <w:r>
              <w:rPr/>
              <w:t>S0 to S5</w:t>
            </w:r>
          </w:p>
        </w:tc>
        <w:tc>
          <w:tcPr>
            <w:tcW w:w="5441" w:type="dxa"/>
            <w:tcBorders/>
            <w:vAlign w:val="center"/>
          </w:tcPr>
          <w:p>
            <w:pPr>
              <w:pStyle w:val="TableContents"/>
              <w:widowControl w:val="false"/>
              <w:suppressLineNumbers/>
              <w:bidi w:val="0"/>
              <w:jc w:val="left"/>
              <w:rPr/>
            </w:pPr>
            <w:r>
              <w:rPr>
                <w:rStyle w:val="SourceText"/>
              </w:rPr>
              <w:t>reports/v12-ladder.md</w:t>
            </w:r>
          </w:p>
        </w:tc>
      </w:tr>
    </w:tbl>
    <w:p>
      <w:pPr>
        <w:pStyle w:val="BodyText"/>
        <w:bidi w:val="0"/>
        <w:jc w:val="left"/>
        <w:rPr/>
      </w:pPr>
      <w:r>
        <w:rPr/>
        <w:t xml:space="preserve">Sources: </w:t>
      </w:r>
      <w:r>
        <w:rPr>
          <w:rStyle w:val="SourceText"/>
        </w:rPr>
        <w:t>reports/preregistered-2026-10-08-all-days.md</w:t>
      </w:r>
      <w:r>
        <w:rPr/>
        <w:t xml:space="preserve">, </w:t>
      </w:r>
      <w:r>
        <w:rPr>
          <w:rStyle w:val="SourceText"/>
        </w:rPr>
        <w:t>reports/preregistered-2026-10-08-four-months.md</w:t>
      </w:r>
      <w:r>
        <w:rPr/>
        <w:t xml:space="preserve">, </w:t>
      </w:r>
      <w:r>
        <w:rPr>
          <w:rStyle w:val="SourceText"/>
        </w:rPr>
        <w:t>reports/preregistered-2026-10-08-final-phase.md</w:t>
      </w:r>
      <w:r>
        <w:rPr/>
        <w:t xml:space="preserve"> and </w:t>
      </w:r>
      <w:r>
        <w:rPr>
          <w:rStyle w:val="SourceText"/>
        </w:rPr>
        <w:t>reports/preregistered-2026-10-09-records.md</w:t>
      </w:r>
      <w:r>
        <w:rPr/>
        <w:t xml:space="preserve">, dated records; </w:t>
      </w:r>
      <w:r>
        <w:rPr>
          <w:rStyle w:val="SourceText"/>
        </w:rPr>
        <w:t>reports/window.md</w:t>
      </w:r>
      <w:r>
        <w:rPr/>
        <w:t xml:space="preserve">, </w:t>
      </w:r>
      <w:r>
        <w:rPr>
          <w:rStyle w:val="Emphasis"/>
        </w:rPr>
        <w:t>The verdict</w:t>
      </w:r>
      <w:r>
        <w:rPr/>
        <w:t xml:space="preserve"> and </w:t>
      </w:r>
      <w:r>
        <w:rPr>
          <w:rStyle w:val="Emphasis"/>
        </w:rPr>
        <w:t>The difference over the training year</w:t>
      </w:r>
      <w:r>
        <w:rPr/>
        <w:t xml:space="preserve">; </w:t>
      </w:r>
      <w:r>
        <w:rPr>
          <w:rStyle w:val="SourceText"/>
        </w:rPr>
        <w:t>reports/v12-ladder.md</w:t>
      </w:r>
      <w:r>
        <w:rPr/>
        <w:t xml:space="preserve">, </w:t>
      </w:r>
      <w:r>
        <w:rPr>
          <w:rStyle w:val="Emphasis"/>
        </w:rPr>
        <w:t>The steps</w:t>
      </w:r>
      <w:r>
        <w:rPr/>
        <w:t xml:space="preserve">; </w:t>
      </w:r>
      <w:r>
        <w:rPr>
          <w:rStyle w:val="SourceText"/>
        </w:rPr>
        <w:t>reports/submission-2026-10-04.md</w:t>
      </w:r>
      <w:r>
        <w:rPr/>
        <w:t xml:space="preserve">, </w:t>
      </w:r>
      <w:r>
        <w:rPr>
          <w:rStyle w:val="SourceText"/>
        </w:rPr>
        <w:t>reports/submission-2026-10-04-v8.md</w:t>
      </w:r>
      <w:r>
        <w:rPr/>
        <w:t xml:space="preserve">, </w:t>
      </w:r>
      <w:r>
        <w:rPr>
          <w:rStyle w:val="SourceText"/>
        </w:rPr>
        <w:t>reports/submission-2026-10-06-v9.md</w:t>
      </w:r>
      <w:r>
        <w:rPr/>
        <w:t xml:space="preserve">, </w:t>
      </w:r>
      <w:r>
        <w:rPr>
          <w:rStyle w:val="SourceText"/>
        </w:rPr>
        <w:t>reports/submission-2026-10-07-v10.md</w:t>
      </w:r>
      <w:r>
        <w:rPr/>
        <w:t xml:space="preserve"> and </w:t>
      </w:r>
      <w:r>
        <w:rPr>
          <w:rStyle w:val="SourceText"/>
        </w:rPr>
        <w:t>reports/submission-2026-10-08-v11.md</w:t>
      </w:r>
      <w:r>
        <w:rPr/>
        <w:t xml:space="preserve"> and </w:t>
      </w:r>
      <w:r>
        <w:rPr>
          <w:rStyle w:val="SourceText"/>
        </w:rPr>
        <w:t>reports/submission-2026-10-11-v12.md</w:t>
      </w:r>
      <w:r>
        <w:rPr/>
        <w:t xml:space="preserve">, dated records; </w:t>
      </w:r>
      <w:r>
        <w:rPr>
          <w:rStyle w:val="SourceText"/>
        </w:rPr>
        <w:t>reports/candidates-2026-10-05.md</w:t>
      </w:r>
      <w:r>
        <w:rPr/>
        <w:t xml:space="preserve">, </w:t>
      </w:r>
      <w:r>
        <w:rPr>
          <w:rStyle w:val="Emphasis"/>
        </w:rPr>
        <w:t>Section 4's combination</w:t>
      </w:r>
      <w:r>
        <w:rPr/>
        <w:t xml:space="preserve">; </w:t>
      </w:r>
      <w:r>
        <w:rPr>
          <w:rStyle w:val="SourceText"/>
        </w:rPr>
        <w:t>reports/c6.md</w:t>
      </w:r>
      <w:r>
        <w:rPr/>
        <w:t xml:space="preserve">, </w:t>
      </w:r>
      <w:r>
        <w:rPr>
          <w:rStyle w:val="Emphasis"/>
        </w:rPr>
        <w:t>Mean squared error, s²</w:t>
      </w:r>
      <w:r>
        <w:rPr/>
        <w:t xml:space="preserve">; </w:t>
      </w:r>
      <w:r>
        <w:rPr>
          <w:rStyle w:val="SourceText"/>
        </w:rPr>
        <w:t>reports/fusion.md</w:t>
      </w:r>
      <w:r>
        <w:rPr/>
        <w:t xml:space="preserve">, </w:t>
      </w:r>
      <w:r>
        <w:rPr>
          <w:rStyle w:val="Emphasis"/>
        </w:rPr>
        <w:t>1. The fusion under §5's rule</w:t>
      </w:r>
      <w:r>
        <w:rPr/>
        <w:t xml:space="preserve">, </w:t>
      </w:r>
      <w:r>
        <w:rPr>
          <w:rStyle w:val="Emphasis"/>
        </w:rPr>
        <w:t>2. G1, the fusion gated by coverage</w:t>
      </w:r>
      <w:r>
        <w:rPr/>
        <w:t xml:space="preserve"> and </w:t>
      </w:r>
      <w:r>
        <w:rPr>
          <w:rStyle w:val="Emphasis"/>
        </w:rPr>
        <w:t>3. G1n, the fusion gated by coverage and by airport, out of fold</w:t>
      </w:r>
      <w:r>
        <w:rPr/>
        <w:t xml:space="preserve">; </w:t>
      </w:r>
      <w:r>
        <w:rPr>
          <w:rStyle w:val="SourceText"/>
        </w:rPr>
        <w:t>reports/group-b.md</w:t>
      </w:r>
      <w:r>
        <w:rPr/>
        <w:t xml:space="preserve">, </w:t>
      </w:r>
      <w:r>
        <w:rPr>
          <w:rStyle w:val="Emphasis"/>
        </w:rPr>
        <w:t>C11, the member with C1 and C4</w:t>
      </w:r>
      <w:r>
        <w:rPr/>
        <w:t xml:space="preserve"> and </w:t>
      </w:r>
      <w:r>
        <w:rPr>
          <w:rStyle w:val="Emphasis"/>
        </w:rPr>
        <w:t>The combination</w:t>
      </w:r>
      <w:r>
        <w:rPr/>
        <w:t xml:space="preserve">; </w:t>
      </w:r>
      <w:r>
        <w:rPr>
          <w:rStyle w:val="SourceText"/>
        </w:rPr>
        <w:t>reports/fusion-new-base.md</w:t>
      </w:r>
      <w:r>
        <w:rPr/>
        <w:t xml:space="preserve">, </w:t>
      </w:r>
      <w:r>
        <w:rPr>
          <w:rStyle w:val="Emphasis"/>
        </w:rPr>
        <w:t>G1 against the new base</w:t>
      </w:r>
      <w:r>
        <w:rPr/>
        <w:t xml:space="preserve"> and </w:t>
      </w:r>
      <w:r>
        <w:rPr>
          <w:rStyle w:val="Emphasis"/>
        </w:rPr>
        <w:t>G1n against G1 (its rule)</w:t>
      </w:r>
      <w:r>
        <w:rPr/>
        <w:t>.</w:t>
      </w:r>
    </w:p>
    <w:p>
      <w:pPr>
        <w:pStyle w:val="Heading3"/>
        <w:bidi w:val="0"/>
        <w:jc w:val="left"/>
        <w:rPr/>
      </w:pPr>
      <w:r>
        <w:rPr/>
        <w:t>8.8 The final file, read step by step</w:t>
      </w:r>
    </w:p>
    <w:p>
      <w:pPr>
        <w:pStyle w:val="BodyText"/>
        <w:bidi w:val="0"/>
        <w:jc w:val="left"/>
        <w:rPr/>
      </w:pPr>
      <w:r>
        <w:rPr/>
        <w:t>The final configuration is built in six steps, each adopted under its own rule before this reading existed. Here every step is read against the one before on the twelve held-out months of 2025, each month predicted from the other eleven, so that a reader can see what each part of the submitted file is worth, where, and in which direction. The design is not forward in time, but it is the only design in which every step can be read on every month: the forward July leg reads the first three steps alone, since the ground-movement correction was never fitted on January to June. Each learner is read at the single seed the stored held-out fits use. Every value is read as the file writes it, floored at zero and rounded, with the record-quality term and the plan-shift rule on their rows at every step.</w:t>
      </w:r>
    </w:p>
    <w:tbl>
      <w:tblPr>
        <w:tblW w:w="10539" w:type="dxa"/>
        <w:jc w:val="left"/>
        <w:tblInd w:w="28" w:type="dxa"/>
        <w:tblLayout w:type="fixed"/>
        <w:tblCellMar>
          <w:top w:w="28" w:type="dxa"/>
          <w:left w:w="28" w:type="dxa"/>
          <w:bottom w:w="28" w:type="dxa"/>
          <w:right w:w="28" w:type="dxa"/>
        </w:tblCellMar>
      </w:tblPr>
      <w:tblGrid>
        <w:gridCol w:w="534"/>
        <w:gridCol w:w="4739"/>
        <w:gridCol w:w="910"/>
        <w:gridCol w:w="949"/>
        <w:gridCol w:w="939"/>
        <w:gridCol w:w="946"/>
        <w:gridCol w:w="1522"/>
      </w:tblGrid>
      <w:tr>
        <w:trPr>
          <w:tblHeader w:val="true"/>
        </w:trPr>
        <w:tc>
          <w:tcPr>
            <w:tcW w:w="534" w:type="dxa"/>
            <w:tcBorders/>
            <w:vAlign w:val="center"/>
          </w:tcPr>
          <w:p>
            <w:pPr>
              <w:pStyle w:val="TableHeading"/>
              <w:suppressLineNumbers/>
              <w:bidi w:val="0"/>
              <w:jc w:val="center"/>
              <w:rPr/>
            </w:pPr>
            <w:r>
              <w:rPr/>
              <w:t>step</w:t>
            </w:r>
          </w:p>
        </w:tc>
        <w:tc>
          <w:tcPr>
            <w:tcW w:w="4739" w:type="dxa"/>
            <w:tcBorders/>
            <w:vAlign w:val="center"/>
          </w:tcPr>
          <w:p>
            <w:pPr>
              <w:pStyle w:val="TableHeading"/>
              <w:suppressLineNumbers/>
              <w:bidi w:val="0"/>
              <w:jc w:val="center"/>
              <w:rPr/>
            </w:pPr>
            <w:r>
              <w:rPr/>
              <w:t>what it adds</w:t>
            </w:r>
          </w:p>
        </w:tc>
        <w:tc>
          <w:tcPr>
            <w:tcW w:w="910" w:type="dxa"/>
            <w:tcBorders/>
            <w:vAlign w:val="center"/>
          </w:tcPr>
          <w:p>
            <w:pPr>
              <w:pStyle w:val="TableHeading"/>
              <w:bidi w:val="0"/>
              <w:jc w:val="right"/>
              <w:rPr/>
            </w:pPr>
            <w:r>
              <w:rPr/>
              <w:t>Jan/Jul (s)</w:t>
            </w:r>
          </w:p>
        </w:tc>
        <w:tc>
          <w:tcPr>
            <w:tcW w:w="949" w:type="dxa"/>
            <w:tcBorders/>
            <w:vAlign w:val="center"/>
          </w:tcPr>
          <w:p>
            <w:pPr>
              <w:pStyle w:val="TableHeading"/>
              <w:bidi w:val="0"/>
              <w:jc w:val="right"/>
              <w:rPr/>
            </w:pPr>
            <w:r>
              <w:rPr/>
              <w:t>Feb/Jun (s)</w:t>
            </w:r>
          </w:p>
        </w:tc>
        <w:tc>
          <w:tcPr>
            <w:tcW w:w="939" w:type="dxa"/>
            <w:tcBorders/>
            <w:vAlign w:val="center"/>
          </w:tcPr>
          <w:p>
            <w:pPr>
              <w:pStyle w:val="TableHeading"/>
              <w:bidi w:val="0"/>
              <w:jc w:val="right"/>
              <w:rPr/>
            </w:pPr>
            <w:r>
              <w:rPr/>
              <w:t>the four (s)</w:t>
            </w:r>
          </w:p>
        </w:tc>
        <w:tc>
          <w:tcPr>
            <w:tcW w:w="946" w:type="dxa"/>
            <w:tcBorders/>
            <w:vAlign w:val="center"/>
          </w:tcPr>
          <w:p>
            <w:pPr>
              <w:pStyle w:val="TableHeading"/>
              <w:bidi w:val="0"/>
              <w:jc w:val="right"/>
              <w:rPr/>
            </w:pPr>
            <w:r>
              <w:rPr/>
              <w:t>the year (s)</w:t>
            </w:r>
          </w:p>
        </w:tc>
        <w:tc>
          <w:tcPr>
            <w:tcW w:w="1522" w:type="dxa"/>
            <w:tcBorders/>
            <w:vAlign w:val="center"/>
          </w:tcPr>
          <w:p>
            <w:pPr>
              <w:pStyle w:val="TableHeading"/>
              <w:bidi w:val="0"/>
              <w:jc w:val="right"/>
              <w:rPr/>
            </w:pPr>
            <w:r>
              <w:rPr/>
              <w:t>December leg (s)</w:t>
            </w:r>
          </w:p>
        </w:tc>
      </w:tr>
      <w:tr>
        <w:trPr/>
        <w:tc>
          <w:tcPr>
            <w:tcW w:w="534" w:type="dxa"/>
            <w:tcBorders/>
            <w:vAlign w:val="center"/>
          </w:tcPr>
          <w:p>
            <w:pPr>
              <w:pStyle w:val="TableContents"/>
              <w:widowControl w:val="false"/>
              <w:suppressLineNumbers/>
              <w:bidi w:val="0"/>
              <w:jc w:val="left"/>
              <w:rPr/>
            </w:pPr>
            <w:r>
              <w:rPr/>
              <w:t>1</w:t>
            </w:r>
          </w:p>
        </w:tc>
        <w:tc>
          <w:tcPr>
            <w:tcW w:w="4739" w:type="dxa"/>
            <w:tcBorders/>
            <w:vAlign w:val="center"/>
          </w:tcPr>
          <w:p>
            <w:pPr>
              <w:pStyle w:val="TableContents"/>
              <w:widowControl w:val="false"/>
              <w:suppressLineNumbers/>
              <w:bidi w:val="0"/>
              <w:jc w:val="left"/>
              <w:rPr/>
            </w:pPr>
            <w:r>
              <w:rPr/>
              <w:t>the booster, with the two feature groups of §8.7.3</w:t>
            </w:r>
          </w:p>
        </w:tc>
        <w:tc>
          <w:tcPr>
            <w:tcW w:w="910" w:type="dxa"/>
            <w:tcBorders/>
            <w:vAlign w:val="center"/>
          </w:tcPr>
          <w:p>
            <w:pPr>
              <w:pStyle w:val="TableContents"/>
              <w:bidi w:val="0"/>
              <w:jc w:val="right"/>
              <w:rPr/>
            </w:pPr>
            <w:r>
              <w:rPr/>
              <w:t>319.9</w:t>
            </w:r>
          </w:p>
        </w:tc>
        <w:tc>
          <w:tcPr>
            <w:tcW w:w="949" w:type="dxa"/>
            <w:tcBorders/>
            <w:vAlign w:val="center"/>
          </w:tcPr>
          <w:p>
            <w:pPr>
              <w:pStyle w:val="TableContents"/>
              <w:bidi w:val="0"/>
              <w:jc w:val="right"/>
              <w:rPr/>
            </w:pPr>
            <w:r>
              <w:rPr/>
              <w:t>290.6</w:t>
            </w:r>
          </w:p>
        </w:tc>
        <w:tc>
          <w:tcPr>
            <w:tcW w:w="939" w:type="dxa"/>
            <w:tcBorders/>
            <w:vAlign w:val="center"/>
          </w:tcPr>
          <w:p>
            <w:pPr>
              <w:pStyle w:val="TableContents"/>
              <w:bidi w:val="0"/>
              <w:jc w:val="right"/>
              <w:rPr/>
            </w:pPr>
            <w:r>
              <w:rPr/>
              <w:t>306.0</w:t>
            </w:r>
          </w:p>
        </w:tc>
        <w:tc>
          <w:tcPr>
            <w:tcW w:w="946" w:type="dxa"/>
            <w:tcBorders/>
            <w:vAlign w:val="center"/>
          </w:tcPr>
          <w:p>
            <w:pPr>
              <w:pStyle w:val="TableContents"/>
              <w:bidi w:val="0"/>
              <w:jc w:val="right"/>
              <w:rPr/>
            </w:pPr>
            <w:r>
              <w:rPr/>
              <w:t>255.7</w:t>
            </w:r>
          </w:p>
        </w:tc>
        <w:tc>
          <w:tcPr>
            <w:tcW w:w="1522" w:type="dxa"/>
            <w:tcBorders/>
            <w:vAlign w:val="center"/>
          </w:tcPr>
          <w:p>
            <w:pPr>
              <w:pStyle w:val="TableContents"/>
              <w:bidi w:val="0"/>
              <w:jc w:val="right"/>
              <w:rPr/>
            </w:pPr>
            <w:r>
              <w:rPr/>
              <w:t>207.4</w:t>
            </w:r>
          </w:p>
        </w:tc>
      </w:tr>
      <w:tr>
        <w:trPr/>
        <w:tc>
          <w:tcPr>
            <w:tcW w:w="534" w:type="dxa"/>
            <w:tcBorders/>
            <w:vAlign w:val="center"/>
          </w:tcPr>
          <w:p>
            <w:pPr>
              <w:pStyle w:val="TableContents"/>
              <w:widowControl w:val="false"/>
              <w:suppressLineNumbers/>
              <w:bidi w:val="0"/>
              <w:jc w:val="left"/>
              <w:rPr/>
            </w:pPr>
            <w:r>
              <w:rPr/>
              <w:t>2</w:t>
            </w:r>
          </w:p>
        </w:tc>
        <w:tc>
          <w:tcPr>
            <w:tcW w:w="4739" w:type="dxa"/>
            <w:tcBorders/>
            <w:vAlign w:val="center"/>
          </w:tcPr>
          <w:p>
            <w:pPr>
              <w:pStyle w:val="TableContents"/>
              <w:widowControl w:val="false"/>
              <w:suppressLineNumbers/>
              <w:bidi w:val="0"/>
              <w:jc w:val="left"/>
              <w:rPr/>
            </w:pPr>
            <w:r>
              <w:rPr/>
              <w:t>the refitted CatBoost learner, blended in</w:t>
            </w:r>
          </w:p>
        </w:tc>
        <w:tc>
          <w:tcPr>
            <w:tcW w:w="910" w:type="dxa"/>
            <w:tcBorders/>
            <w:vAlign w:val="center"/>
          </w:tcPr>
          <w:p>
            <w:pPr>
              <w:pStyle w:val="TableContents"/>
              <w:bidi w:val="0"/>
              <w:jc w:val="right"/>
              <w:rPr/>
            </w:pPr>
            <w:r>
              <w:rPr/>
              <w:t>318.8</w:t>
            </w:r>
          </w:p>
        </w:tc>
        <w:tc>
          <w:tcPr>
            <w:tcW w:w="949" w:type="dxa"/>
            <w:tcBorders/>
            <w:vAlign w:val="center"/>
          </w:tcPr>
          <w:p>
            <w:pPr>
              <w:pStyle w:val="TableContents"/>
              <w:bidi w:val="0"/>
              <w:jc w:val="right"/>
              <w:rPr/>
            </w:pPr>
            <w:r>
              <w:rPr/>
              <w:t>290.4</w:t>
            </w:r>
          </w:p>
        </w:tc>
        <w:tc>
          <w:tcPr>
            <w:tcW w:w="939" w:type="dxa"/>
            <w:tcBorders/>
            <w:vAlign w:val="center"/>
          </w:tcPr>
          <w:p>
            <w:pPr>
              <w:pStyle w:val="TableContents"/>
              <w:bidi w:val="0"/>
              <w:jc w:val="right"/>
              <w:rPr/>
            </w:pPr>
            <w:r>
              <w:rPr/>
              <w:t>305.3</w:t>
            </w:r>
          </w:p>
        </w:tc>
        <w:tc>
          <w:tcPr>
            <w:tcW w:w="946" w:type="dxa"/>
            <w:tcBorders/>
            <w:vAlign w:val="center"/>
          </w:tcPr>
          <w:p>
            <w:pPr>
              <w:pStyle w:val="TableContents"/>
              <w:bidi w:val="0"/>
              <w:jc w:val="right"/>
              <w:rPr/>
            </w:pPr>
            <w:r>
              <w:rPr/>
              <w:t>255.0</w:t>
            </w:r>
          </w:p>
        </w:tc>
        <w:tc>
          <w:tcPr>
            <w:tcW w:w="1522" w:type="dxa"/>
            <w:tcBorders/>
            <w:vAlign w:val="center"/>
          </w:tcPr>
          <w:p>
            <w:pPr>
              <w:pStyle w:val="TableContents"/>
              <w:bidi w:val="0"/>
              <w:jc w:val="right"/>
              <w:rPr/>
            </w:pPr>
            <w:r>
              <w:rPr/>
              <w:t>206.0</w:t>
            </w:r>
          </w:p>
        </w:tc>
      </w:tr>
      <w:tr>
        <w:trPr/>
        <w:tc>
          <w:tcPr>
            <w:tcW w:w="534" w:type="dxa"/>
            <w:tcBorders/>
            <w:vAlign w:val="center"/>
          </w:tcPr>
          <w:p>
            <w:pPr>
              <w:pStyle w:val="TableContents"/>
              <w:widowControl w:val="false"/>
              <w:suppressLineNumbers/>
              <w:bidi w:val="0"/>
              <w:jc w:val="left"/>
              <w:rPr/>
            </w:pPr>
            <w:r>
              <w:rPr/>
              <w:t>3</w:t>
            </w:r>
          </w:p>
        </w:tc>
        <w:tc>
          <w:tcPr>
            <w:tcW w:w="4739" w:type="dxa"/>
            <w:tcBorders/>
            <w:vAlign w:val="center"/>
          </w:tcPr>
          <w:p>
            <w:pPr>
              <w:pStyle w:val="TableContents"/>
              <w:widowControl w:val="false"/>
              <w:suppressLineNumbers/>
              <w:bidi w:val="0"/>
              <w:jc w:val="left"/>
              <w:rPr/>
            </w:pPr>
            <w:r>
              <w:rPr/>
              <w:t>the per-airport choice of blend: the refitted configuration before its correction</w:t>
            </w:r>
          </w:p>
        </w:tc>
        <w:tc>
          <w:tcPr>
            <w:tcW w:w="910" w:type="dxa"/>
            <w:tcBorders/>
            <w:vAlign w:val="center"/>
          </w:tcPr>
          <w:p>
            <w:pPr>
              <w:pStyle w:val="TableContents"/>
              <w:bidi w:val="0"/>
              <w:jc w:val="right"/>
              <w:rPr/>
            </w:pPr>
            <w:r>
              <w:rPr/>
              <w:t>318.8</w:t>
            </w:r>
          </w:p>
        </w:tc>
        <w:tc>
          <w:tcPr>
            <w:tcW w:w="949" w:type="dxa"/>
            <w:tcBorders/>
            <w:vAlign w:val="center"/>
          </w:tcPr>
          <w:p>
            <w:pPr>
              <w:pStyle w:val="TableContents"/>
              <w:bidi w:val="0"/>
              <w:jc w:val="right"/>
              <w:rPr/>
            </w:pPr>
            <w:r>
              <w:rPr/>
              <w:t>290.4</w:t>
            </w:r>
          </w:p>
        </w:tc>
        <w:tc>
          <w:tcPr>
            <w:tcW w:w="939" w:type="dxa"/>
            <w:tcBorders/>
            <w:vAlign w:val="center"/>
          </w:tcPr>
          <w:p>
            <w:pPr>
              <w:pStyle w:val="TableContents"/>
              <w:bidi w:val="0"/>
              <w:jc w:val="right"/>
              <w:rPr/>
            </w:pPr>
            <w:r>
              <w:rPr/>
              <w:t>305.3</w:t>
            </w:r>
          </w:p>
        </w:tc>
        <w:tc>
          <w:tcPr>
            <w:tcW w:w="946" w:type="dxa"/>
            <w:tcBorders/>
            <w:vAlign w:val="center"/>
          </w:tcPr>
          <w:p>
            <w:pPr>
              <w:pStyle w:val="TableContents"/>
              <w:bidi w:val="0"/>
              <w:jc w:val="right"/>
              <w:rPr/>
            </w:pPr>
            <w:r>
              <w:rPr/>
              <w:t>254.9</w:t>
            </w:r>
          </w:p>
        </w:tc>
        <w:tc>
          <w:tcPr>
            <w:tcW w:w="1522" w:type="dxa"/>
            <w:tcBorders/>
            <w:vAlign w:val="center"/>
          </w:tcPr>
          <w:p>
            <w:pPr>
              <w:pStyle w:val="TableContents"/>
              <w:bidi w:val="0"/>
              <w:jc w:val="right"/>
              <w:rPr/>
            </w:pPr>
            <w:r>
              <w:rPr/>
              <w:t>206.0</w:t>
            </w:r>
          </w:p>
        </w:tc>
      </w:tr>
      <w:tr>
        <w:trPr/>
        <w:tc>
          <w:tcPr>
            <w:tcW w:w="534" w:type="dxa"/>
            <w:tcBorders/>
            <w:vAlign w:val="center"/>
          </w:tcPr>
          <w:p>
            <w:pPr>
              <w:pStyle w:val="TableContents"/>
              <w:widowControl w:val="false"/>
              <w:suppressLineNumbers/>
              <w:bidi w:val="0"/>
              <w:jc w:val="left"/>
              <w:rPr/>
            </w:pPr>
            <w:r>
              <w:rPr/>
              <w:t>4</w:t>
            </w:r>
          </w:p>
        </w:tc>
        <w:tc>
          <w:tcPr>
            <w:tcW w:w="4739" w:type="dxa"/>
            <w:tcBorders/>
            <w:vAlign w:val="center"/>
          </w:tcPr>
          <w:p>
            <w:pPr>
              <w:pStyle w:val="TableContents"/>
              <w:widowControl w:val="false"/>
              <w:suppressLineNumbers/>
              <w:bidi w:val="0"/>
              <w:jc w:val="left"/>
              <w:rPr/>
            </w:pPr>
            <w:r>
              <w:rPr/>
              <w:t>the ground-movement correction, fitted on 174 days: the refitted configuration</w:t>
            </w:r>
          </w:p>
        </w:tc>
        <w:tc>
          <w:tcPr>
            <w:tcW w:w="910" w:type="dxa"/>
            <w:tcBorders/>
            <w:vAlign w:val="center"/>
          </w:tcPr>
          <w:p>
            <w:pPr>
              <w:pStyle w:val="TableContents"/>
              <w:bidi w:val="0"/>
              <w:jc w:val="right"/>
              <w:rPr/>
            </w:pPr>
            <w:r>
              <w:rPr/>
              <w:t>313.1</w:t>
            </w:r>
          </w:p>
        </w:tc>
        <w:tc>
          <w:tcPr>
            <w:tcW w:w="949" w:type="dxa"/>
            <w:tcBorders/>
            <w:vAlign w:val="center"/>
          </w:tcPr>
          <w:p>
            <w:pPr>
              <w:pStyle w:val="TableContents"/>
              <w:bidi w:val="0"/>
              <w:jc w:val="right"/>
              <w:rPr/>
            </w:pPr>
            <w:r>
              <w:rPr/>
              <w:t>284.7</w:t>
            </w:r>
          </w:p>
        </w:tc>
        <w:tc>
          <w:tcPr>
            <w:tcW w:w="939" w:type="dxa"/>
            <w:tcBorders/>
            <w:vAlign w:val="center"/>
          </w:tcPr>
          <w:p>
            <w:pPr>
              <w:pStyle w:val="TableContents"/>
              <w:bidi w:val="0"/>
              <w:jc w:val="right"/>
              <w:rPr/>
            </w:pPr>
            <w:r>
              <w:rPr/>
              <w:t>299.6</w:t>
            </w:r>
          </w:p>
        </w:tc>
        <w:tc>
          <w:tcPr>
            <w:tcW w:w="946" w:type="dxa"/>
            <w:tcBorders/>
            <w:vAlign w:val="center"/>
          </w:tcPr>
          <w:p>
            <w:pPr>
              <w:pStyle w:val="TableContents"/>
              <w:bidi w:val="0"/>
              <w:jc w:val="right"/>
              <w:rPr/>
            </w:pPr>
            <w:r>
              <w:rPr/>
              <w:t>247.3</w:t>
            </w:r>
          </w:p>
        </w:tc>
        <w:tc>
          <w:tcPr>
            <w:tcW w:w="1522" w:type="dxa"/>
            <w:tcBorders/>
            <w:vAlign w:val="center"/>
          </w:tcPr>
          <w:p>
            <w:pPr>
              <w:pStyle w:val="TableContents"/>
              <w:bidi w:val="0"/>
              <w:jc w:val="right"/>
              <w:rPr/>
            </w:pPr>
            <w:r>
              <w:rPr/>
              <w:t>192.6</w:t>
            </w:r>
          </w:p>
        </w:tc>
      </w:tr>
      <w:tr>
        <w:trPr/>
        <w:tc>
          <w:tcPr>
            <w:tcW w:w="534" w:type="dxa"/>
            <w:tcBorders/>
            <w:vAlign w:val="center"/>
          </w:tcPr>
          <w:p>
            <w:pPr>
              <w:pStyle w:val="TableContents"/>
              <w:widowControl w:val="false"/>
              <w:suppressLineNumbers/>
              <w:bidi w:val="0"/>
              <w:jc w:val="left"/>
              <w:rPr/>
            </w:pPr>
            <w:r>
              <w:rPr/>
              <w:t>5</w:t>
            </w:r>
          </w:p>
        </w:tc>
        <w:tc>
          <w:tcPr>
            <w:tcW w:w="4739" w:type="dxa"/>
            <w:tcBorders/>
            <w:vAlign w:val="center"/>
          </w:tcPr>
          <w:p>
            <w:pPr>
              <w:pStyle w:val="TableContents"/>
              <w:widowControl w:val="false"/>
              <w:suppressLineNumbers/>
              <w:bidi w:val="0"/>
              <w:jc w:val="left"/>
              <w:rPr/>
            </w:pPr>
            <w:r>
              <w:rPr/>
              <w:t>the same correction fitted on 348 days</w:t>
            </w:r>
          </w:p>
        </w:tc>
        <w:tc>
          <w:tcPr>
            <w:tcW w:w="910" w:type="dxa"/>
            <w:tcBorders/>
            <w:vAlign w:val="center"/>
          </w:tcPr>
          <w:p>
            <w:pPr>
              <w:pStyle w:val="TableContents"/>
              <w:bidi w:val="0"/>
              <w:jc w:val="right"/>
              <w:rPr/>
            </w:pPr>
            <w:r>
              <w:rPr/>
              <w:t>312.8</w:t>
            </w:r>
          </w:p>
        </w:tc>
        <w:tc>
          <w:tcPr>
            <w:tcW w:w="949" w:type="dxa"/>
            <w:tcBorders/>
            <w:vAlign w:val="center"/>
          </w:tcPr>
          <w:p>
            <w:pPr>
              <w:pStyle w:val="TableContents"/>
              <w:bidi w:val="0"/>
              <w:jc w:val="right"/>
              <w:rPr/>
            </w:pPr>
            <w:r>
              <w:rPr/>
              <w:t>284.5</w:t>
            </w:r>
          </w:p>
        </w:tc>
        <w:tc>
          <w:tcPr>
            <w:tcW w:w="939" w:type="dxa"/>
            <w:tcBorders/>
            <w:vAlign w:val="center"/>
          </w:tcPr>
          <w:p>
            <w:pPr>
              <w:pStyle w:val="TableContents"/>
              <w:bidi w:val="0"/>
              <w:jc w:val="right"/>
              <w:rPr/>
            </w:pPr>
            <w:r>
              <w:rPr/>
              <w:t>299.3</w:t>
            </w:r>
          </w:p>
        </w:tc>
        <w:tc>
          <w:tcPr>
            <w:tcW w:w="946" w:type="dxa"/>
            <w:tcBorders/>
            <w:vAlign w:val="center"/>
          </w:tcPr>
          <w:p>
            <w:pPr>
              <w:pStyle w:val="TableContents"/>
              <w:bidi w:val="0"/>
              <w:jc w:val="right"/>
              <w:rPr/>
            </w:pPr>
            <w:r>
              <w:rPr/>
              <w:t>247.0</w:t>
            </w:r>
          </w:p>
        </w:tc>
        <w:tc>
          <w:tcPr>
            <w:tcW w:w="1522" w:type="dxa"/>
            <w:tcBorders/>
            <w:vAlign w:val="center"/>
          </w:tcPr>
          <w:p>
            <w:pPr>
              <w:pStyle w:val="TableContents"/>
              <w:bidi w:val="0"/>
              <w:jc w:val="right"/>
              <w:rPr/>
            </w:pPr>
            <w:r>
              <w:rPr/>
              <w:t>192.0</w:t>
            </w:r>
          </w:p>
        </w:tc>
      </w:tr>
      <w:tr>
        <w:trPr/>
        <w:tc>
          <w:tcPr>
            <w:tcW w:w="534" w:type="dxa"/>
            <w:tcBorders/>
            <w:vAlign w:val="center"/>
          </w:tcPr>
          <w:p>
            <w:pPr>
              <w:pStyle w:val="TableContents"/>
              <w:widowControl w:val="false"/>
              <w:suppressLineNumbers/>
              <w:bidi w:val="0"/>
              <w:jc w:val="left"/>
              <w:rPr/>
            </w:pPr>
            <w:r>
              <w:rPr/>
              <w:t>6</w:t>
            </w:r>
          </w:p>
        </w:tc>
        <w:tc>
          <w:tcPr>
            <w:tcW w:w="4739" w:type="dxa"/>
            <w:tcBorders/>
            <w:vAlign w:val="center"/>
          </w:tcPr>
          <w:p>
            <w:pPr>
              <w:pStyle w:val="TableContents"/>
              <w:widowControl w:val="false"/>
              <w:suppressLineNumbers/>
              <w:bidi w:val="0"/>
              <w:jc w:val="left"/>
              <w:rPr/>
            </w:pPr>
            <w:r>
              <w:rPr/>
              <w:t>the flight-plan window, last: the final configuration</w:t>
            </w:r>
          </w:p>
        </w:tc>
        <w:tc>
          <w:tcPr>
            <w:tcW w:w="910" w:type="dxa"/>
            <w:tcBorders/>
            <w:vAlign w:val="center"/>
          </w:tcPr>
          <w:p>
            <w:pPr>
              <w:pStyle w:val="TableContents"/>
              <w:bidi w:val="0"/>
              <w:jc w:val="right"/>
              <w:rPr/>
            </w:pPr>
            <w:r>
              <w:rPr/>
              <w:t>303.6</w:t>
            </w:r>
          </w:p>
        </w:tc>
        <w:tc>
          <w:tcPr>
            <w:tcW w:w="949" w:type="dxa"/>
            <w:tcBorders/>
            <w:vAlign w:val="center"/>
          </w:tcPr>
          <w:p>
            <w:pPr>
              <w:pStyle w:val="TableContents"/>
              <w:bidi w:val="0"/>
              <w:jc w:val="right"/>
              <w:rPr/>
            </w:pPr>
            <w:r>
              <w:rPr/>
              <w:t>284.4</w:t>
            </w:r>
          </w:p>
        </w:tc>
        <w:tc>
          <w:tcPr>
            <w:tcW w:w="939" w:type="dxa"/>
            <w:tcBorders/>
            <w:vAlign w:val="center"/>
          </w:tcPr>
          <w:p>
            <w:pPr>
              <w:pStyle w:val="TableContents"/>
              <w:bidi w:val="0"/>
              <w:jc w:val="right"/>
              <w:rPr/>
            </w:pPr>
            <w:r>
              <w:rPr/>
              <w:t>294.4</w:t>
            </w:r>
          </w:p>
        </w:tc>
        <w:tc>
          <w:tcPr>
            <w:tcW w:w="946" w:type="dxa"/>
            <w:tcBorders/>
            <w:vAlign w:val="center"/>
          </w:tcPr>
          <w:p>
            <w:pPr>
              <w:pStyle w:val="TableContents"/>
              <w:bidi w:val="0"/>
              <w:jc w:val="right"/>
              <w:rPr/>
            </w:pPr>
            <w:r>
              <w:rPr/>
              <w:t>244.9</w:t>
            </w:r>
          </w:p>
        </w:tc>
        <w:tc>
          <w:tcPr>
            <w:tcW w:w="1522" w:type="dxa"/>
            <w:tcBorders/>
            <w:vAlign w:val="center"/>
          </w:tcPr>
          <w:p>
            <w:pPr>
              <w:pStyle w:val="TableContents"/>
              <w:bidi w:val="0"/>
              <w:jc w:val="right"/>
              <w:rPr/>
            </w:pPr>
            <w:r>
              <w:rPr/>
              <w:t>192.0</w:t>
            </w:r>
          </w:p>
        </w:tc>
      </w:tr>
    </w:tbl>
    <w:p>
      <w:pPr>
        <w:pStyle w:val="BodyText"/>
        <w:bidi w:val="0"/>
        <w:jc w:val="left"/>
        <w:rPr/>
      </w:pPr>
      <w:r>
        <w:rPr/>
        <w:t>Over the four months the challenge ranks, the final configuration reads 294.4 s against 306.0 for the booster alone. Two steps carry almost all of that, the ground-movement correction and the window; the other three are each worth less than a second. Each change below is the step less the one before, with its 95% interval over days, so a negative change means the step lowered the error.</w:t>
      </w:r>
    </w:p>
    <w:p>
      <w:pPr>
        <w:pStyle w:val="BodyText"/>
        <w:bidi w:val="0"/>
        <w:jc w:val="left"/>
        <w:rPr/>
      </w:pPr>
      <w:r>
        <w:rPr/>
        <w:drawing>
          <wp:inline distT="0" distB="0" distL="0" distR="0">
            <wp:extent cx="720090" cy="360045"/>
            <wp:effectExtent l="0" t="0" r="0" b="0"/>
            <wp:docPr id="3" name="Image3" descr="The error after each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The error after each step"/>
                    <pic:cNvPicPr>
                      <a:picLocks noChangeAspect="1" noChangeArrowheads="1"/>
                    </pic:cNvPicPr>
                  </pic:nvPicPr>
                  <pic:blipFill>
                    <a:blip r:link="rId5"/>
                    <a:stretch>
                      <a:fillRect/>
                    </a:stretch>
                  </pic:blipFill>
                  <pic:spPr bwMode="auto">
                    <a:xfrm>
                      <a:off x="0" y="0"/>
                      <a:ext cx="720090" cy="360045"/>
                    </a:xfrm>
                    <a:prstGeom prst="rect">
                      <a:avLst/>
                    </a:prstGeom>
                    <a:noFill/>
                  </pic:spPr>
                </pic:pic>
              </a:graphicData>
            </a:graphic>
          </wp:inline>
        </w:drawing>
      </w:r>
    </w:p>
    <w:p>
      <w:pPr>
        <w:pStyle w:val="BodyText"/>
        <w:bidi w:val="0"/>
        <w:jc w:val="left"/>
        <w:rPr/>
      </w:pPr>
      <w:r>
        <w:rPr>
          <w:rStyle w:val="Strong"/>
        </w:rPr>
        <w:t>Figure 3a.</w:t>
      </w:r>
      <w:r>
        <w:rPr/>
        <w:t xml:space="preserve"> The error on the four months after each step. Pooled over the four months, the error falls from 306.0 s for the booster alone to 294.4 s for the final configuration. Two steps carry almost all of the fall, the ground-movement correction fitted on 174 days (305.3 s to 299.6 s) and the flight-plan window (299.3 s to 294.4 s).</w:t>
      </w:r>
    </w:p>
    <w:p>
      <w:pPr>
        <w:pStyle w:val="BodyText"/>
        <w:bidi w:val="0"/>
        <w:jc w:val="left"/>
        <w:rPr/>
      </w:pPr>
      <w:r>
        <w:rPr/>
        <w:drawing>
          <wp:inline distT="0" distB="0" distL="0" distR="0">
            <wp:extent cx="720090" cy="360045"/>
            <wp:effectExtent l="0" t="0" r="0" b="0"/>
            <wp:docPr id="4" name="Image4" descr="What each step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What each step changed"/>
                    <pic:cNvPicPr>
                      <a:picLocks noChangeAspect="1" noChangeArrowheads="1"/>
                    </pic:cNvPicPr>
                  </pic:nvPicPr>
                  <pic:blipFill>
                    <a:blip r:link="rId6"/>
                    <a:stretch>
                      <a:fillRect/>
                    </a:stretch>
                  </pic:blipFill>
                  <pic:spPr bwMode="auto">
                    <a:xfrm>
                      <a:off x="0" y="0"/>
                      <a:ext cx="720090" cy="360045"/>
                    </a:xfrm>
                    <a:prstGeom prst="rect">
                      <a:avLst/>
                    </a:prstGeom>
                    <a:noFill/>
                  </pic:spPr>
                </pic:pic>
              </a:graphicData>
            </a:graphic>
          </wp:inline>
        </w:drawing>
      </w:r>
    </w:p>
    <w:p>
      <w:pPr>
        <w:pStyle w:val="BodyText"/>
        <w:bidi w:val="0"/>
        <w:jc w:val="left"/>
        <w:rPr/>
      </w:pPr>
      <w:r>
        <w:rPr>
          <w:rStyle w:val="Strong"/>
        </w:rPr>
        <w:t>Figure 3b.</w:t>
      </w:r>
      <w:r>
        <w:rPr/>
        <w:t xml:space="preserve"> What each step changed on the four months, in seconds. The whisker is the 95% interval over days and the bar is the middle half of the twelve monthly changes. The correction fitted on 174 days lowers the error by 5.67 s [−6.86, −4.76] and the window by 4.91 s [−15.55, −0.09]. The window's interval is wide and its bar narrow because its gain sits in one month: July moved by 17.23 s and no other month by more than 1.53 s. The per-airport choice of blend, −0.05 s [−0.14, +0.04], cannot be told from no change.</w:t>
      </w:r>
    </w:p>
    <w:p>
      <w:pPr>
        <w:pStyle w:val="BodyText"/>
        <w:bidi w:val="0"/>
        <w:jc w:val="left"/>
        <w:rPr/>
      </w:pPr>
      <w:r>
        <w:rPr>
          <w:rStyle w:val="Strong"/>
        </w:rPr>
        <w:t>The refitted learner (step 2).</w:t>
      </w:r>
      <w:r>
        <w:rPr/>
        <w:t xml:space="preserve"> It is better by 0.68 s over the year, with a 95% interval over days of [-0.97, -0.44], and by 1.10 s on January with July. On February with June it reads 0.21 s better with an interval of [-1.62, +1.00], which cannot be told apart from no change, because February alone reads worse, by 0.24 s. The cause is Istanbul: there in February the selector keeps another learner's prediction, and Istanbul over the four months reads 306.9 s against the booster's 306.5. The step is a modest, broad gain from a learner that now sees the off-block and flight-history features the booster gained with the feature groups of §8.7.3.</w:t>
      </w:r>
    </w:p>
    <w:p>
      <w:pPr>
        <w:pStyle w:val="BodyText"/>
        <w:bidi w:val="0"/>
        <w:jc w:val="left"/>
        <w:rPr/>
      </w:pPr>
      <w:r>
        <w:rPr>
          <w:rStyle w:val="Strong"/>
        </w:rPr>
        <w:t>The per-airport choice (step 3).</w:t>
      </w:r>
      <w:r>
        <w:rPr/>
        <w:t xml:space="preserve"> It changes only Fiumicino, where the selector gives the booster more weight against the CatBoost learner. Over the year it reads 0.05 s better with an interval of [-0.13, +0.01], which is indistinguishable from no change. It is in the file because the selector's rule adopted it as a whole, not for this step.</w:t>
      </w:r>
    </w:p>
    <w:p>
      <w:pPr>
        <w:pStyle w:val="BodyText"/>
        <w:bidi w:val="0"/>
        <w:jc w:val="left"/>
        <w:rPr/>
      </w:pPr>
      <w:r>
        <w:rPr>
          <w:rStyle w:val="Strong"/>
        </w:rPr>
        <w:t>The ground-movement correction (step 4).</w:t>
      </w:r>
      <w:r>
        <w:rPr/>
        <w:t xml:space="preserve"> This is the largest step: 7.69 s over the year [-8.58, -6.94], 5.70 on January with July, 5.65 on February with June and 13.37 on December. It works only where a receiver sees the aircraft on the ground and the airport gate keeps it. Over January with July it moves Munich from 173.1 s to 147.9, Schiphol from 186.7 to 158.2 and Zurich from 192.4 to 154.6, and leaves Heathrow, Paris, Fiumicino and Istanbul where they were. It corrects 62,377 of January's 153,706 rows and 89,093 of December's 165,677, and gains 4.95 s in January against 13.37 in December. The mechanism is direct: the booster knows the plan and the traffic, and the correction adds when the aircraft was first seen to move, which no field of the ranking set exposes.</w:t>
      </w:r>
    </w:p>
    <w:p>
      <w:pPr>
        <w:pStyle w:val="BodyText"/>
        <w:bidi w:val="0"/>
        <w:jc w:val="left"/>
        <w:rPr/>
      </w:pPr>
      <w:r>
        <w:rPr>
          <w:rStyle w:val="Strong"/>
        </w:rPr>
        <w:t>The correction on every day (step 5).</w:t>
      </w:r>
      <w:r>
        <w:rPr/>
        <w:t xml:space="preserve"> It is better in every month, by 0.24 s over the year [-0.29, -0.19], 0.57 on December and 0.25 over the four months. The interval excludes zero in nine of the twelve months. The same model fitted on twice the days corrects exactly the same rows and is better on them, most at Schiphol, from 158.2 s to 155.6 over January with July. The gain is small and consistent: the model was short of days, not of capacity, as the failure of the larger correction model tested in §8.7.5 had already suggested.</w:t>
      </w:r>
    </w:p>
    <w:p>
      <w:pPr>
        <w:pStyle w:val="BodyText"/>
        <w:bidi w:val="0"/>
        <w:jc w:val="left"/>
        <w:rPr/>
      </w:pPr>
      <w:r>
        <w:rPr>
          <w:rStyle w:val="Strong"/>
        </w:rPr>
        <w:t>The window (step 6).</w:t>
      </w:r>
      <w:r>
        <w:rPr/>
        <w:t xml:space="preserve"> Over the year it is worth 2.12 s [-5.99, -0.16], and almost all of it is July: 17.23 s [-49.43, -0.07], where the window moves 25 of 190,713 rows. On February with June it is worth 0.08 s. The interval is wide because the gain sits on a few rows a day-scale error away from their plan. Over January with July it moves Fiumicino from 630.6 s to 573.3 and Zurich from 153.5 to 145.1. Read on the core rows, those neither rule covers, the window is worth 0.27 s over the year and 0.60 in July. Most of its gain falls on the rows the two rules cover, where most of the rows over four hours sit, and there a clip to the plan's window bounds an error no model of the taxi itself can.</w:t>
      </w:r>
    </w:p>
    <w:p>
      <w:pPr>
        <w:pStyle w:val="BodyText"/>
        <w:bidi w:val="0"/>
        <w:jc w:val="left"/>
        <w:rPr/>
      </w:pPr>
      <w:r>
        <w:rPr>
          <w:rStyle w:val="Strong"/>
        </w:rPr>
        <w:t>Every row and the core rows.</w:t>
      </w:r>
      <w:r>
        <w:rPr/>
        <w:t xml:space="preserve"> With the rules' rows left out, the final configuration reads 252.3 s over the four months and 217.7 over the year, against 294.4 and 244.9 on every row. The gap is the tail: the year holds 122 rows over four hours on every row and 5 on the core rows. The same tail separates the airports. Over the four months Fiumicino reads 651.5 s with 58 rows over four hours, Paris 432.8 and Istanbul 306.6, while the airports the correction reaches read between 140.3 s (Munich) and 174.5 (Barcelona).</w:t>
      </w:r>
    </w:p>
    <w:p>
      <w:pPr>
        <w:pStyle w:val="BodyText"/>
        <w:bidi w:val="0"/>
        <w:jc w:val="left"/>
        <w:rPr/>
      </w:pPr>
      <w:r>
        <w:rPr>
          <w:rStyle w:val="Strong"/>
        </w:rPr>
        <w:t>What this says about 2026.</w:t>
      </w:r>
      <w:r>
        <w:rPr/>
        <w:t xml:space="preserve"> On 2025, January with July is the harder pair, 303.6 s against 284.4 for February with June, and the reason is January: on the core rows it reads 324.6 s, against 233.2 for July, 244.4 for February and 203.5 for June. The window narrows the gap between the pairs rather than causing it. Every step but the last is read out of fold, so its gain is what a fitted part was worth on months it had not seen. The window is not. Its edge is the largest distance the training year showed, so the clip cannot move a 2025 prediction away from its truth, and its 2025 gain holds in 2026 only if 2026's records stay inside the same window. The correction's gain depends on receivers seeing the same airports in 2026. None of these figures is a forecast of the challenge score (§8.6).</w:t>
      </w:r>
    </w:p>
    <w:p>
      <w:pPr>
        <w:pStyle w:val="BodyText"/>
        <w:bidi w:val="0"/>
        <w:jc w:val="left"/>
        <w:rPr/>
      </w:pPr>
      <w:r>
        <w:rPr/>
        <w:t xml:space="preserve">Source: </w:t>
      </w:r>
      <w:r>
        <w:rPr>
          <w:rStyle w:val="SourceText"/>
        </w:rPr>
        <w:t>reports/v12-ladder.md</w:t>
      </w:r>
      <w:r>
        <w:rPr/>
        <w:t xml:space="preserve">, </w:t>
      </w:r>
      <w:r>
        <w:rPr>
          <w:rStyle w:val="Emphasis"/>
        </w:rPr>
        <w:t>The steps</w:t>
      </w:r>
      <w:r>
        <w:rPr/>
        <w:t xml:space="preserve">, </w:t>
      </w:r>
      <w:r>
        <w:rPr>
          <w:rStyle w:val="Emphasis"/>
        </w:rPr>
        <w:t>Every row: RMSE (s)</w:t>
      </w:r>
      <w:r>
        <w:rPr/>
        <w:t xml:space="preserve">, </w:t>
      </w:r>
      <w:r>
        <w:rPr>
          <w:rStyle w:val="Emphasis"/>
        </w:rPr>
        <w:t>Every row: each step less the one before (s), 95% interval over days</w:t>
      </w:r>
      <w:r>
        <w:rPr/>
        <w:t xml:space="preserve">, </w:t>
      </w:r>
      <w:r>
        <w:rPr>
          <w:rStyle w:val="Emphasis"/>
        </w:rPr>
        <w:t>Core rows: RMSE (s)</w:t>
      </w:r>
      <w:r>
        <w:rPr/>
        <w:t xml:space="preserve">, </w:t>
      </w:r>
      <w:r>
        <w:rPr>
          <w:rStyle w:val="Emphasis"/>
        </w:rPr>
        <w:t>Core rows: each step less the one before (s), 95% interval over days</w:t>
      </w:r>
      <w:r>
        <w:rPr/>
        <w:t xml:space="preserve">, </w:t>
      </w:r>
      <w:r>
        <w:rPr>
          <w:rStyle w:val="Emphasis"/>
        </w:rPr>
        <w:t>Jan/Jul, every row, RMSE (s)</w:t>
      </w:r>
      <w:r>
        <w:rPr/>
        <w:t xml:space="preserve"> and </w:t>
      </w:r>
      <w:r>
        <w:rPr>
          <w:rStyle w:val="Emphasis"/>
        </w:rPr>
        <w:t>the four, every row, RMSE (s)</w:t>
      </w:r>
      <w:r>
        <w:rPr/>
        <w:t>.</w:t>
      </w:r>
    </w:p>
    <w:p>
      <w:pPr>
        <w:pStyle w:val="Heading2"/>
        <w:bidi w:val="0"/>
        <w:jc w:val="left"/>
        <w:rPr/>
      </w:pPr>
      <w:r>
        <w:rPr/>
        <w:t>9. Discussion</w:t>
      </w:r>
    </w:p>
    <w:p>
      <w:pPr>
        <w:pStyle w:val="Heading3"/>
        <w:bidi w:val="0"/>
        <w:jc w:val="left"/>
        <w:rPr/>
      </w:pPr>
      <w:r>
        <w:rPr/>
        <w:t>9.1 What the geometry was worth, and where</w:t>
      </w:r>
    </w:p>
    <w:p>
      <w:pPr>
        <w:pStyle w:val="BodyText"/>
        <w:bidi w:val="0"/>
        <w:jc w:val="left"/>
        <w:rPr/>
      </w:pPr>
      <w:r>
        <w:rPr/>
        <w:t>The forward-split figures and the held-out one describe the same block; they differ because the splits ask different questions. On the December forward split the geometry block lowers the error by 2.27 s. On July it raises it by 0.14 s, which is inside the seed floor. On pairs the model has never seen, it lowers the error by +18.5 s [+16.7, +20.5] more than on pairs it has seen.</w:t>
      </w:r>
    </w:p>
    <w:p>
      <w:pPr>
        <w:pStyle w:val="BodyText"/>
        <w:bidi w:val="0"/>
        <w:jc w:val="left"/>
        <w:rPr/>
      </w:pPr>
      <w:r>
        <w:rPr/>
        <w:drawing>
          <wp:inline distT="0" distB="0" distL="0" distR="0">
            <wp:extent cx="720090" cy="360045"/>
            <wp:effectExtent l="0" t="0" r="0" b="0"/>
            <wp:docPr id="5" name="Image5" descr="The geometry block on the forward spl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The geometry block on the forward splits"/>
                    <pic:cNvPicPr>
                      <a:picLocks noChangeAspect="1" noChangeArrowheads="1"/>
                    </pic:cNvPicPr>
                  </pic:nvPicPr>
                  <pic:blipFill>
                    <a:blip r:link="rId7"/>
                    <a:stretch>
                      <a:fillRect/>
                    </a:stretch>
                  </pic:blipFill>
                  <pic:spPr bwMode="auto">
                    <a:xfrm>
                      <a:off x="0" y="0"/>
                      <a:ext cx="720090" cy="360045"/>
                    </a:xfrm>
                    <a:prstGeom prst="rect">
                      <a:avLst/>
                    </a:prstGeom>
                    <a:noFill/>
                  </pic:spPr>
                </pic:pic>
              </a:graphicData>
            </a:graphic>
          </wp:inline>
        </w:drawing>
      </w:r>
    </w:p>
    <w:p>
      <w:pPr>
        <w:pStyle w:val="BodyText"/>
        <w:bidi w:val="0"/>
        <w:jc w:val="left"/>
        <w:rPr/>
      </w:pPr>
      <w:r>
        <w:rPr>
          <w:rStyle w:val="Strong"/>
        </w:rPr>
        <w:t>Figure 4a.</w:t>
      </w:r>
      <w:r>
        <w:rPr/>
        <w:t xml:space="preserve"> What the geometry block adds on the two forward splits. On December it lowers the error by 2.27 s against a seed floor of 0.23 s. On July it raises it by 0.14 s, inside a floor of 0.54 s. A single-seed change has no interval, so the floor is the yardstick.</w:t>
      </w:r>
    </w:p>
    <w:p>
      <w:pPr>
        <w:pStyle w:val="BodyText"/>
        <w:bidi w:val="0"/>
        <w:jc w:val="left"/>
        <w:rPr/>
      </w:pPr>
      <w:r>
        <w:rPr/>
        <w:drawing>
          <wp:inline distT="0" distB="0" distL="0" distR="0">
            <wp:extent cx="720090" cy="360045"/>
            <wp:effectExtent l="0" t="0" r="0" b="0"/>
            <wp:docPr id="6" name="Image6" descr="The geometry block on seen and held-out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The geometry block on seen and held-out pairs"/>
                    <pic:cNvPicPr>
                      <a:picLocks noChangeAspect="1" noChangeArrowheads="1"/>
                    </pic:cNvPicPr>
                  </pic:nvPicPr>
                  <pic:blipFill>
                    <a:blip r:link="rId8"/>
                    <a:stretch>
                      <a:fillRect/>
                    </a:stretch>
                  </pic:blipFill>
                  <pic:spPr bwMode="auto">
                    <a:xfrm>
                      <a:off x="0" y="0"/>
                      <a:ext cx="720090" cy="360045"/>
                    </a:xfrm>
                    <a:prstGeom prst="rect">
                      <a:avLst/>
                    </a:prstGeom>
                    <a:noFill/>
                  </pic:spPr>
                </pic:pic>
              </a:graphicData>
            </a:graphic>
          </wp:inline>
        </w:drawing>
      </w:r>
    </w:p>
    <w:p>
      <w:pPr>
        <w:pStyle w:val="BodyText"/>
        <w:bidi w:val="0"/>
        <w:jc w:val="left"/>
        <w:rPr/>
      </w:pPr>
      <w:r>
        <w:rPr>
          <w:rStyle w:val="Strong"/>
        </w:rPr>
        <w:t>Figure 4b.</w:t>
      </w:r>
      <w:r>
        <w:rPr/>
        <w:t xml:space="preserve"> What the geometry block adds on pairs the model has seen and on pairs it has not. It lowers the error by 0.4 s on seen pairs and by 19.0 s on held-out pairs, and the difference, +18.5 s [+16.7, +20.5], is the claim of §7.2, with an interval over pairs that excludes zero. The two panels ask different questions: Figure 4a asks what the block adds on a forward split, and Figure 4b asks where it adds it.</w:t>
      </w:r>
    </w:p>
    <w:p>
      <w:pPr>
        <w:pStyle w:val="BodyText"/>
        <w:bidi w:val="0"/>
        <w:jc w:val="left"/>
        <w:rPr/>
      </w:pPr>
      <w:r>
        <w:rPr/>
        <w:t xml:space="preserve">One explanation of the gap is that the ranking months reuse 2025's stands and runways, so the test set has no thin pairs and cannot reward the physical layer. </w:t>
      </w:r>
      <w:r>
        <w:rPr>
          <w:rStyle w:val="Strong"/>
        </w:rPr>
        <w:t>That explanation is wrong, and §5.4 is the measurement that rules it out.</w:t>
      </w:r>
      <w:r>
        <w:rPr/>
        <w:t xml:space="preserve"> Of the ranking rows, 11.0% sit on pairs the training year saw a hundred times or fewer. The share runs from 2.08% at Heathrow to 20.48% at Paris and is 11.51% in July against 10.35% in January; 46 stands are new outright; and on pairs seen one to ten times a pair's own mean is worse than the airport mean by 53 s in December and 45 in July. The gap between 2.27 s and +18.5 s is therefore not a property of the test set. It is a property of how the two encodings are combined. When a booster is given both the identifiers and the geometry, it splits on the identifiers wherever a pair has been seen often enough to be learned. On a forward split that is nearly everywhere, and the geometry block and its quality flags take what is left: 10.9% of the base configuration's splits. §7.4 is the one attempt to combine them differently; that version is in the final configuration, and its gain also came from the often-seen pairs.</w:t>
      </w:r>
    </w:p>
    <w:p>
      <w:pPr>
        <w:pStyle w:val="BodyText"/>
        <w:bidi w:val="0"/>
        <w:jc w:val="left"/>
        <w:rPr/>
      </w:pPr>
      <w:r>
        <w:rPr/>
        <w:t>One part of that explanation holds and is worth stating. The geometry block is an injective encoding of (stand, runway), so on a pair seen hundreds of times a saturated identifier model already knows everything the distance could tell it, and there the geometry can only lose. The claim was never that geometry beats memorization where memorization works. It is that memorization runs out, that the data says where, and that the geometry is what remains when it does; and, in the leave-one-airport-out fits, that it is the only thing that remains.</w:t>
      </w:r>
    </w:p>
    <w:p>
      <w:pPr>
        <w:pStyle w:val="BodyText"/>
        <w:bidi w:val="0"/>
        <w:jc w:val="left"/>
        <w:rPr/>
      </w:pPr>
      <w:r>
        <w:rPr/>
        <w:t>The held-out year says the same thing twelve times. The held-out-pair contrast is positive, with an interval that excludes zero, in every month, from +15.6 s in May to +20.7 s in September and November, and at every airport in every month but three cells (§8.5, Annex D). On the same splits the block's change is −1.4 s pooled over the year, a lower error: it helps by more than the month's floor in nine months, sits inside it in June and July and hurts in April (§8.4). A block that is worth a second on the pairs a model has seen and twenty on the pairs it has not is what the decomposition of §3 predicts, and the two readings are the same measurement taken on two row sets.</w:t>
      </w:r>
    </w:p>
    <w:p>
      <w:pPr>
        <w:pStyle w:val="BodyText"/>
        <w:bidi w:val="0"/>
        <w:jc w:val="left"/>
        <w:rPr/>
      </w:pPr>
      <w:r>
        <w:rPr/>
        <w:t xml:space="preserve">Sources: </w:t>
      </w:r>
      <w:r>
        <w:rPr>
          <w:rStyle w:val="SourceText"/>
        </w:rPr>
        <w:t>reports/baseline.md</w:t>
      </w:r>
      <w:r>
        <w:rPr/>
        <w:t xml:space="preserve">, </w:t>
      </w:r>
      <w:r>
        <w:rPr>
          <w:rStyle w:val="Emphasis"/>
        </w:rPr>
        <w:t>Held-out pairs</w:t>
      </w:r>
      <w:r>
        <w:rPr/>
        <w:t xml:space="preserve">, </w:t>
      </w:r>
      <w:r>
        <w:rPr>
          <w:rStyle w:val="Emphasis"/>
        </w:rPr>
        <w:t>The noise floor</w:t>
      </w:r>
      <w:r>
        <w:rPr/>
        <w:t xml:space="preserve"> and </w:t>
      </w:r>
      <w:r>
        <w:rPr>
          <w:rStyle w:val="Emphasis"/>
        </w:rPr>
        <w:t xml:space="preserve">Where </w:t>
      </w:r>
      <w:r>
        <w:rPr>
          <w:rStyle w:val="SourceText"/>
        </w:rPr>
        <w:t>+ plan differences</w:t>
      </w:r>
      <w:r>
        <w:rPr>
          <w:rStyle w:val="Emphasis"/>
        </w:rPr>
        <w:t xml:space="preserve"> spends its splits</w:t>
      </w:r>
      <w:r>
        <w:rPr/>
        <w:t xml:space="preserve">; </w:t>
      </w:r>
      <w:r>
        <w:rPr>
          <w:rStyle w:val="SourceText"/>
        </w:rPr>
        <w:t>reports/geometry_gaps.md</w:t>
      </w:r>
      <w:r>
        <w:rPr/>
        <w:t xml:space="preserve">, </w:t>
      </w:r>
      <w:r>
        <w:rPr>
          <w:rStyle w:val="Emphasis"/>
        </w:rPr>
        <w:t>Where memorization runs out</w:t>
      </w:r>
      <w:r>
        <w:rPr/>
        <w:t xml:space="preserve">; </w:t>
      </w:r>
      <w:r>
        <w:rPr>
          <w:rStyle w:val="SourceText"/>
        </w:rPr>
        <w:t>reports/monthly_pairs.md</w:t>
      </w:r>
      <w:r>
        <w:rPr/>
        <w:t xml:space="preserve">, </w:t>
      </w:r>
      <w:r>
        <w:rPr>
          <w:rStyle w:val="Emphasis"/>
        </w:rPr>
        <w:t>Per month of 2025</w:t>
      </w:r>
      <w:r>
        <w:rPr/>
        <w:t xml:space="preserve">; </w:t>
      </w:r>
      <w:r>
        <w:rPr>
          <w:rStyle w:val="SourceText"/>
        </w:rPr>
        <w:t>reports/monthly_seeds.md</w:t>
      </w:r>
      <w:r>
        <w:rPr/>
        <w:t xml:space="preserve">, </w:t>
      </w:r>
      <w:r>
        <w:rPr>
          <w:rStyle w:val="Emphasis"/>
        </w:rPr>
        <w:t>Each block's months, against each month's floor</w:t>
      </w:r>
      <w:r>
        <w:rPr/>
        <w:t xml:space="preserve">; </w:t>
      </w:r>
      <w:r>
        <w:rPr>
          <w:rStyle w:val="SourceText"/>
        </w:rPr>
        <w:t>reports/monthly_ladder.md</w:t>
      </w:r>
      <w:r>
        <w:rPr/>
        <w:t xml:space="preserve">, </w:t>
      </w:r>
      <w:r>
        <w:rPr>
          <w:rStyle w:val="Emphasis"/>
        </w:rPr>
        <w:t>Summary: the year, pooled from the twelve months</w:t>
      </w:r>
      <w:r>
        <w:rPr/>
        <w:t>.</w:t>
      </w:r>
    </w:p>
    <w:p>
      <w:pPr>
        <w:pStyle w:val="Heading3"/>
        <w:bidi w:val="0"/>
        <w:jc w:val="left"/>
        <w:rPr/>
      </w:pPr>
      <w:r>
        <w:rPr/>
        <w:t>9.2 What the record-quality term touches, and why it is kept</w:t>
      </w:r>
    </w:p>
    <w:p>
      <w:pPr>
        <w:pStyle w:val="BodyText"/>
        <w:bidi w:val="0"/>
        <w:jc w:val="left"/>
        <w:rPr/>
      </w:pPr>
      <w:r>
        <w:rPr/>
        <w:t>The record-quality term touches 383 ranking rows, 107 in January and 276 in July, all at Fiumicino, and its whole effect on the leaderboard runs through those rows. Of July's rows, 248 are departures with no flight-plan record and an ordinary plan lag. The term answers the scoring, not the physics. It lowers the challenge error on rows where the recorded block time is a schedule artifact, and a model built only to describe taxi-out would not carry it. The alternative, predicting only physically plausible taxi-outs, was not taken. The rule of §4 for the plan-shifted departures takes the same course again, on one ranking row and three training departures, and §4 gives the score under both of its possible outcomes rather than defending one.</w:t>
      </w:r>
    </w:p>
    <w:p>
      <w:pPr>
        <w:pStyle w:val="BodyText"/>
        <w:bidi w:val="0"/>
        <w:jc w:val="left"/>
        <w:rPr/>
      </w:pPr>
      <w:r>
        <w:rPr/>
        <w:t xml:space="preserve">Source: </w:t>
      </w:r>
      <w:r>
        <w:rPr>
          <w:rStyle w:val="SourceText"/>
        </w:rPr>
        <w:t>reports/tails.md</w:t>
      </w:r>
      <w:r>
        <w:rPr/>
        <w:t xml:space="preserve">, </w:t>
      </w:r>
      <w:r>
        <w:rPr>
          <w:rStyle w:val="Emphasis"/>
        </w:rPr>
        <w:t>What it touches in the ranking set</w:t>
      </w:r>
      <w:r>
        <w:rPr/>
        <w:t xml:space="preserve"> and </w:t>
      </w:r>
      <w:r>
        <w:rPr>
          <w:rStyle w:val="Emphasis"/>
        </w:rPr>
        <w:t>What the term is, stated plainly</w:t>
      </w:r>
      <w:r>
        <w:rPr/>
        <w:t>.</w:t>
      </w:r>
    </w:p>
    <w:p>
      <w:pPr>
        <w:pStyle w:val="Heading3"/>
        <w:bidi w:val="0"/>
        <w:jc w:val="left"/>
        <w:rPr/>
      </w:pPr>
      <w:r>
        <w:rPr/>
        <w:t>9.3 Limitations</w:t>
      </w:r>
    </w:p>
    <w:p>
      <w:pPr>
        <w:pStyle w:val="BodyText"/>
        <w:bidi w:val="0"/>
        <w:jc w:val="left"/>
        <w:rPr/>
      </w:pPr>
      <w:r>
        <w:rPr/>
        <w:t>The open questions already recorded give the first set of limits: stands OSM does not have (the join places 96.3% of training departures on a matrix cell, and most of the rest sit in whole numeric blocks at two airports); the snapped-stand turn-angle bias, expected on physical grounds and undetectable by the available proxy; intersection departures at stand level; the OSM snapshot, fetched unpinned and rebuilt from the map time recorded for each airport (§10); and one airport's data feed driving the entire record-quality term.</w:t>
      </w:r>
    </w:p>
    <w:p>
      <w:pPr>
        <w:pStyle w:val="BodyText"/>
        <w:bidi w:val="0"/>
        <w:jc w:val="left"/>
        <w:rPr/>
      </w:pPr>
      <w:r>
        <w:rPr/>
        <w:t>Six more belong here because they concern how the numbers above were produced rather than what they say.</w:t>
      </w:r>
    </w:p>
    <w:p>
      <w:pPr>
        <w:pStyle w:val="BodyText"/>
        <w:bidi w:val="0"/>
        <w:jc w:val="left"/>
        <w:rPr/>
      </w:pPr>
      <w:r>
        <w:rPr>
          <w:rStyle w:val="Strong"/>
        </w:rPr>
        <w:t>The booster's parameters were searched more than once, and the second search was extended after its own rule said it would not be.</w:t>
      </w:r>
      <w:r>
        <w:rPr/>
        <w:t xml:space="preserve"> §7.1.2 gives the account. A first sweep was followed by a second, pre-registered and permitted once. The second was then extended: it was reopened after its best setting had been seen to sit on the edge of the grid, with the direction in which the error was falling already known, and the extension ran under criteria fixed before its figures existed. A final choice between two cells the instrument cannot separate was taken on cost. The first sweep's figures are not comparable with the second's. It ran on the rung that was then the top of the ladder, which carried the runway saturation block and neither the shrunk encoding nor the four-hour exclusion. Its grid ran from 235.0 to 244.8 s, and its top eight cells lie within 0.8 s of each other. Fitting one and the same parameter setting under the later features and training-row rules lowers its error from 235.0 s to 217.28 s, before any parameter changes. </w:t>
      </w:r>
      <w:r>
        <w:rPr>
          <w:rStyle w:val="SourceText"/>
        </w:rPr>
        <w:t>src/taxiout/models.py</w:t>
      </w:r>
      <w:r>
        <w:rPr/>
        <w:t xml:space="preserve"> keeps both sweeps' accounts beside the parameters.</w:t>
      </w:r>
    </w:p>
    <w:p>
      <w:pPr>
        <w:pStyle w:val="BodyText"/>
        <w:bidi w:val="0"/>
        <w:jc w:val="left"/>
        <w:rPr/>
      </w:pPr>
      <w:r>
        <w:rPr>
          <w:rStyle w:val="Strong"/>
        </w:rPr>
        <w:t>The ranking-set figures were recomputed after the challenge replaced the ranking file and template.</w:t>
      </w:r>
      <w:r>
        <w:rPr/>
        <w:t xml:space="preserve"> The model was not chosen on the ranking set, so nothing in it moved, but every figure read on it did, and the July validation reading was revisited (§8). A check of the local copies against the challenge's files should open every piece of work that reads them.</w:t>
      </w:r>
    </w:p>
    <w:p>
      <w:pPr>
        <w:pStyle w:val="BodyText"/>
        <w:bidi w:val="0"/>
        <w:jc w:val="left"/>
        <w:rPr/>
      </w:pPr>
      <w:r>
        <w:rPr>
          <w:rStyle w:val="Strong"/>
        </w:rPr>
        <w:t>The held-out year is not a forward reading.</w:t>
      </w:r>
      <w:r>
        <w:rPr/>
        <w:t xml:space="preserve"> Every month of 2025 held out in turn trains on months after it as well as before, so the twelve figures of §8.2 and the per-month claim of §8.5 are read inside the training year and not across its edge. They say how the figures and each block's worth are distributed over the year; the two forward splits remain the proxies for the test months. The five-seed average fails to beat its own best seed in one of the twelve months, February, by 0.10 s inside a floor of 1.56 s. That is the kind of near miss a rule read at the floor is built to call noise.</w:t>
      </w:r>
    </w:p>
    <w:p>
      <w:pPr>
        <w:pStyle w:val="BodyText"/>
        <w:bidi w:val="0"/>
        <w:jc w:val="left"/>
        <w:rPr/>
      </w:pPr>
      <w:r>
        <w:rPr>
          <w:rStyle w:val="Strong"/>
        </w:rPr>
        <w:t>One rule rests on three rows.</w:t>
      </w:r>
      <w:r>
        <w:rPr/>
        <w:t xml:space="preserve"> The plan-shifted departures of §4 are a class of three training departures, and the rule for them was written after one such departure was seen in the ranking set's exposed fields. Its share is an estimate that three rows cannot pin, and its evaluation on the held-out year is arithmetic on those rows, not evidence. The paper states both outcomes of the one row it reaches, in score terms, and the pre-registration is the record that nothing about the rule was chosen on its effect.</w:t>
      </w:r>
    </w:p>
    <w:p>
      <w:pPr>
        <w:pStyle w:val="BodyText"/>
        <w:bidi w:val="0"/>
        <w:jc w:val="left"/>
        <w:rPr/>
      </w:pPr>
      <w:r>
        <w:rPr>
          <w:rStyle w:val="Strong"/>
        </w:rPr>
        <w:t>Three candidates were measured after the freeze, and none was adopted.</w:t>
      </w:r>
      <w:r>
        <w:rPr/>
        <w:t xml:space="preserve"> The runway-saturation block on top of the shipped rung, a recency schedule halving every twelve months and 8,000 trees in place of 6,000, each measured once before the freeze and left on the table, were fitted on top of the base configuration and read under conditions fixed in writing before their figures existed. None met all four conditions: more trees improved December by 0.28 s, more than its floor of 0.23, and failed July; the saturation block made no measurable difference on either forward leg; the recency schedule failed all four. The verdict is the same whether the figures are read unrounded or rounded, and the final configuration is unchanged (Annex J). The measurement shows the ceiling the booster had reached under its own parameters: the one candidate with a measurable gain on one leg gave it back on the other.</w:t>
      </w:r>
    </w:p>
    <w:p>
      <w:pPr>
        <w:pStyle w:val="BodyText"/>
        <w:bidi w:val="0"/>
        <w:jc w:val="left"/>
        <w:rPr/>
      </w:pPr>
      <w:r>
        <w:rPr>
          <w:rStyle w:val="Strong"/>
        </w:rPr>
        <w:t>What was fixed before the numbers, what was measured, and what was decided after.</w:t>
      </w:r>
      <w:r>
        <w:rPr/>
        <w:t xml:space="preserve"> Four points in this paper rest partly on a choice, and a reader should be able to see which part. Every other rule the paper relies on was written down before the figure it governs existed.</w:t>
      </w:r>
    </w:p>
    <w:tbl>
      <w:tblPr>
        <w:tblW w:w="10539" w:type="dxa"/>
        <w:jc w:val="left"/>
        <w:tblInd w:w="28" w:type="dxa"/>
        <w:tblLayout w:type="fixed"/>
        <w:tblCellMar>
          <w:top w:w="28" w:type="dxa"/>
          <w:left w:w="28" w:type="dxa"/>
          <w:bottom w:w="28" w:type="dxa"/>
          <w:right w:w="28" w:type="dxa"/>
        </w:tblCellMar>
      </w:tblPr>
      <w:tblGrid>
        <w:gridCol w:w="2001"/>
        <w:gridCol w:w="2787"/>
        <w:gridCol w:w="2462"/>
        <w:gridCol w:w="3289"/>
      </w:tblGrid>
      <w:tr>
        <w:trPr>
          <w:tblHeader w:val="true"/>
        </w:trPr>
        <w:tc>
          <w:tcPr>
            <w:tcW w:w="2001" w:type="dxa"/>
            <w:tcBorders/>
            <w:vAlign w:val="center"/>
          </w:tcPr>
          <w:p>
            <w:pPr>
              <w:pStyle w:val="TableHeading"/>
              <w:suppressLineNumbers/>
              <w:bidi w:val="0"/>
              <w:jc w:val="center"/>
              <w:rPr/>
            </w:pPr>
            <w:r>
              <w:rPr/>
              <w:t>point</w:t>
            </w:r>
          </w:p>
        </w:tc>
        <w:tc>
          <w:tcPr>
            <w:tcW w:w="2787" w:type="dxa"/>
            <w:tcBorders/>
            <w:vAlign w:val="center"/>
          </w:tcPr>
          <w:p>
            <w:pPr>
              <w:pStyle w:val="TableHeading"/>
              <w:suppressLineNumbers/>
              <w:bidi w:val="0"/>
              <w:jc w:val="center"/>
              <w:rPr/>
            </w:pPr>
            <w:r>
              <w:rPr/>
              <w:t>fixed before the numbers</w:t>
            </w:r>
          </w:p>
        </w:tc>
        <w:tc>
          <w:tcPr>
            <w:tcW w:w="2462" w:type="dxa"/>
            <w:tcBorders/>
            <w:vAlign w:val="center"/>
          </w:tcPr>
          <w:p>
            <w:pPr>
              <w:pStyle w:val="TableHeading"/>
              <w:suppressLineNumbers/>
              <w:bidi w:val="0"/>
              <w:jc w:val="center"/>
              <w:rPr/>
            </w:pPr>
            <w:r>
              <w:rPr/>
              <w:t>measured</w:t>
            </w:r>
          </w:p>
        </w:tc>
        <w:tc>
          <w:tcPr>
            <w:tcW w:w="3289" w:type="dxa"/>
            <w:tcBorders/>
            <w:vAlign w:val="center"/>
          </w:tcPr>
          <w:p>
            <w:pPr>
              <w:pStyle w:val="TableHeading"/>
              <w:suppressLineNumbers/>
              <w:bidi w:val="0"/>
              <w:jc w:val="center"/>
              <w:rPr/>
            </w:pPr>
            <w:r>
              <w:rPr/>
              <w:t>decided after the numbers were seen</w:t>
            </w:r>
          </w:p>
        </w:tc>
      </w:tr>
      <w:tr>
        <w:trPr/>
        <w:tc>
          <w:tcPr>
            <w:tcW w:w="2001" w:type="dxa"/>
            <w:tcBorders/>
            <w:vAlign w:val="center"/>
          </w:tcPr>
          <w:p>
            <w:pPr>
              <w:pStyle w:val="TableContents"/>
              <w:widowControl w:val="false"/>
              <w:suppressLineNumbers/>
              <w:bidi w:val="0"/>
              <w:jc w:val="left"/>
              <w:rPr/>
            </w:pPr>
            <w:r>
              <w:rPr/>
              <w:t>the geometry is worth 2.27 s on a forward split and +18.5 s on held-out pairs (§7.2, §9.1)</w:t>
            </w:r>
          </w:p>
        </w:tc>
        <w:tc>
          <w:tcPr>
            <w:tcW w:w="2787" w:type="dxa"/>
            <w:tcBorders/>
            <w:vAlign w:val="center"/>
          </w:tcPr>
          <w:p>
            <w:pPr>
              <w:pStyle w:val="TableContents"/>
              <w:widowControl w:val="false"/>
              <w:suppressLineNumbers/>
              <w:bidi w:val="0"/>
              <w:jc w:val="left"/>
              <w:rPr/>
            </w:pPr>
            <w:r>
              <w:rPr/>
              <w:t>both splits, the held-out-pair design and the claim as a difference in differences</w:t>
            </w:r>
          </w:p>
        </w:tc>
        <w:tc>
          <w:tcPr>
            <w:tcW w:w="2462" w:type="dxa"/>
            <w:tcBorders/>
            <w:vAlign w:val="center"/>
          </w:tcPr>
          <w:p>
            <w:pPr>
              <w:pStyle w:val="TableContents"/>
              <w:widowControl w:val="false"/>
              <w:suppressLineNumbers/>
              <w:bidi w:val="0"/>
              <w:jc w:val="left"/>
              <w:rPr/>
            </w:pPr>
            <w:r>
              <w:rPr/>
              <w:t>both figures with their intervals</w:t>
            </w:r>
          </w:p>
        </w:tc>
        <w:tc>
          <w:tcPr>
            <w:tcW w:w="3289" w:type="dxa"/>
            <w:tcBorders/>
            <w:vAlign w:val="center"/>
          </w:tcPr>
          <w:p>
            <w:pPr>
              <w:pStyle w:val="TableContents"/>
              <w:widowControl w:val="false"/>
              <w:suppressLineNumbers/>
              <w:bidi w:val="0"/>
              <w:jc w:val="left"/>
              <w:rPr/>
            </w:pPr>
            <w:r>
              <w:rPr/>
              <w:t>nothing. The gap follows from the model: the geometry is a fixed function of the (stand, runway) pair, so where a pair has been seen hundreds of times the identifiers already carry what it knows, and it can only add where the pair is new</w:t>
            </w:r>
          </w:p>
        </w:tc>
      </w:tr>
      <w:tr>
        <w:trPr/>
        <w:tc>
          <w:tcPr>
            <w:tcW w:w="2001" w:type="dxa"/>
            <w:tcBorders/>
            <w:vAlign w:val="center"/>
          </w:tcPr>
          <w:p>
            <w:pPr>
              <w:pStyle w:val="TableContents"/>
              <w:widowControl w:val="false"/>
              <w:suppressLineNumbers/>
              <w:bidi w:val="0"/>
              <w:jc w:val="left"/>
              <w:rPr/>
            </w:pPr>
            <w:r>
              <w:rPr/>
              <w:t>the held-out-pair test for the shrunk encoding was set aside rather than passed (§7.4)</w:t>
            </w:r>
          </w:p>
        </w:tc>
        <w:tc>
          <w:tcPr>
            <w:tcW w:w="2787" w:type="dxa"/>
            <w:tcBorders/>
            <w:vAlign w:val="center"/>
          </w:tcPr>
          <w:p>
            <w:pPr>
              <w:pStyle w:val="TableContents"/>
              <w:widowControl w:val="false"/>
              <w:suppressLineNumbers/>
              <w:bidi w:val="0"/>
              <w:jc w:val="left"/>
              <w:rPr/>
            </w:pPr>
            <w:r>
              <w:rPr/>
              <w:t>the rule: a positive held-out contrast and no worse on either forward split; the intersection signature of each runway designator, measured in another report before the versions were fitted</w:t>
            </w:r>
          </w:p>
        </w:tc>
        <w:tc>
          <w:tcPr>
            <w:tcW w:w="2462" w:type="dxa"/>
            <w:tcBorders/>
            <w:vAlign w:val="center"/>
          </w:tcPr>
          <w:p>
            <w:pPr>
              <w:pStyle w:val="TableContents"/>
              <w:widowControl w:val="false"/>
              <w:suppressLineNumbers/>
              <w:bidi w:val="0"/>
              <w:jc w:val="left"/>
              <w:rPr/>
            </w:pPr>
            <w:r>
              <w:rPr/>
              <w:t>on a held-out pair the encoding equals its prior exactly, so the gate cannot see the thing it tests, whatever the numbers</w:t>
            </w:r>
          </w:p>
        </w:tc>
        <w:tc>
          <w:tcPr>
            <w:tcW w:w="3289" w:type="dxa"/>
            <w:tcBorders/>
            <w:vAlign w:val="center"/>
          </w:tcPr>
          <w:p>
            <w:pPr>
              <w:pStyle w:val="TableContents"/>
              <w:widowControl w:val="false"/>
              <w:suppressLineNumbers/>
              <w:bidi w:val="0"/>
              <w:jc w:val="left"/>
              <w:rPr/>
            </w:pPr>
            <w:r>
              <w:rPr/>
              <w:t>the replacement rule's wording. Its rejecting half is the original rule's second half, unchanged; the paper and the report both say it was written after the versions' figures existed</w:t>
            </w:r>
          </w:p>
        </w:tc>
      </w:tr>
      <w:tr>
        <w:trPr/>
        <w:tc>
          <w:tcPr>
            <w:tcW w:w="2001" w:type="dxa"/>
            <w:tcBorders/>
            <w:vAlign w:val="center"/>
          </w:tcPr>
          <w:p>
            <w:pPr>
              <w:pStyle w:val="TableContents"/>
              <w:widowControl w:val="false"/>
              <w:suppressLineNumbers/>
              <w:bidi w:val="0"/>
              <w:jc w:val="left"/>
              <w:rPr/>
            </w:pPr>
            <w:r>
              <w:rPr/>
              <w:t>a rule for the plan-shifted departures was added after the freeze (§4)</w:t>
            </w:r>
          </w:p>
        </w:tc>
        <w:tc>
          <w:tcPr>
            <w:tcW w:w="2787" w:type="dxa"/>
            <w:tcBorders/>
            <w:vAlign w:val="center"/>
          </w:tcPr>
          <w:p>
            <w:pPr>
              <w:pStyle w:val="TableContents"/>
              <w:widowControl w:val="false"/>
              <w:suppressLineNumbers/>
              <w:bidi w:val="0"/>
              <w:jc w:val="left"/>
              <w:rPr/>
            </w:pPr>
            <w:r>
              <w:rPr/>
              <w:t>the rule itself, in every term, and its file hash (SHA-256), before it was evaluated on any fold or built; the four-hour threshold it reads, fixed in advance</w:t>
            </w:r>
          </w:p>
        </w:tc>
        <w:tc>
          <w:tcPr>
            <w:tcW w:w="2462" w:type="dxa"/>
            <w:tcBorders/>
            <w:vAlign w:val="center"/>
          </w:tcPr>
          <w:p>
            <w:pPr>
              <w:pStyle w:val="TableContents"/>
              <w:widowControl w:val="false"/>
              <w:suppressLineNumbers/>
              <w:bidi w:val="0"/>
              <w:jc w:val="left"/>
              <w:rPr/>
            </w:pPr>
            <w:r>
              <w:rPr/>
              <w:t>three training departures in the class, two of them long; one ranking departure; what the rule does to the three, month by month</w:t>
            </w:r>
          </w:p>
        </w:tc>
        <w:tc>
          <w:tcPr>
            <w:tcW w:w="3289" w:type="dxa"/>
            <w:tcBorders/>
            <w:vAlign w:val="center"/>
          </w:tcPr>
          <w:p>
            <w:pPr>
              <w:pStyle w:val="TableContents"/>
              <w:widowControl w:val="false"/>
              <w:suppressLineNumbers/>
              <w:bidi w:val="0"/>
              <w:jc w:val="left"/>
              <w:rPr/>
            </w:pPr>
            <w:r>
              <w:rPr/>
              <w:t>the decision to add a rule at all, taken after the class was seen in the ranking set and knowing what the base configuration predicted for it; disclosed in §4 with the score under both outcomes</w:t>
            </w:r>
          </w:p>
        </w:tc>
      </w:tr>
      <w:tr>
        <w:trPr/>
        <w:tc>
          <w:tcPr>
            <w:tcW w:w="2001" w:type="dxa"/>
            <w:tcBorders/>
            <w:vAlign w:val="center"/>
          </w:tcPr>
          <w:p>
            <w:pPr>
              <w:pStyle w:val="TableContents"/>
              <w:widowControl w:val="false"/>
              <w:suppressLineNumbers/>
              <w:bidi w:val="0"/>
              <w:jc w:val="left"/>
              <w:rPr/>
            </w:pPr>
            <w:r>
              <w:rPr/>
              <w:t>the parameter sweep was extended after its own rule said it would not be (§7.1.2)</w:t>
            </w:r>
          </w:p>
        </w:tc>
        <w:tc>
          <w:tcPr>
            <w:tcW w:w="2787" w:type="dxa"/>
            <w:tcBorders/>
            <w:vAlign w:val="center"/>
          </w:tcPr>
          <w:p>
            <w:pPr>
              <w:pStyle w:val="TableContents"/>
              <w:widowControl w:val="false"/>
              <w:suppressLineNumbers/>
              <w:bidi w:val="0"/>
              <w:jc w:val="left"/>
              <w:rPr/>
            </w:pPr>
            <w:r>
              <w:rPr/>
              <w:t>the sweep's grid and its rule of reading October only; the extension's criteria (seed floors, paired contrasts, a second-seed sign check), before any extension figure existed</w:t>
            </w:r>
          </w:p>
        </w:tc>
        <w:tc>
          <w:tcPr>
            <w:tcW w:w="2462" w:type="dxa"/>
            <w:tcBorders/>
            <w:vAlign w:val="center"/>
          </w:tcPr>
          <w:p>
            <w:pPr>
              <w:pStyle w:val="TableContents"/>
              <w:widowControl w:val="false"/>
              <w:suppressLineNumbers/>
              <w:bidi w:val="0"/>
              <w:jc w:val="left"/>
              <w:rPr/>
            </w:pPr>
            <w:r>
              <w:rPr/>
              <w:t>the chosen cell sat on the edge of the grid on every axis; more trees lowered the error by more than three times the seed floor and held under a seed change; the other axes lost</w:t>
            </w:r>
          </w:p>
        </w:tc>
        <w:tc>
          <w:tcPr>
            <w:tcW w:w="3289" w:type="dxa"/>
            <w:tcBorders/>
            <w:vAlign w:val="center"/>
          </w:tcPr>
          <w:p>
            <w:pPr>
              <w:pStyle w:val="TableContents"/>
              <w:widowControl w:val="false"/>
              <w:suppressLineNumbers/>
              <w:bidi w:val="0"/>
              <w:jc w:val="left"/>
              <w:rPr/>
            </w:pPr>
            <w:r>
              <w:rPr/>
              <w:t>the decision to reopen the sweep, taken knowing that the best setting sat at the high end of the tree count. Disclosed here and in §7.1.2; the tree count was then fixed</w:t>
            </w:r>
          </w:p>
        </w:tc>
      </w:tr>
    </w:tbl>
    <w:p>
      <w:pPr>
        <w:pStyle w:val="BodyText"/>
        <w:bidi w:val="0"/>
        <w:jc w:val="left"/>
        <w:rPr/>
      </w:pPr>
      <w:r>
        <w:rPr/>
        <w:t>Nothing in the model is synthetic: the one fictional airport in the repository (§5.2) tests the geometry pipeline and is held out of every feature, fit and figure by a check. The provenance register classes each constant the code holds as mechanism, quoted, derived or chosen. A chosen one carries its reason or is marked as having none on record, rather than given a reason after the fact (</w:t>
      </w:r>
      <w:r>
        <w:rPr>
          <w:rStyle w:val="SourceText"/>
        </w:rPr>
        <w:t>docs/provenance.md</w:t>
      </w:r>
      <w:r>
        <w:rPr/>
        <w:t>).</w:t>
      </w:r>
    </w:p>
    <w:p>
      <w:pPr>
        <w:pStyle w:val="BodyText"/>
        <w:bidi w:val="0"/>
        <w:jc w:val="left"/>
        <w:rPr/>
      </w:pPr>
      <w:r>
        <w:rPr/>
        <w:t xml:space="preserve">Sources: </w:t>
      </w:r>
      <w:r>
        <w:rPr>
          <w:rStyle w:val="SourceText"/>
        </w:rPr>
        <w:t>docs/modelling_notes.md</w:t>
      </w:r>
      <w:r>
        <w:rPr/>
        <w:t xml:space="preserve">, </w:t>
      </w:r>
      <w:r>
        <w:rPr>
          <w:rStyle w:val="Emphasis"/>
        </w:rPr>
        <w:t>What the challenge data turned out to contain</w:t>
      </w:r>
      <w:r>
        <w:rPr/>
        <w:t xml:space="preserve"> and </w:t>
      </w:r>
      <w:r>
        <w:rPr>
          <w:rStyle w:val="Emphasis"/>
        </w:rPr>
        <w:t>Open questions</w:t>
      </w:r>
      <w:r>
        <w:rPr/>
        <w:t xml:space="preserve">; </w:t>
      </w:r>
      <w:r>
        <w:rPr>
          <w:rStyle w:val="SourceText"/>
        </w:rPr>
        <w:t>reports/data_review.md</w:t>
      </w:r>
      <w:r>
        <w:rPr/>
        <w:t xml:space="preserve">, </w:t>
      </w:r>
      <w:r>
        <w:rPr>
          <w:rStyle w:val="Emphasis"/>
        </w:rPr>
        <w:t>Stands</w:t>
      </w:r>
      <w:r>
        <w:rPr/>
        <w:t xml:space="preserve">; </w:t>
      </w:r>
      <w:r>
        <w:rPr>
          <w:rStyle w:val="SourceText"/>
        </w:rPr>
        <w:t>reports/geometry_gaps.md</w:t>
      </w:r>
      <w:r>
        <w:rPr/>
        <w:t xml:space="preserve">, </w:t>
      </w:r>
      <w:r>
        <w:rPr>
          <w:rStyle w:val="Emphasis"/>
        </w:rPr>
        <w:t>The intersection signature, per designator</w:t>
      </w:r>
      <w:r>
        <w:rPr/>
        <w:t xml:space="preserve">; </w:t>
      </w:r>
      <w:r>
        <w:rPr>
          <w:rStyle w:val="SourceText"/>
        </w:rPr>
        <w:t>src/taxiout/models.py</w:t>
      </w:r>
      <w:r>
        <w:rPr/>
        <w:t xml:space="preserve">, the comment on </w:t>
      </w:r>
      <w:r>
        <w:rPr>
          <w:rStyle w:val="SourceText"/>
        </w:rPr>
        <w:t>BOOSTER_PARAMS</w:t>
      </w:r>
      <w:r>
        <w:rPr/>
        <w:t xml:space="preserve">; </w:t>
      </w:r>
      <w:r>
        <w:rPr>
          <w:rStyle w:val="SourceText"/>
        </w:rPr>
        <w:t>reports/ranking-refresh-2026-09-28.md</w:t>
      </w:r>
      <w:r>
        <w:rPr/>
        <w:t xml:space="preserve">, a dated record; </w:t>
      </w:r>
      <w:r>
        <w:rPr>
          <w:rStyle w:val="SourceText"/>
        </w:rPr>
        <w:t>reports/baseline.md</w:t>
      </w:r>
      <w:r>
        <w:rPr/>
        <w:t xml:space="preserve">, </w:t>
      </w:r>
      <w:r>
        <w:rPr>
          <w:rStyle w:val="Emphasis"/>
        </w:rPr>
        <w:t>The noise floor</w:t>
      </w:r>
      <w:r>
        <w:rPr/>
        <w:t xml:space="preserve"> and </w:t>
      </w:r>
      <w:r>
        <w:rPr>
          <w:rStyle w:val="Emphasis"/>
        </w:rPr>
        <w:t>Held-out pairs</w:t>
      </w:r>
      <w:r>
        <w:rPr/>
        <w:t xml:space="preserve">; </w:t>
      </w:r>
      <w:r>
        <w:rPr>
          <w:rStyle w:val="SourceText"/>
        </w:rPr>
        <w:t>docs/provenance.md</w:t>
      </w:r>
      <w:r>
        <w:rPr/>
        <w:t xml:space="preserve">; </w:t>
      </w:r>
      <w:r>
        <w:rPr>
          <w:rStyle w:val="SourceText"/>
        </w:rPr>
        <w:t>reports/monthly_seeds.md</w:t>
      </w:r>
      <w:r>
        <w:rPr/>
        <w:t xml:space="preserve">, </w:t>
      </w:r>
      <w:r>
        <w:rPr>
          <w:rStyle w:val="Emphasis"/>
        </w:rPr>
        <w:t>Per month and over the year</w:t>
      </w:r>
      <w:r>
        <w:rPr/>
        <w:t xml:space="preserve">; </w:t>
      </w:r>
      <w:r>
        <w:rPr>
          <w:rStyle w:val="SourceText"/>
        </w:rPr>
        <w:t>reports/preregistered-2026-10-02.md</w:t>
      </w:r>
      <w:r>
        <w:rPr/>
        <w:t xml:space="preserve">, a dated record; </w:t>
      </w:r>
      <w:r>
        <w:rPr>
          <w:rStyle w:val="SourceText"/>
        </w:rPr>
        <w:t>reports/candidates-2026-10-03.md</w:t>
      </w:r>
      <w:r>
        <w:rPr/>
        <w:t xml:space="preserve">, </w:t>
      </w:r>
      <w:r>
        <w:rPr>
          <w:rStyle w:val="Emphasis"/>
        </w:rPr>
        <w:t>What was measured</w:t>
      </w:r>
      <w:r>
        <w:rPr/>
        <w:t xml:space="preserve">, </w:t>
      </w:r>
      <w:r>
        <w:rPr>
          <w:rStyle w:val="Emphasis"/>
        </w:rPr>
        <w:t>The four conditions of 28 September</w:t>
      </w:r>
      <w:r>
        <w:rPr/>
        <w:t xml:space="preserve"> and </w:t>
      </w:r>
      <w:r>
        <w:rPr>
          <w:rStyle w:val="Emphasis"/>
        </w:rPr>
        <w:t>What the rule adopts</w:t>
      </w:r>
      <w:r>
        <w:rPr/>
        <w:t>.</w:t>
      </w:r>
    </w:p>
    <w:p>
      <w:pPr>
        <w:pStyle w:val="Heading3"/>
        <w:bidi w:val="0"/>
        <w:jc w:val="left"/>
        <w:rPr/>
      </w:pPr>
      <w:r>
        <w:rPr/>
        <w:t>9.4 A ceiling that measured the wrong thing</w:t>
      </w:r>
    </w:p>
    <w:p>
      <w:pPr>
        <w:pStyle w:val="BodyText"/>
        <w:bidi w:val="0"/>
        <w:jc w:val="left"/>
        <w:rPr/>
      </w:pPr>
      <w:r>
        <w:rPr/>
        <w:t>The headroom estimate of §7.4 was wrong twice, and the two errors are worth more than the number they were about.</w:t>
      </w:r>
    </w:p>
    <w:p>
      <w:pPr>
        <w:pStyle w:val="BodyText"/>
        <w:bidi w:val="0"/>
        <w:jc w:val="left"/>
        <w:rPr/>
      </w:pPr>
      <w:r>
        <w:rPr/>
        <w:t xml:space="preserve">The first was arithmetic. The estimate scales each pair-frequency bucket's airport-mean error by the ratio the control, the </w:t>
      </w:r>
      <w:r>
        <w:rPr>
          <w:rStyle w:val="SourceText"/>
        </w:rPr>
        <w:t>+ weather</w:t>
      </w:r>
      <w:r>
        <w:rPr/>
        <w:t xml:space="preserve"> rung, achieves on pairs seen more than a hundred times, and calls the difference the attainable headroom. On the </w:t>
      </w:r>
      <w:r>
        <w:rPr>
          <w:rStyle w:val="SourceText"/>
        </w:rPr>
        <w:t>11-100</w:t>
      </w:r>
      <w:r>
        <w:rPr/>
        <w:t xml:space="preserve"> bucket that difference is negative, </w:t>
      </w:r>
      <w:r>
        <w:rPr>
          <w:rStyle w:val="Strong"/>
        </w:rPr>
        <w:t>−12.1 s</w:t>
      </w:r>
      <w:r>
        <w:rPr/>
        <w:t xml:space="preserve"> as the report now computes it: the control is already ahead of what the ratio would predict. The first reading of that table described the bucket as "about zero" but then added its size as if it were positive. That turned a pooled ceiling of about a third of a second into a claimed one to one and a half seconds. The generator now computes the pooled figure both ways and prints both, because the gap between them is the whole of the number: a negative bucket held at zero gives +0.32 s, the signs taken literally give −0.79 s, and the ceiling is positive only because of that convention. The error ran in the direction that made a piece of work already proposed look worth doing, which is the direction such errors run.</w:t>
      </w:r>
    </w:p>
    <w:p>
      <w:pPr>
        <w:pStyle w:val="BodyText"/>
        <w:bidi w:val="0"/>
        <w:jc w:val="left"/>
        <w:rPr/>
      </w:pPr>
      <w:r>
        <w:rPr/>
        <w:t>The second is the one that matters. The ceiling was not wrong about what it measured; it measured the wrong thing. It assumed, by construction, that the bucket carrying 91% of the rows had no headroom at all (the ratio was defined from it), and it looked only at the rarely seen pairs the block was designed for. The block then took 84% of its gain from exactly that bucket. A ceiling that can only see the target of a feature cannot bound a feature whose mechanism is not the one it was named for. The honest reading of "smoothed memorization" in §7.4 is that the mechanism was never the one the ceiling was built to measure. The lesson is not that the ceiling should have been larger. It is that a bound computed only where a block is meant to help bounds only that intended effect, and the report that carries it should say so before the versions are fitted, not after.</w:t>
      </w:r>
    </w:p>
    <w:p>
      <w:pPr>
        <w:pStyle w:val="BodyText"/>
        <w:bidi w:val="0"/>
        <w:jc w:val="left"/>
        <w:rPr/>
      </w:pPr>
      <w:r>
        <w:rPr/>
        <w:t xml:space="preserve">Source: </w:t>
      </w:r>
      <w:r>
        <w:rPr>
          <w:rStyle w:val="SourceText"/>
        </w:rPr>
        <w:t>reports/baseline.md</w:t>
      </w:r>
      <w:r>
        <w:rPr/>
        <w:t xml:space="preserve">, </w:t>
      </w:r>
      <w:r>
        <w:rPr>
          <w:rStyle w:val="Emphasis"/>
        </w:rPr>
        <w:t>The ceiling this was built against</w:t>
      </w:r>
      <w:r>
        <w:rPr/>
        <w:t xml:space="preserve"> and </w:t>
      </w:r>
      <w:r>
        <w:rPr>
          <w:rStyle w:val="Emphasis"/>
        </w:rPr>
        <w:t>What the chosen arm is, in its own terms</w:t>
      </w:r>
      <w:r>
        <w:rPr/>
        <w:t>.</w:t>
      </w:r>
    </w:p>
    <w:p>
      <w:pPr>
        <w:pStyle w:val="Heading3"/>
        <w:bidi w:val="0"/>
        <w:jc w:val="left"/>
        <w:rPr/>
      </w:pPr>
      <w:r>
        <w:rPr/>
        <w:t>9.5 What the residual actually is</w:t>
      </w:r>
    </w:p>
    <w:p>
      <w:pPr>
        <w:pStyle w:val="BodyText"/>
        <w:bidi w:val="0"/>
        <w:jc w:val="left"/>
        <w:rPr/>
      </w:pPr>
      <w:r>
        <w:rPr/>
        <w:t>The error the model has left is a thin tail of individual holds. Three measurements say so, and none of them is the absence of a queue model. Every figure in this section is computed from the stored validation residuals of the base configuration's rung fitted once, at the ladder's seed; the five-seed average of §8 stores no residuals.</w:t>
      </w:r>
    </w:p>
    <w:p>
      <w:pPr>
        <w:pStyle w:val="BodyText"/>
        <w:bidi w:val="0"/>
        <w:jc w:val="left"/>
        <w:rPr/>
      </w:pPr>
      <w:r>
        <w:rPr>
          <w:rStyle w:val="Strong"/>
        </w:rPr>
        <w:t>Its shape.</w:t>
      </w:r>
      <w:r>
        <w:rPr/>
        <w:t xml:space="preserve"> On the December split, rows with a residual over ten minutes are 1.78% of the rows and 38.3% of the squared error; over twenty minutes, 0.23% and 17.2%, and four in five of those are under-predictions. On the July leg's three airports (Frankfurt, Heathrow and Schiphol), the same tail is 1.82% of the rows and 48.6% of the squared error, with 55% of those rows under-predicted. The under-predicted rows among those over ten minutes have a median actual taxi-out of 2,221 s against a median prediction of 1,356 s in December, and 2,597 against 1,695 on the July three. Their ninetieth percentile is 3,466 s in December and 4,430 on the July three.</w:t>
      </w:r>
    </w:p>
    <w:p>
      <w:pPr>
        <w:pStyle w:val="BodyText"/>
        <w:bidi w:val="0"/>
        <w:jc w:val="left"/>
        <w:rPr/>
      </w:pPr>
      <w:r>
        <w:rPr/>
        <w:drawing>
          <wp:inline distT="0" distB="0" distL="0" distR="0">
            <wp:extent cx="720090" cy="360045"/>
            <wp:effectExtent l="0" t="0" r="0" b="0"/>
            <wp:docPr id="7" name="Image7" descr="The residual 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The residual tail"/>
                    <pic:cNvPicPr>
                      <a:picLocks noChangeAspect="1" noChangeArrowheads="1"/>
                    </pic:cNvPicPr>
                  </pic:nvPicPr>
                  <pic:blipFill>
                    <a:blip r:link="rId9"/>
                    <a:stretch>
                      <a:fillRect/>
                    </a:stretch>
                  </pic:blipFill>
                  <pic:spPr bwMode="auto">
                    <a:xfrm>
                      <a:off x="0" y="0"/>
                      <a:ext cx="720090" cy="360045"/>
                    </a:xfrm>
                    <a:prstGeom prst="rect">
                      <a:avLst/>
                    </a:prstGeom>
                    <a:noFill/>
                  </pic:spPr>
                </pic:pic>
              </a:graphicData>
            </a:graphic>
          </wp:inline>
        </w:drawing>
      </w:r>
    </w:p>
    <w:p>
      <w:pPr>
        <w:pStyle w:val="BodyText"/>
        <w:bidi w:val="0"/>
        <w:jc w:val="left"/>
        <w:rPr/>
      </w:pPr>
      <w:r>
        <w:rPr>
          <w:rStyle w:val="Strong"/>
        </w:rPr>
        <w:t>Figure 5.</w:t>
      </w:r>
      <w:r>
        <w:rPr/>
        <w:t xml:space="preserve"> The residual tail. Rows more than twenty minutes off are 0.23% of December's rows and 17.2% of its squared error, and four in five of them are under-predictions. On the three July airports the same rows are 0.33% of the rows, 31.4% of the squared error and two in three under-predictions.</w:t>
      </w:r>
    </w:p>
    <w:p>
      <w:pPr>
        <w:pStyle w:val="BodyText"/>
        <w:bidi w:val="0"/>
        <w:jc w:val="left"/>
        <w:rPr/>
      </w:pPr>
      <w:r>
        <w:rPr>
          <w:rStyle w:val="Strong"/>
        </w:rPr>
        <w:t>It is not shared.</w:t>
      </w:r>
      <w:r>
        <w:rPr/>
        <w:t xml:space="preserve"> The oracle of §6.4 regresses a departure's residual on its same-runway neighbors' mean residual, a quantity no admissible feature may read. On the base configuration it would lower the error by 8.2 s in December and 8.3 in July, and the lag-1 autocorrelation of consecutive residuals under two minutes apart is 0.19 and 0.09. A queue everyone stands in would show in both. These misses belong to one aircraft at a time.</w:t>
      </w:r>
    </w:p>
    <w:p>
      <w:pPr>
        <w:pStyle w:val="BodyText"/>
        <w:bidi w:val="0"/>
        <w:jc w:val="left"/>
        <w:rPr/>
      </w:pPr>
      <w:r>
        <w:rPr>
          <w:rStyle w:val="Strong"/>
        </w:rPr>
        <w:t>It is enriched where individual holds live.</w:t>
      </w:r>
      <w:r>
        <w:rPr/>
        <w:t xml:space="preserve"> Heavies are 21.6% of December's rows and 33.3% of its worst one percent of residuals. Departures without a Network Manager record are 0.94% of the rows, 4.8% of the worst one percent and 3.6% of the squared error in December, and 1.99%, 11.0% and 14.8% on the July three, where they run at 641 s RMSE against 235.1 for the three pooled. The missing record is itself a delay signal, since a plan canceled and refiled after a long delay loses its join. Departures whose stand was taken by an aircraft of another type twenty to forty-five minutes before take-off, the rows §6.5's bound speaks about, are 0.54% of the rows and 3.1% of the worst one percent even after the block that reads them. Inside that band the block cut the mean under-prediction from +229 s to +5, which is </w:t>
      </w:r>
      <w:r>
        <w:rPr>
          <w:rStyle w:val="SourceText"/>
        </w:rPr>
        <w:t>reports/occupancy.md</w:t>
      </w:r>
      <w:r>
        <w:rPr/>
        <w:t>'s measurement rather than this section's. The error also grows with the plan lag, as it must when a long lag can mean either an ordinary gate delay or a long hold and the model can only predict their average. Against 181 s at the fifteen-to-thirty-minute lag most rows have, the December RMSE is 415 s at forty-five to sixty minutes past the filed off-block and 632 s at one to two hours. Long lag is sometimes gate delay and sometimes a hold, and no exposed field separates them.</w:t>
      </w:r>
    </w:p>
    <w:p>
      <w:pPr>
        <w:pStyle w:val="BodyText"/>
        <w:bidi w:val="0"/>
        <w:jc w:val="left"/>
        <w:rPr/>
      </w:pPr>
      <w:r>
        <w:rPr>
          <w:rStyle w:val="Strong"/>
        </w:rPr>
        <w:t>It is concentrated in one airport's afternoons, on one leg.</w:t>
      </w:r>
      <w:r>
        <w:rPr/>
        <w:t xml:space="preserve"> On the July leg, Heathrow's error runs +75.0 s [+17.0, +136.9] above December at the same airport, 20,790 rows at 314.4 s against 20,000 at 239.4 s. It is not spread over the day. The six hours from 14:00 to 19:59 UTC hold 60% of July's squared error on 38% of its rows and run +141.1 s [+40.7, +249.2] above July's other hours, while the same hours in December run −13.0 s [−47.3, +19.5] against December's other hours. The afternoon is a July effect at this airport and not a property of the airport. The second concentration is by record. The 338 rows with no Network Manager record, 1.6% of July's rows, carry 21.3% of its squared error at 1,138.9 s, which is +857.7 s [+300.7, +1,207.2] above the rows that have one; in December the same class runs +207.2 s [+71.3, +389.0] above. Both contrasts are structured, at day-clustered intervals clear of zero.</w:t>
      </w:r>
    </w:p>
    <w:p>
      <w:pPr>
        <w:pStyle w:val="BodyText"/>
        <w:bidi w:val="0"/>
        <w:jc w:val="left"/>
        <w:rPr/>
      </w:pPr>
      <w:r>
        <w:rPr>
          <w:rStyle w:val="Strong"/>
        </w:rPr>
        <w:t>Over the year, the last three blocks of the ladder are mostly a Fiumicino correction.</w:t>
      </w:r>
      <w:r>
        <w:rPr/>
        <w:t xml:space="preserve"> The callsign prefix, the destination block and the plan differences take 86.0%, 58.3% and 35.4% of their year-level reduction in squared error at Fiumicino, every part of it on rows with a flight-plan record. The first block's change at that airport is −22.1 s, against −3.3 pooled over the ten. That is the operator's identity doing at one airport what it does nowhere else, at the airport whose ordinary months run from 275.8 to 386.6 s (§8.3). For the plan differences the share falls from 35.4% to 26.5% when the one July day-shift row is left out, so part of that block's year-level worth is one departure (Annex H). On the forward splits the three blocks are read in §7.2.</w:t>
      </w:r>
    </w:p>
    <w:p>
      <w:pPr>
        <w:pStyle w:val="BodyText"/>
        <w:bidi w:val="0"/>
        <w:jc w:val="left"/>
        <w:rPr/>
      </w:pPr>
      <w:r>
        <w:rPr>
          <w:rStyle w:val="Strong"/>
        </w:rPr>
        <w:t>Neither concentration can become a feature.</w:t>
      </w:r>
      <w:r>
        <w:rPr/>
        <w:t xml:space="preserve"> Heathrow's July afternoons and the rows without a record are both already visible to the model. The hour of take-off, the runway, the plan-lag band and the presence of a record are columns the base configuration already reads, and the callsign prefix is the </w:t>
      </w:r>
      <w:r>
        <w:rPr>
          <w:rStyle w:val="SourceText"/>
        </w:rPr>
        <w:t>+ callsign prefix</w:t>
      </w:r>
      <w:r>
        <w:rPr/>
        <w:t xml:space="preserve"> rung's own level, so there is no mechanism here the frame lacks. What the July leg's model could not learn is what July's afternoons at Heathrow are like, because that leg trains on January to June and holds no July (§7.3). The oracle of §6.4 bounds what knowing the same-runway sequence exactly could still buy at Heathrow on July at 9.7 s, and that is the scale any queue reading of the afternoon would have to live inside. What is not shown is which afternoons: the interval on the six-hour contrast runs from +40.7 to +249.2 s under day clustering, which is what a handful of afternoons carrying the effect looks like. The individual days are not listed, because picking out days after seeing the errors would be searching for a pattern rather than describing one.</w:t>
      </w:r>
    </w:p>
    <w:p>
      <w:pPr>
        <w:pStyle w:val="BodyText"/>
        <w:bidi w:val="0"/>
        <w:jc w:val="left"/>
        <w:rPr/>
      </w:pPr>
      <w:r>
        <w:rPr>
          <w:rStyle w:val="Strong"/>
        </w:rPr>
        <w:t>One row, and which July figure this paper quotes.</w:t>
      </w:r>
      <w:r>
        <w:rPr/>
        <w:t xml:space="preserve"> Over all ten airports the July split's RMSE on the rows the record-quality term does not take, at the ladder's single seed, is 322.4 s. One departure at Fiumicino carries 33.8% of that figure's squared error. It records a taxi-out of 87,002 seconds, a day-shift in a cell the record-quality term does not cover, so no term touches it, and the four-hour exclusion is fit-side only and never reaches the scoring set. While July 2026 held no Fiumicino row, that was the reason to quote the three-airport figure, 235.1 s on the same seed, as the July figure, and this paper did so until the re-issued set was read. July 2026 now holds 15,838 Fiumicino departures (§2.1), and a row of this kind among them is scored at its recorded value exactly as this one is. The ten-airport figure is therefore the one §8 quotes, and the three-airport one is kept beside it. The rule that decided which blocks entered the model was applied to the ten-airport figure as written in advance, and this section does not revisit it.</w:t>
      </w:r>
    </w:p>
    <w:p>
      <w:pPr>
        <w:pStyle w:val="BodyText"/>
        <w:bidi w:val="0"/>
        <w:jc w:val="left"/>
        <w:rPr/>
      </w:pPr>
      <w:r>
        <w:rPr/>
        <w:t>What is left is individual and not shared, and no field the challenge exposes predicts it. Every exposed field the model did not yet read was tested for predictive value before any feature was built from it (</w:t>
      </w:r>
      <w:r>
        <w:rPr>
          <w:rStyle w:val="SourceText"/>
        </w:rPr>
        <w:t>docs/review_headroom.md</w:t>
      </w:r>
      <w:r>
        <w:rPr/>
        <w:t xml:space="preserve"> §2), and the four that carried anything are in the model. That is a bound on this work and, if the argument holds, on any approach working from the same columns. What would move it is information about the hold itself (a regulation, a de-icing queue, a runway inspection), which the challenge data does not carry. The open dataset that might carry it, EUROCONTROL's own daily ATFM delay by airport and cause, was excluded on its license (§2.2).</w:t>
      </w:r>
    </w:p>
    <w:p>
      <w:pPr>
        <w:pStyle w:val="BodyText"/>
        <w:bidi w:val="0"/>
        <w:jc w:val="left"/>
        <w:rPr/>
      </w:pPr>
      <w:r>
        <w:rPr/>
        <w:t xml:space="preserve">Sources: </w:t>
      </w:r>
      <w:r>
        <w:rPr>
          <w:rStyle w:val="SourceText"/>
        </w:rPr>
        <w:t>reports/residual.md</w:t>
      </w:r>
      <w:r>
        <w:rPr/>
        <w:t xml:space="preserve">, </w:t>
      </w:r>
      <w:r>
        <w:rPr>
          <w:rStyle w:val="Emphasis"/>
        </w:rPr>
        <w:t>The shape of the tail</w:t>
      </w:r>
      <w:r>
        <w:rPr/>
        <w:t xml:space="preserve">, </w:t>
      </w:r>
      <w:r>
        <w:rPr>
          <w:rStyle w:val="Emphasis"/>
        </w:rPr>
        <w:t>What the tail is enriched in</w:t>
      </w:r>
      <w:r>
        <w:rPr/>
        <w:t xml:space="preserve">, </w:t>
      </w:r>
      <w:r>
        <w:rPr>
          <w:rStyle w:val="Emphasis"/>
        </w:rPr>
        <w:t>The error by plan lag</w:t>
      </w:r>
      <w:r>
        <w:rPr/>
        <w:t xml:space="preserve">, </w:t>
      </w:r>
      <w:r>
        <w:rPr>
          <w:rStyle w:val="Emphasis"/>
        </w:rPr>
        <w:t>The largest rows</w:t>
      </w:r>
      <w:r>
        <w:rPr/>
        <w:t xml:space="preserve"> and </w:t>
      </w:r>
      <w:r>
        <w:rPr>
          <w:rStyle w:val="Emphasis"/>
        </w:rPr>
        <w:t>EGLL's July</w:t>
      </w:r>
      <w:r>
        <w:rPr/>
        <w:t xml:space="preserve">, all computed from the base configuration's stored residuals; </w:t>
      </w:r>
      <w:r>
        <w:rPr>
          <w:rStyle w:val="SourceText"/>
        </w:rPr>
        <w:t>reports/congestion.md</w:t>
      </w:r>
      <w:r>
        <w:rPr/>
        <w:t xml:space="preserve">, </w:t>
      </w:r>
      <w:r>
        <w:rPr>
          <w:rStyle w:val="Emphasis"/>
        </w:rPr>
        <w:t>The ceiling</w:t>
      </w:r>
      <w:r>
        <w:rPr/>
        <w:t xml:space="preserve">, for the oracle and the autocorrelation; </w:t>
      </w:r>
      <w:r>
        <w:rPr>
          <w:rStyle w:val="SourceText"/>
        </w:rPr>
        <w:t>reports/baseline.md</w:t>
      </w:r>
      <w:r>
        <w:rPr/>
        <w:t xml:space="preserve">, </w:t>
      </w:r>
      <w:r>
        <w:rPr>
          <w:rStyle w:val="Emphasis"/>
        </w:rPr>
        <w:t>Per airport</w:t>
      </w:r>
      <w:r>
        <w:rPr/>
        <w:t xml:space="preserve">; </w:t>
      </w:r>
      <w:r>
        <w:rPr>
          <w:rStyle w:val="SourceText"/>
        </w:rPr>
        <w:t>reports/occupancy.md</w:t>
      </w:r>
      <w:r>
        <w:rPr/>
        <w:t xml:space="preserve">, </w:t>
      </w:r>
      <w:r>
        <w:rPr>
          <w:rStyle w:val="Emphasis"/>
        </w:rPr>
        <w:t>Where the gain lands</w:t>
      </w:r>
      <w:r>
        <w:rPr/>
        <w:t xml:space="preserve">, for the in-band before and after; </w:t>
      </w:r>
      <w:r>
        <w:rPr>
          <w:rStyle w:val="SourceText"/>
        </w:rPr>
        <w:t>reports/data_review.md</w:t>
      </w:r>
      <w:r>
        <w:rPr/>
        <w:t xml:space="preserve">, </w:t>
      </w:r>
      <w:r>
        <w:rPr>
          <w:rStyle w:val="Emphasis"/>
        </w:rPr>
        <w:t>Airports and months</w:t>
      </w:r>
      <w:r>
        <w:rPr/>
        <w:t xml:space="preserve">, for the July 2026 census; </w:t>
      </w:r>
      <w:r>
        <w:rPr>
          <w:rStyle w:val="SourceText"/>
        </w:rPr>
        <w:t>docs/review_headroom.md</w:t>
      </w:r>
      <w:r>
        <w:rPr/>
        <w:t xml:space="preserve"> §1–2; </w:t>
      </w:r>
      <w:r>
        <w:rPr>
          <w:rStyle w:val="SourceText"/>
        </w:rPr>
        <w:t>reports/fiumicino.md</w:t>
      </w:r>
      <w:r>
        <w:rPr/>
        <w:t xml:space="preserve">, </w:t>
      </w:r>
      <w:r>
        <w:rPr>
          <w:rStyle w:val="Emphasis"/>
        </w:rPr>
        <w:t>The held-out-month ladder's year-level changes, recomputed</w:t>
      </w:r>
      <w:r>
        <w:rPr/>
        <w:t xml:space="preserve">, </w:t>
      </w:r>
      <w:r>
        <w:rPr>
          <w:rStyle w:val="SourceText"/>
        </w:rPr>
        <w:t>+ callsign prefix</w:t>
      </w:r>
      <w:r>
        <w:rPr>
          <w:rStyle w:val="Emphasis"/>
        </w:rPr>
        <w:t xml:space="preserve"> against </w:t>
      </w:r>
      <w:r>
        <w:rPr>
          <w:rStyle w:val="SourceText"/>
        </w:rPr>
        <w:t>+ stand occupancy</w:t>
      </w:r>
      <w:r>
        <w:rPr/>
        <w:t xml:space="preserve">, </w:t>
      </w:r>
      <w:r>
        <w:rPr>
          <w:rStyle w:val="SourceText"/>
        </w:rPr>
        <w:t>+ destination and holidays</w:t>
      </w:r>
      <w:r>
        <w:rPr>
          <w:rStyle w:val="Emphasis"/>
        </w:rPr>
        <w:t xml:space="preserve"> against </w:t>
      </w:r>
      <w:r>
        <w:rPr>
          <w:rStyle w:val="SourceText"/>
        </w:rPr>
        <w:t>+ callsign prefix</w:t>
      </w:r>
      <w:r>
        <w:rPr/>
        <w:t xml:space="preserve"> and </w:t>
      </w:r>
      <w:r>
        <w:rPr>
          <w:rStyle w:val="SourceText"/>
        </w:rPr>
        <w:t>+ plan differences</w:t>
      </w:r>
      <w:r>
        <w:rPr>
          <w:rStyle w:val="Emphasis"/>
        </w:rPr>
        <w:t xml:space="preserve"> against </w:t>
      </w:r>
      <w:r>
        <w:rPr>
          <w:rStyle w:val="SourceText"/>
        </w:rPr>
        <w:t>+ destination and holidays</w:t>
      </w:r>
      <w:r>
        <w:rPr/>
        <w:t xml:space="preserve">; </w:t>
      </w:r>
      <w:r>
        <w:rPr>
          <w:rStyle w:val="SourceText"/>
        </w:rPr>
        <w:t>reports/monthly_seeds.md</w:t>
      </w:r>
      <w:r>
        <w:rPr/>
        <w:t xml:space="preserve">, </w:t>
      </w:r>
      <w:r>
        <w:rPr>
          <w:rStyle w:val="Emphasis"/>
        </w:rPr>
        <w:t>Per airport and month: the five-seed average</w:t>
      </w:r>
      <w:r>
        <w:rPr/>
        <w:t>.</w:t>
      </w:r>
    </w:p>
    <w:p>
      <w:pPr>
        <w:pStyle w:val="Heading3"/>
        <w:bidi w:val="0"/>
        <w:jc w:val="left"/>
        <w:rPr/>
      </w:pPr>
      <w:r>
        <w:rPr/>
        <w:t>9.6 What held, and further work</w:t>
      </w:r>
    </w:p>
    <w:p>
      <w:pPr>
        <w:pStyle w:val="BodyText"/>
        <w:bidi w:val="0"/>
        <w:jc w:val="left"/>
        <w:rPr/>
      </w:pPr>
      <w:r>
        <w:rPr/>
        <w:t>The central hypothesis held where it could be tested. The recovered geometry carries to stand–runway pairs the model has never seen (§8.5), and that is the part of this work an identifier model cannot reproduce. It did not, and could not, move the test score by much: most test rows sit on pairs the training year saw often, so the forward splits and the challenge scores read the identifiers' strength rather than the geometry's (§9.1).</w:t>
      </w:r>
    </w:p>
    <w:p>
      <w:pPr>
        <w:pStyle w:val="BodyText"/>
        <w:bidi w:val="0"/>
        <w:jc w:val="left"/>
        <w:rPr/>
      </w:pPr>
      <w:r>
        <w:rPr/>
        <w:t>The larger gains came from data the geometry does not need: the Network Manager's recorded off-block time, a second learner refitted with it, and aircraft seen on the ground by open receivers (§8.7). The last of these is constrained by where the receivers listen. Over the training year's fitting days a source covered 0.480 of Heathrow's departures; over the ranking months it covered 0.923. On the rows it did cover in 2025 the ground-movement correction read 237.06 s, worse than the uncorrected prediction's 219.17. The out-of-fold airport gate therefore dropped Heathrow, and the final configuration does not use the correction there. As the coverage in the test months is nearly double that of the training year, the correction was fitted on a regime the test months do not share, and its reading at Heathrow may reflect the sparse coverage of 2025 as much as the airport itself.</w:t>
      </w:r>
    </w:p>
    <w:p>
      <w:pPr>
        <w:pStyle w:val="BodyText"/>
        <w:bidi w:val="0"/>
        <w:jc w:val="left"/>
        <w:rPr/>
      </w:pPr>
      <w:r>
        <w:rPr/>
        <w:t>Three directions follow from these limits. First, the correction at Heathrow, Paris and Rome should be refitted on a year in which the receivers see those airports as densely as they see the test months, before it is read again. Secondly, the rows at Fiumicino whose recorded block time sits at the schedule remain a source of error the exposed fields do not identify well (§4); a source that records the actual pushback there would resolve them directly rather than by a share. Finally, the queueing layer, which this work did not build, was bounded at about eight seconds net of the plan lags (§6.4). Ground events observe directly what a queue model would have inferred, so that bound should be measured again with the correction in place before a simulation is reconsidered.</w:t>
      </w:r>
    </w:p>
    <w:p>
      <w:pPr>
        <w:pStyle w:val="BodyText"/>
        <w:bidi w:val="0"/>
        <w:jc w:val="left"/>
        <w:rPr/>
      </w:pPr>
      <w:r>
        <w:rPr/>
        <w:t xml:space="preserve">Sources: </w:t>
      </w:r>
      <w:r>
        <w:rPr>
          <w:rStyle w:val="SourceText"/>
        </w:rPr>
        <w:t>reports/fusion.md</w:t>
      </w:r>
      <w:r>
        <w:rPr/>
        <w:t xml:space="preserve">, </w:t>
      </w:r>
      <w:r>
        <w:rPr>
          <w:rStyle w:val="Emphasis"/>
        </w:rPr>
        <w:t>The rows</w:t>
      </w:r>
      <w:r>
        <w:rPr/>
        <w:t xml:space="preserve"> and </w:t>
      </w:r>
      <w:r>
        <w:rPr>
          <w:rStyle w:val="Emphasis"/>
        </w:rPr>
        <w:t>The gate the ranking rows take</w:t>
      </w:r>
      <w:r>
        <w:rPr/>
        <w:t>.</w:t>
      </w:r>
    </w:p>
    <w:p>
      <w:pPr>
        <w:pStyle w:val="Heading2"/>
        <w:bidi w:val="0"/>
        <w:jc w:val="left"/>
        <w:rPr/>
      </w:pPr>
      <w:r>
        <w:rPr/>
        <w:t>10. Reproducing this</w:t>
      </w:r>
    </w:p>
    <w:p>
      <w:pPr>
        <w:pStyle w:val="BodyText"/>
        <w:bidi w:val="0"/>
        <w:jc w:val="left"/>
        <w:rPr/>
      </w:pPr>
      <w:r>
        <w:rPr>
          <w:rStyle w:val="Strong"/>
        </w:rPr>
        <w:t>What a reader brings.</w:t>
      </w:r>
      <w:r>
        <w:rPr/>
        <w:t xml:space="preserve"> A reader brings four things to the repository at the commit that carries this paper, as the README names it: the challenge data, which is not redistributable; the eleven Overpass answers, fetched at their pins as described below or taken from the deposit; and, from the deposit, the METAR observations and the two OurAirports tables this work reads. The deposit's copies are cached fetches recorded with their requests and terms, which a fetch made later would not return because OurAirports is rebuilt nightly. The final configuration reads two caches more: the adsb.lol event tables, from the deposit or fetched again by </w:t>
      </w:r>
      <w:r>
        <w:rPr>
          <w:rStyle w:val="SourceText"/>
        </w:rPr>
        <w:t>scripts/fetch_adsb.py</w:t>
      </w:r>
      <w:r>
        <w:rPr/>
        <w:t xml:space="preserve">, and OPDI's flight events and lists. OPDI's site states no data license; the events are used under the challenge's stated terms and are not deposited, and </w:t>
      </w:r>
      <w:r>
        <w:rPr>
          <w:rStyle w:val="SourceText"/>
        </w:rPr>
        <w:t>scripts/fetch_opdi.py</w:t>
      </w:r>
      <w:r>
        <w:rPr/>
        <w:t xml:space="preserve"> fetches them again. From those and the committed inputs, every figure in this paper is either regenerated by a named script or quoted from a dated record whose file hash the provenance register (</w:t>
      </w:r>
      <w:r>
        <w:rPr>
          <w:rStyle w:val="SourceText"/>
        </w:rPr>
        <w:t>docs/provenance.md</w:t>
      </w:r>
      <w:r>
        <w:rPr/>
        <w:t xml:space="preserve">) holds, and </w:t>
      </w:r>
      <w:r>
        <w:rPr>
          <w:rStyle w:val="SourceText"/>
        </w:rPr>
        <w:t>scripts/check_paper.py</w:t>
      </w:r>
      <w:r>
        <w:rPr/>
        <w:t xml:space="preserve"> tells the two apart. One report is of the second kind by necessity. </w:t>
      </w:r>
      <w:r>
        <w:rPr>
          <w:rStyle w:val="SourceText"/>
        </w:rPr>
        <w:t>reports/determinism.md</w:t>
      </w:r>
      <w:r>
        <w:rPr/>
        <w:t xml:space="preserve"> is a measurement campaign under the parameters of its day, whose records hold arrays derived from the challenge data and are not redistributed, so a clean checkout cannot regenerate it and is not asked to. The worked airport of §5.2 needs none of the four: it regenerates on a bare checkout with no network and no data.</w:t>
      </w:r>
    </w:p>
    <w:p>
      <w:pPr>
        <w:pStyle w:val="BodyText"/>
        <w:bidi w:val="0"/>
        <w:jc w:val="left"/>
        <w:rPr/>
      </w:pPr>
      <w:r>
        <w:rPr>
          <w:rStyle w:val="Strong"/>
        </w:rPr>
        <w:t>How the parts rebuild.</w:t>
      </w:r>
    </w:p>
    <w:p>
      <w:pPr>
        <w:pStyle w:val="BodyText"/>
        <w:numPr>
          <w:ilvl w:val="0"/>
          <w:numId w:val="3"/>
        </w:numPr>
        <w:tabs>
          <w:tab w:val="clear" w:pos="709"/>
          <w:tab w:val="left" w:pos="709" w:leader="none"/>
        </w:tabs>
        <w:bidi w:val="0"/>
        <w:spacing w:before="0" w:after="0"/>
        <w:ind w:hanging="283" w:left="709"/>
        <w:jc w:val="left"/>
        <w:rPr/>
      </w:pPr>
      <w:r>
        <w:rPr>
          <w:rStyle w:val="Strong"/>
        </w:rPr>
        <w:t>The geometry</w:t>
      </w:r>
      <w:r>
        <w:rPr/>
        <w:t xml:space="preserve"> is rebuilt from the pinned fetch, as described below. </w:t>
      </w:r>
    </w:p>
    <w:p>
      <w:pPr>
        <w:pStyle w:val="BodyText"/>
        <w:numPr>
          <w:ilvl w:val="0"/>
          <w:numId w:val="3"/>
        </w:numPr>
        <w:tabs>
          <w:tab w:val="clear" w:pos="709"/>
          <w:tab w:val="left" w:pos="709" w:leader="none"/>
        </w:tabs>
        <w:bidi w:val="0"/>
        <w:spacing w:before="0" w:after="0"/>
        <w:ind w:hanging="283" w:left="709"/>
        <w:jc w:val="left"/>
        <w:rPr/>
      </w:pPr>
      <w:r>
        <w:rPr>
          <w:rStyle w:val="Strong"/>
        </w:rPr>
        <w:t>The held-out year.</w:t>
      </w:r>
      <w:r>
        <w:rPr/>
        <w:t xml:space="preserve"> The ladder was refitted on every month of 2025 held out in turn. Its residuals, the five-seed refits of the base configuration on the same splits and the three pair folds refitted for three rungs are stored beside the ladder's own. The seven reports of the held-out year that §8 and the annexes quote regenerate from those stored files by their named scripts without a fit, and the fits themselves repeat by the same scripts. </w:t>
      </w:r>
    </w:p>
    <w:p>
      <w:pPr>
        <w:pStyle w:val="BodyText"/>
        <w:numPr>
          <w:ilvl w:val="0"/>
          <w:numId w:val="3"/>
        </w:numPr>
        <w:tabs>
          <w:tab w:val="clear" w:pos="709"/>
          <w:tab w:val="left" w:pos="709" w:leader="none"/>
        </w:tabs>
        <w:bidi w:val="0"/>
        <w:spacing w:before="0" w:after="0"/>
        <w:ind w:hanging="283" w:left="709"/>
        <w:jc w:val="left"/>
        <w:rPr/>
      </w:pPr>
      <w:r>
        <w:rPr>
          <w:rStyle w:val="Strong"/>
        </w:rPr>
        <w:t>The ranking file and template</w:t>
      </w:r>
      <w:r>
        <w:rPr/>
        <w:t xml:space="preserve"> are the versions the challenge later replaced. A reader brings those versions, and </w:t>
      </w:r>
      <w:r>
        <w:rPr>
          <w:rStyle w:val="SourceText"/>
        </w:rPr>
        <w:t>reports/ranking-refresh-2026-09-28.md</w:t>
      </w:r>
      <w:r>
        <w:rPr/>
        <w:t xml:space="preserve"> gives the digests of both versions, so that the copy in hand can be told from the copy first built on. </w:t>
      </w:r>
    </w:p>
    <w:p>
      <w:pPr>
        <w:pStyle w:val="BodyText"/>
        <w:numPr>
          <w:ilvl w:val="0"/>
          <w:numId w:val="3"/>
        </w:numPr>
        <w:tabs>
          <w:tab w:val="clear" w:pos="709"/>
          <w:tab w:val="left" w:pos="709" w:leader="none"/>
        </w:tabs>
        <w:bidi w:val="0"/>
        <w:ind w:hanging="283" w:left="709"/>
        <w:jc w:val="left"/>
        <w:rPr/>
      </w:pPr>
      <w:r>
        <w:rPr>
          <w:rStyle w:val="Strong"/>
        </w:rPr>
        <w:t>The final file.</w:t>
      </w:r>
      <w:r>
        <w:rPr/>
        <w:t xml:space="preserve"> </w:t>
      </w:r>
      <w:r>
        <w:rPr>
          <w:rStyle w:val="SourceText"/>
        </w:rPr>
        <w:t>make final</w:t>
      </w:r>
      <w:r>
        <w:rPr/>
        <w:t xml:space="preserve"> builds the final submission at the commit that carries its code. A fresh clone at that commit, given the inputs above and no network, refitted the sixty models behind the per-airport choice of blend (§8.7.5) with the committed code and built the final file byte for byte, by the route the README sets out under </w:t>
      </w:r>
      <w:r>
        <w:rPr>
          <w:rStyle w:val="Emphasis"/>
        </w:rPr>
        <w:t>v12 from a clean checkout</w:t>
      </w:r>
      <w:r>
        <w:rPr/>
        <w:t xml:space="preserve">. </w:t>
      </w:r>
    </w:p>
    <w:p>
      <w:pPr>
        <w:pStyle w:val="BodyText"/>
        <w:bidi w:val="0"/>
        <w:jc w:val="left"/>
        <w:rPr/>
      </w:pPr>
      <w:r>
        <w:rPr>
          <w:rStyle w:val="Strong"/>
        </w:rPr>
        <w:t>What repeats.</w:t>
      </w:r>
      <w:r>
        <w:rPr/>
        <w:t xml:space="preserve"> A fit of the booster repeats to the bit: it is fitted in LightGBM's deterministic mode with column-wise histograms at a pinned thread count. </w:t>
      </w:r>
      <w:r>
        <w:rPr>
          <w:rStyle w:val="SourceText"/>
        </w:rPr>
        <w:t>reports/determinism.md</w:t>
      </w:r>
      <w:r>
        <w:rPr/>
        <w:t xml:space="preserve"> fitted one rung, under the parameters in force when it was measured, six times in two processes at eight threads and got one outcome, and the same outcome at two, four and fourteen threads. The seed floors measured on October that the parameter search of §7.1.2 was read against came back identical to six places in two separate runs with a commit between them, and all five single-seed fits of the sweep's cell reproduced to the last digit; the headers of </w:t>
      </w:r>
      <w:r>
        <w:rPr>
          <w:rStyle w:val="SourceText"/>
        </w:rPr>
        <w:t>scripts/commit_extension_probe.sh</w:t>
      </w:r>
      <w:r>
        <w:rPr/>
        <w:t xml:space="preserve"> and </w:t>
      </w:r>
      <w:r>
        <w:rPr>
          <w:rStyle w:val="SourceText"/>
        </w:rPr>
        <w:t>scripts/commit_equivalence.sh</w:t>
      </w:r>
      <w:r>
        <w:rPr/>
        <w:t xml:space="preserve"> are the record of those two runs. A fresh clone, with the challenge data and the two tables brought in and the geometry fetched at its pins, rebuilt the 35 matrix files and the 52 residual files byte for byte and regenerated fourteen reports in which no figure moved. It passed this paper's own check against them and built the submission byte for byte, three times over between the working copy and the clone; </w:t>
      </w:r>
      <w:r>
        <w:rPr>
          <w:rStyle w:val="SourceText"/>
        </w:rPr>
        <w:t>reports/reproduction-2026-09-27.md</w:t>
      </w:r>
      <w:r>
        <w:rPr/>
        <w:t xml:space="preserve"> is the record of that run. A regeneration under the replaced ranking files rebuilt the 52 residual files byte for byte once more and moved no figure of the validation legs.</w:t>
      </w:r>
    </w:p>
    <w:p>
      <w:pPr>
        <w:pStyle w:val="BodyText"/>
        <w:bidi w:val="0"/>
        <w:jc w:val="left"/>
        <w:rPr/>
      </w:pPr>
      <w:r>
        <w:rPr>
          <w:rStyle w:val="Strong"/>
        </w:rPr>
        <w:t>The geometry is rebuilt, not shipped.</w:t>
      </w:r>
      <w:r>
        <w:rPr/>
        <w:t xml:space="preserve"> The distance matrices are a Derivative Database of OpenStreetMap under ODbL and are not in the repository: a clean checkout rebuilds them from a pinned fetch, and the deposit is the other route to the same files. A fresh fetch returns today's map, so the rebuild is pinned. The committed figures were built from a fetch in which each airport was answered from the map as it stood at its own moment. Those moments are recorded per airport in </w:t>
      </w:r>
      <w:r>
        <w:rPr>
          <w:rStyle w:val="SourceText"/>
        </w:rPr>
        <w:t>taxiout.provenance.OSM_PINS</w:t>
      </w:r>
      <w:r>
        <w:rPr/>
        <w:t xml:space="preserve">, and </w:t>
      </w:r>
      <w:r>
        <w:rPr>
          <w:rStyle w:val="SourceText"/>
        </w:rPr>
        <w:t>scripts/fetch_osm.py --pin-from-register --force</w:t>
      </w:r>
      <w:r>
        <w:rPr/>
        <w:t xml:space="preserve"> fetches each airport at its own. An Overpass answer's header never shows whether a pin was applied, so the rebuild is verified by its effect. </w:t>
      </w:r>
      <w:r>
        <w:rPr>
          <w:rStyle w:val="SourceText"/>
        </w:rPr>
        <w:t>--compare</w:t>
      </w:r>
      <w:r>
        <w:rPr/>
        <w:t xml:space="preserve"> checks each airport's parsed elements against the answers the matrices were built from, of which the deposit's copy is identical element for element, and </w:t>
      </w:r>
      <w:r>
        <w:rPr>
          <w:rStyle w:val="SourceText"/>
        </w:rPr>
        <w:t>--control-date</w:t>
      </w:r>
      <w:r>
        <w:rPr/>
        <w:t xml:space="preserve"> asks the instance that answered for a date whose answer is known to differ, which shows that it applies a pin at all. A header can show the opposite, that a pin could not have been applied, because an instance cannot serve a state it has not ingested. The client refuses an answer whose database state precedes the pin; the two fallback instances it knows answered from databases of May to July and were refused, and every accepted answer came from the primary.</w:t>
      </w:r>
    </w:p>
    <w:p>
      <w:pPr>
        <w:pStyle w:val="BodyText"/>
        <w:bidi w:val="0"/>
        <w:jc w:val="left"/>
        <w:rPr/>
      </w:pPr>
      <w:r>
        <w:rPr>
          <w:rStyle w:val="Strong"/>
        </w:rPr>
        <w:t>The paper checks itself.</w:t>
      </w:r>
      <w:r>
        <w:rPr/>
        <w:t xml:space="preserve"> </w:t>
      </w:r>
      <w:r>
        <w:rPr>
          <w:rStyle w:val="SourceText"/>
        </w:rPr>
        <w:t>scripts/check_paper.py</w:t>
      </w:r>
      <w:r>
        <w:rPr/>
        <w:t xml:space="preserve"> reads every figure in this paper and requires it to appear, at the paper's own precision, in the file its section's source line cites and, where that line names a section of the file, in that section. A figure found only in a dated record must be listed as historical with a reason, and one computed from report figures must carry its arithmetic. It is a check of presence and not of correctness. A short figure can match a number in a long report by chance, so a passing check certifies that every figure appears where its section says it comes from, and the match it prints for each figure is how a reader tells the right number from a coincidence.</w:t>
      </w:r>
    </w:p>
    <w:p>
      <w:pPr>
        <w:pStyle w:val="BodyText"/>
        <w:bidi w:val="0"/>
        <w:jc w:val="left"/>
        <w:rPr/>
      </w:pPr>
      <w:r>
        <w:rPr/>
        <w:t xml:space="preserve">Figures 2 to 5 are drawn from the same report tables by </w:t>
      </w:r>
      <w:r>
        <w:rPr>
          <w:rStyle w:val="SourceText"/>
        </w:rPr>
        <w:t>scripts/report_paper_figures.py</w:t>
      </w:r>
      <w:r>
        <w:rPr/>
        <w:t xml:space="preserve">, whose </w:t>
      </w:r>
      <w:r>
        <w:rPr>
          <w:rStyle w:val="SourceText"/>
        </w:rPr>
        <w:t>--check</w:t>
      </w:r>
      <w:r>
        <w:rPr/>
        <w:t xml:space="preserve"> compares them with the files in </w:t>
      </w:r>
      <w:r>
        <w:rPr>
          <w:rStyle w:val="SourceText"/>
        </w:rPr>
        <w:t>docs/figures/</w:t>
      </w:r>
      <w:r>
        <w:rPr/>
        <w:t>. Figure 1 is the worked airport's own drawing.</w:t>
      </w:r>
    </w:p>
    <w:p>
      <w:pPr>
        <w:pStyle w:val="BodyText"/>
        <w:bidi w:val="0"/>
        <w:jc w:val="left"/>
        <w:rPr/>
      </w:pPr>
      <w:r>
        <w:rPr/>
        <w:t xml:space="preserve">Sources: README, </w:t>
      </w:r>
      <w:r>
        <w:rPr>
          <w:rStyle w:val="Emphasis"/>
        </w:rPr>
        <w:t>Reproducing</w:t>
      </w:r>
      <w:r>
        <w:rPr/>
        <w:t xml:space="preserve"> and </w:t>
      </w:r>
      <w:r>
        <w:rPr>
          <w:rStyle w:val="Emphasis"/>
        </w:rPr>
        <w:t>Data sources</w:t>
      </w:r>
      <w:r>
        <w:rPr/>
        <w:t xml:space="preserve">; </w:t>
      </w:r>
      <w:r>
        <w:rPr>
          <w:rStyle w:val="SourceText"/>
        </w:rPr>
        <w:t>reports/reproduction-2026-09-27.md</w:t>
      </w:r>
      <w:r>
        <w:rPr/>
        <w:t xml:space="preserve">, a dated record; </w:t>
      </w:r>
      <w:r>
        <w:rPr>
          <w:rStyle w:val="SourceText"/>
        </w:rPr>
        <w:t>reports/determinism.md</w:t>
      </w:r>
      <w:r>
        <w:rPr/>
        <w:t xml:space="preserve">, </w:t>
      </w:r>
      <w:r>
        <w:rPr>
          <w:rStyle w:val="Emphasis"/>
        </w:rPr>
        <w:t>The booster</w:t>
      </w:r>
      <w:r>
        <w:rPr/>
        <w:t xml:space="preserve">, a dated record; </w:t>
      </w:r>
      <w:r>
        <w:rPr>
          <w:rStyle w:val="SourceText"/>
        </w:rPr>
        <w:t>reports/ranking-refresh-2026-09-28.md</w:t>
      </w:r>
      <w:r>
        <w:rPr/>
        <w:t xml:space="preserve">, a dated record; </w:t>
      </w:r>
      <w:r>
        <w:rPr>
          <w:rStyle w:val="SourceText"/>
        </w:rPr>
        <w:t>scripts/check_paper.py</w:t>
      </w:r>
      <w:r>
        <w:rPr/>
        <w:t>.</w:t>
      </w:r>
    </w:p>
    <w:p>
      <w:pPr>
        <w:pStyle w:val="Heading2"/>
        <w:bidi w:val="0"/>
        <w:jc w:val="left"/>
        <w:rPr/>
      </w:pPr>
      <w:r>
        <w:rPr/>
        <w:t>Annex A: the ladder, every month held out</w:t>
      </w:r>
    </w:p>
    <w:p>
      <w:pPr>
        <w:pStyle w:val="BodyText"/>
        <w:bidi w:val="0"/>
        <w:jc w:val="left"/>
        <w:rPr/>
      </w:pPr>
      <w:r>
        <w:rPr/>
        <w:t xml:space="preserve">Every rung of the ladder on every month of 2025 held out in turn, the other eleven months training, at the ladder's own seed: the RMSE in seconds excluding the rows the record-quality term covers, the </w:t>
      </w:r>
      <w:r>
        <w:rPr>
          <w:rStyle w:val="Emphasis"/>
        </w:rPr>
        <w:t>year</w:t>
      </w:r>
      <w:r>
        <w:rPr/>
        <w:t xml:space="preserve"> column pooling the twelve months' rows. Where a month holds rows whose recorded taxi-out is over four hours, the bracket is the same figure over the rows of four hours or less, a diagnostic, with the count it leaves out. The design is not forward in time (§3.5). Rows per month, excluding the term's rows / of which over four hours / covered by the term:</w:t>
      </w:r>
    </w:p>
    <w:tbl>
      <w:tblPr>
        <w:tblW w:w="12330" w:type="dxa"/>
        <w:jc w:val="left"/>
        <w:tblInd w:w="28" w:type="dxa"/>
        <w:tblLayout w:type="fixed"/>
        <w:tblCellMar>
          <w:top w:w="28" w:type="dxa"/>
          <w:left w:w="28" w:type="dxa"/>
          <w:bottom w:w="28" w:type="dxa"/>
          <w:right w:w="28" w:type="dxa"/>
        </w:tblCellMar>
      </w:tblPr>
      <w:tblGrid>
        <w:gridCol w:w="587"/>
        <w:gridCol w:w="886"/>
        <w:gridCol w:w="886"/>
        <w:gridCol w:w="886"/>
        <w:gridCol w:w="886"/>
        <w:gridCol w:w="886"/>
        <w:gridCol w:w="886"/>
        <w:gridCol w:w="886"/>
        <w:gridCol w:w="886"/>
        <w:gridCol w:w="886"/>
        <w:gridCol w:w="886"/>
        <w:gridCol w:w="886"/>
        <w:gridCol w:w="886"/>
        <w:gridCol w:w="1111"/>
      </w:tblGrid>
      <w:tr>
        <w:trPr>
          <w:tblHeader w:val="true"/>
        </w:trPr>
        <w:tc>
          <w:tcPr>
            <w:tcW w:w="587" w:type="dxa"/>
            <w:tcBorders/>
            <w:vAlign w:val="center"/>
          </w:tcPr>
          <w:p>
            <w:pPr>
              <w:pStyle w:val="TableHeading"/>
              <w:bidi w:val="0"/>
              <w:rPr>
                <w:sz w:val="4"/>
                <w:szCs w:val="4"/>
              </w:rPr>
            </w:pPr>
            <w:r>
              <w:rPr>
                <w:sz w:val="4"/>
                <w:szCs w:val="4"/>
              </w:rPr>
            </w:r>
          </w:p>
        </w:tc>
        <w:tc>
          <w:tcPr>
            <w:tcW w:w="886" w:type="dxa"/>
            <w:tcBorders/>
            <w:vAlign w:val="center"/>
          </w:tcPr>
          <w:p>
            <w:pPr>
              <w:pStyle w:val="TableHeading"/>
              <w:bidi w:val="0"/>
              <w:jc w:val="right"/>
              <w:rPr/>
            </w:pPr>
            <w:r>
              <w:rPr/>
              <w:t>Jan</w:t>
            </w:r>
          </w:p>
        </w:tc>
        <w:tc>
          <w:tcPr>
            <w:tcW w:w="886" w:type="dxa"/>
            <w:tcBorders/>
            <w:vAlign w:val="center"/>
          </w:tcPr>
          <w:p>
            <w:pPr>
              <w:pStyle w:val="TableHeading"/>
              <w:bidi w:val="0"/>
              <w:jc w:val="right"/>
              <w:rPr/>
            </w:pPr>
            <w:r>
              <w:rPr/>
              <w:t>Feb</w:t>
            </w:r>
          </w:p>
        </w:tc>
        <w:tc>
          <w:tcPr>
            <w:tcW w:w="886" w:type="dxa"/>
            <w:tcBorders/>
            <w:vAlign w:val="center"/>
          </w:tcPr>
          <w:p>
            <w:pPr>
              <w:pStyle w:val="TableHeading"/>
              <w:bidi w:val="0"/>
              <w:jc w:val="right"/>
              <w:rPr/>
            </w:pPr>
            <w:r>
              <w:rPr/>
              <w:t>Mar</w:t>
            </w:r>
          </w:p>
        </w:tc>
        <w:tc>
          <w:tcPr>
            <w:tcW w:w="886" w:type="dxa"/>
            <w:tcBorders/>
            <w:vAlign w:val="center"/>
          </w:tcPr>
          <w:p>
            <w:pPr>
              <w:pStyle w:val="TableHeading"/>
              <w:bidi w:val="0"/>
              <w:jc w:val="right"/>
              <w:rPr/>
            </w:pPr>
            <w:r>
              <w:rPr/>
              <w:t>Apr</w:t>
            </w:r>
          </w:p>
        </w:tc>
        <w:tc>
          <w:tcPr>
            <w:tcW w:w="886" w:type="dxa"/>
            <w:tcBorders/>
            <w:vAlign w:val="center"/>
          </w:tcPr>
          <w:p>
            <w:pPr>
              <w:pStyle w:val="TableHeading"/>
              <w:bidi w:val="0"/>
              <w:jc w:val="right"/>
              <w:rPr/>
            </w:pPr>
            <w:r>
              <w:rPr/>
              <w:t>May</w:t>
            </w:r>
          </w:p>
        </w:tc>
        <w:tc>
          <w:tcPr>
            <w:tcW w:w="886" w:type="dxa"/>
            <w:tcBorders/>
            <w:vAlign w:val="center"/>
          </w:tcPr>
          <w:p>
            <w:pPr>
              <w:pStyle w:val="TableHeading"/>
              <w:bidi w:val="0"/>
              <w:jc w:val="right"/>
              <w:rPr/>
            </w:pPr>
            <w:r>
              <w:rPr/>
              <w:t>Jun</w:t>
            </w:r>
          </w:p>
        </w:tc>
        <w:tc>
          <w:tcPr>
            <w:tcW w:w="886" w:type="dxa"/>
            <w:tcBorders/>
            <w:vAlign w:val="center"/>
          </w:tcPr>
          <w:p>
            <w:pPr>
              <w:pStyle w:val="TableHeading"/>
              <w:bidi w:val="0"/>
              <w:jc w:val="right"/>
              <w:rPr/>
            </w:pPr>
            <w:r>
              <w:rPr/>
              <w:t>Jul</w:t>
            </w:r>
          </w:p>
        </w:tc>
        <w:tc>
          <w:tcPr>
            <w:tcW w:w="886" w:type="dxa"/>
            <w:tcBorders/>
            <w:vAlign w:val="center"/>
          </w:tcPr>
          <w:p>
            <w:pPr>
              <w:pStyle w:val="TableHeading"/>
              <w:bidi w:val="0"/>
              <w:jc w:val="right"/>
              <w:rPr/>
            </w:pPr>
            <w:r>
              <w:rPr/>
              <w:t>Aug</w:t>
            </w:r>
          </w:p>
        </w:tc>
        <w:tc>
          <w:tcPr>
            <w:tcW w:w="886" w:type="dxa"/>
            <w:tcBorders/>
            <w:vAlign w:val="center"/>
          </w:tcPr>
          <w:p>
            <w:pPr>
              <w:pStyle w:val="TableHeading"/>
              <w:bidi w:val="0"/>
              <w:jc w:val="right"/>
              <w:rPr/>
            </w:pPr>
            <w:r>
              <w:rPr/>
              <w:t>Sep</w:t>
            </w:r>
          </w:p>
        </w:tc>
        <w:tc>
          <w:tcPr>
            <w:tcW w:w="886" w:type="dxa"/>
            <w:tcBorders/>
            <w:vAlign w:val="center"/>
          </w:tcPr>
          <w:p>
            <w:pPr>
              <w:pStyle w:val="TableHeading"/>
              <w:bidi w:val="0"/>
              <w:jc w:val="right"/>
              <w:rPr/>
            </w:pPr>
            <w:r>
              <w:rPr/>
              <w:t>Oct</w:t>
            </w:r>
          </w:p>
        </w:tc>
        <w:tc>
          <w:tcPr>
            <w:tcW w:w="886" w:type="dxa"/>
            <w:tcBorders/>
            <w:vAlign w:val="center"/>
          </w:tcPr>
          <w:p>
            <w:pPr>
              <w:pStyle w:val="TableHeading"/>
              <w:bidi w:val="0"/>
              <w:jc w:val="right"/>
              <w:rPr/>
            </w:pPr>
            <w:r>
              <w:rPr/>
              <w:t>Nov</w:t>
            </w:r>
          </w:p>
        </w:tc>
        <w:tc>
          <w:tcPr>
            <w:tcW w:w="886" w:type="dxa"/>
            <w:tcBorders/>
            <w:vAlign w:val="center"/>
          </w:tcPr>
          <w:p>
            <w:pPr>
              <w:pStyle w:val="TableHeading"/>
              <w:bidi w:val="0"/>
              <w:jc w:val="right"/>
              <w:rPr/>
            </w:pPr>
            <w:r>
              <w:rPr/>
              <w:t>Dec</w:t>
            </w:r>
          </w:p>
        </w:tc>
        <w:tc>
          <w:tcPr>
            <w:tcW w:w="1111" w:type="dxa"/>
            <w:tcBorders/>
            <w:vAlign w:val="center"/>
          </w:tcPr>
          <w:p>
            <w:pPr>
              <w:pStyle w:val="TableHeading"/>
              <w:bidi w:val="0"/>
              <w:jc w:val="right"/>
              <w:rPr/>
            </w:pPr>
            <w:r>
              <w:rPr/>
              <w:t>year</w:t>
            </w:r>
          </w:p>
        </w:tc>
      </w:tr>
      <w:tr>
        <w:trPr/>
        <w:tc>
          <w:tcPr>
            <w:tcW w:w="587" w:type="dxa"/>
            <w:tcBorders/>
            <w:vAlign w:val="center"/>
          </w:tcPr>
          <w:p>
            <w:pPr>
              <w:pStyle w:val="TableContents"/>
              <w:widowControl w:val="false"/>
              <w:suppressLineNumbers/>
              <w:bidi w:val="0"/>
              <w:jc w:val="left"/>
              <w:rPr/>
            </w:pPr>
            <w:r>
              <w:rPr/>
              <w:t>rows</w:t>
            </w:r>
          </w:p>
        </w:tc>
        <w:tc>
          <w:tcPr>
            <w:tcW w:w="886" w:type="dxa"/>
            <w:tcBorders/>
            <w:vAlign w:val="center"/>
          </w:tcPr>
          <w:p>
            <w:pPr>
              <w:pStyle w:val="TableContents"/>
              <w:bidi w:val="0"/>
              <w:jc w:val="right"/>
              <w:rPr/>
            </w:pPr>
            <w:r>
              <w:rPr/>
              <w:t>153,646 / 2 / 60</w:t>
            </w:r>
          </w:p>
        </w:tc>
        <w:tc>
          <w:tcPr>
            <w:tcW w:w="886" w:type="dxa"/>
            <w:tcBorders/>
            <w:vAlign w:val="center"/>
          </w:tcPr>
          <w:p>
            <w:pPr>
              <w:pStyle w:val="TableContents"/>
              <w:bidi w:val="0"/>
              <w:jc w:val="right"/>
              <w:rPr/>
            </w:pPr>
            <w:r>
              <w:rPr/>
              <w:t>143,674 / 1 / 58</w:t>
            </w:r>
          </w:p>
        </w:tc>
        <w:tc>
          <w:tcPr>
            <w:tcW w:w="886" w:type="dxa"/>
            <w:tcBorders/>
            <w:vAlign w:val="center"/>
          </w:tcPr>
          <w:p>
            <w:pPr>
              <w:pStyle w:val="TableContents"/>
              <w:bidi w:val="0"/>
              <w:jc w:val="right"/>
              <w:rPr/>
            </w:pPr>
            <w:r>
              <w:rPr/>
              <w:t>164,390 / 1 / 59</w:t>
            </w:r>
          </w:p>
        </w:tc>
        <w:tc>
          <w:tcPr>
            <w:tcW w:w="886" w:type="dxa"/>
            <w:tcBorders/>
            <w:vAlign w:val="center"/>
          </w:tcPr>
          <w:p>
            <w:pPr>
              <w:pStyle w:val="TableContents"/>
              <w:bidi w:val="0"/>
              <w:jc w:val="right"/>
              <w:rPr/>
            </w:pPr>
            <w:r>
              <w:rPr/>
              <w:t>175,218 / 0 / 70</w:t>
            </w:r>
          </w:p>
        </w:tc>
        <w:tc>
          <w:tcPr>
            <w:tcW w:w="886" w:type="dxa"/>
            <w:tcBorders/>
            <w:vAlign w:val="center"/>
          </w:tcPr>
          <w:p>
            <w:pPr>
              <w:pStyle w:val="TableContents"/>
              <w:bidi w:val="0"/>
              <w:jc w:val="right"/>
              <w:rPr/>
            </w:pPr>
            <w:r>
              <w:rPr/>
              <w:t>185,104 / 1 / 98</w:t>
            </w:r>
          </w:p>
        </w:tc>
        <w:tc>
          <w:tcPr>
            <w:tcW w:w="886" w:type="dxa"/>
            <w:tcBorders/>
            <w:vAlign w:val="center"/>
          </w:tcPr>
          <w:p>
            <w:pPr>
              <w:pStyle w:val="TableContents"/>
              <w:bidi w:val="0"/>
              <w:jc w:val="right"/>
              <w:rPr/>
            </w:pPr>
            <w:r>
              <w:rPr/>
              <w:t>182,957 / 0 / 185</w:t>
            </w:r>
          </w:p>
        </w:tc>
        <w:tc>
          <w:tcPr>
            <w:tcW w:w="886" w:type="dxa"/>
            <w:tcBorders/>
            <w:vAlign w:val="center"/>
          </w:tcPr>
          <w:p>
            <w:pPr>
              <w:pStyle w:val="TableContents"/>
              <w:bidi w:val="0"/>
              <w:jc w:val="right"/>
              <w:rPr/>
            </w:pPr>
            <w:r>
              <w:rPr/>
              <w:t>190,378 / 2 / 335</w:t>
            </w:r>
          </w:p>
        </w:tc>
        <w:tc>
          <w:tcPr>
            <w:tcW w:w="886" w:type="dxa"/>
            <w:tcBorders/>
            <w:vAlign w:val="center"/>
          </w:tcPr>
          <w:p>
            <w:pPr>
              <w:pStyle w:val="TableContents"/>
              <w:bidi w:val="0"/>
              <w:jc w:val="right"/>
              <w:rPr/>
            </w:pPr>
            <w:r>
              <w:rPr/>
              <w:t>190,985 / 0 / 197</w:t>
            </w:r>
          </w:p>
        </w:tc>
        <w:tc>
          <w:tcPr>
            <w:tcW w:w="886" w:type="dxa"/>
            <w:tcBorders/>
            <w:vAlign w:val="center"/>
          </w:tcPr>
          <w:p>
            <w:pPr>
              <w:pStyle w:val="TableContents"/>
              <w:bidi w:val="0"/>
              <w:jc w:val="right"/>
              <w:rPr/>
            </w:pPr>
            <w:r>
              <w:rPr/>
              <w:t>183,782 / 0 / 168</w:t>
            </w:r>
          </w:p>
        </w:tc>
        <w:tc>
          <w:tcPr>
            <w:tcW w:w="886" w:type="dxa"/>
            <w:tcBorders/>
            <w:vAlign w:val="center"/>
          </w:tcPr>
          <w:p>
            <w:pPr>
              <w:pStyle w:val="TableContents"/>
              <w:bidi w:val="0"/>
              <w:jc w:val="right"/>
              <w:rPr/>
            </w:pPr>
            <w:r>
              <w:rPr/>
              <w:t>185,559 / 0 / 115</w:t>
            </w:r>
          </w:p>
        </w:tc>
        <w:tc>
          <w:tcPr>
            <w:tcW w:w="886" w:type="dxa"/>
            <w:tcBorders/>
            <w:vAlign w:val="center"/>
          </w:tcPr>
          <w:p>
            <w:pPr>
              <w:pStyle w:val="TableContents"/>
              <w:bidi w:val="0"/>
              <w:jc w:val="right"/>
              <w:rPr/>
            </w:pPr>
            <w:r>
              <w:rPr/>
              <w:t>162,280 / 0 / 52</w:t>
            </w:r>
          </w:p>
        </w:tc>
        <w:tc>
          <w:tcPr>
            <w:tcW w:w="886" w:type="dxa"/>
            <w:tcBorders/>
            <w:vAlign w:val="center"/>
          </w:tcPr>
          <w:p>
            <w:pPr>
              <w:pStyle w:val="TableContents"/>
              <w:bidi w:val="0"/>
              <w:jc w:val="right"/>
              <w:rPr/>
            </w:pPr>
            <w:r>
              <w:rPr/>
              <w:t>165,589 / 0 / 88</w:t>
            </w:r>
          </w:p>
        </w:tc>
        <w:tc>
          <w:tcPr>
            <w:tcW w:w="1111" w:type="dxa"/>
            <w:tcBorders/>
            <w:vAlign w:val="center"/>
          </w:tcPr>
          <w:p>
            <w:pPr>
              <w:pStyle w:val="TableContents"/>
              <w:bidi w:val="0"/>
              <w:jc w:val="right"/>
              <w:rPr/>
            </w:pPr>
            <w:r>
              <w:rPr/>
              <w:t>2,083,562 / 7 / 1,485</w:t>
            </w:r>
          </w:p>
        </w:tc>
      </w:tr>
    </w:tbl>
    <w:tbl>
      <w:tblPr>
        <w:tblW w:w="11594" w:type="dxa"/>
        <w:jc w:val="left"/>
        <w:tblInd w:w="28" w:type="dxa"/>
        <w:tblLayout w:type="fixed"/>
        <w:tblCellMar>
          <w:top w:w="28" w:type="dxa"/>
          <w:left w:w="28" w:type="dxa"/>
          <w:bottom w:w="28" w:type="dxa"/>
          <w:right w:w="28" w:type="dxa"/>
        </w:tblCellMar>
      </w:tblPr>
      <w:tblGrid>
        <w:gridCol w:w="2281"/>
        <w:gridCol w:w="791"/>
        <w:gridCol w:w="791"/>
        <w:gridCol w:w="791"/>
        <w:gridCol w:w="646"/>
        <w:gridCol w:w="791"/>
        <w:gridCol w:w="646"/>
        <w:gridCol w:w="791"/>
        <w:gridCol w:w="646"/>
        <w:gridCol w:w="646"/>
        <w:gridCol w:w="646"/>
        <w:gridCol w:w="646"/>
        <w:gridCol w:w="646"/>
        <w:gridCol w:w="836"/>
      </w:tblGrid>
      <w:tr>
        <w:trPr>
          <w:tblHeader w:val="true"/>
        </w:trPr>
        <w:tc>
          <w:tcPr>
            <w:tcW w:w="2281" w:type="dxa"/>
            <w:tcBorders/>
            <w:vAlign w:val="center"/>
          </w:tcPr>
          <w:p>
            <w:pPr>
              <w:pStyle w:val="TableHeading"/>
              <w:suppressLineNumbers/>
              <w:bidi w:val="0"/>
              <w:jc w:val="center"/>
              <w:rPr/>
            </w:pPr>
            <w:r>
              <w:rPr/>
              <w:t>rung</w:t>
            </w:r>
          </w:p>
        </w:tc>
        <w:tc>
          <w:tcPr>
            <w:tcW w:w="791" w:type="dxa"/>
            <w:tcBorders/>
            <w:vAlign w:val="center"/>
          </w:tcPr>
          <w:p>
            <w:pPr>
              <w:pStyle w:val="TableHeading"/>
              <w:bidi w:val="0"/>
              <w:jc w:val="right"/>
              <w:rPr/>
            </w:pPr>
            <w:r>
              <w:rPr/>
              <w:t>Jan</w:t>
            </w:r>
          </w:p>
        </w:tc>
        <w:tc>
          <w:tcPr>
            <w:tcW w:w="791" w:type="dxa"/>
            <w:tcBorders/>
            <w:vAlign w:val="center"/>
          </w:tcPr>
          <w:p>
            <w:pPr>
              <w:pStyle w:val="TableHeading"/>
              <w:bidi w:val="0"/>
              <w:jc w:val="right"/>
              <w:rPr/>
            </w:pPr>
            <w:r>
              <w:rPr/>
              <w:t>Feb</w:t>
            </w:r>
          </w:p>
        </w:tc>
        <w:tc>
          <w:tcPr>
            <w:tcW w:w="791" w:type="dxa"/>
            <w:tcBorders/>
            <w:vAlign w:val="center"/>
          </w:tcPr>
          <w:p>
            <w:pPr>
              <w:pStyle w:val="TableHeading"/>
              <w:bidi w:val="0"/>
              <w:jc w:val="right"/>
              <w:rPr/>
            </w:pPr>
            <w:r>
              <w:rPr/>
              <w:t>Mar</w:t>
            </w:r>
          </w:p>
        </w:tc>
        <w:tc>
          <w:tcPr>
            <w:tcW w:w="646" w:type="dxa"/>
            <w:tcBorders/>
            <w:vAlign w:val="center"/>
          </w:tcPr>
          <w:p>
            <w:pPr>
              <w:pStyle w:val="TableHeading"/>
              <w:bidi w:val="0"/>
              <w:jc w:val="right"/>
              <w:rPr/>
            </w:pPr>
            <w:r>
              <w:rPr/>
              <w:t>Apr</w:t>
            </w:r>
          </w:p>
        </w:tc>
        <w:tc>
          <w:tcPr>
            <w:tcW w:w="791" w:type="dxa"/>
            <w:tcBorders/>
            <w:vAlign w:val="center"/>
          </w:tcPr>
          <w:p>
            <w:pPr>
              <w:pStyle w:val="TableHeading"/>
              <w:bidi w:val="0"/>
              <w:jc w:val="right"/>
              <w:rPr/>
            </w:pPr>
            <w:r>
              <w:rPr/>
              <w:t>May</w:t>
            </w:r>
          </w:p>
        </w:tc>
        <w:tc>
          <w:tcPr>
            <w:tcW w:w="646" w:type="dxa"/>
            <w:tcBorders/>
            <w:vAlign w:val="center"/>
          </w:tcPr>
          <w:p>
            <w:pPr>
              <w:pStyle w:val="TableHeading"/>
              <w:bidi w:val="0"/>
              <w:jc w:val="right"/>
              <w:rPr/>
            </w:pPr>
            <w:r>
              <w:rPr/>
              <w:t>Jun</w:t>
            </w:r>
          </w:p>
        </w:tc>
        <w:tc>
          <w:tcPr>
            <w:tcW w:w="791" w:type="dxa"/>
            <w:tcBorders/>
            <w:vAlign w:val="center"/>
          </w:tcPr>
          <w:p>
            <w:pPr>
              <w:pStyle w:val="TableHeading"/>
              <w:bidi w:val="0"/>
              <w:jc w:val="right"/>
              <w:rPr/>
            </w:pPr>
            <w:r>
              <w:rPr/>
              <w:t>Jul</w:t>
            </w:r>
          </w:p>
        </w:tc>
        <w:tc>
          <w:tcPr>
            <w:tcW w:w="646" w:type="dxa"/>
            <w:tcBorders/>
            <w:vAlign w:val="center"/>
          </w:tcPr>
          <w:p>
            <w:pPr>
              <w:pStyle w:val="TableHeading"/>
              <w:bidi w:val="0"/>
              <w:jc w:val="right"/>
              <w:rPr/>
            </w:pPr>
            <w:r>
              <w:rPr/>
              <w:t>Aug</w:t>
            </w:r>
          </w:p>
        </w:tc>
        <w:tc>
          <w:tcPr>
            <w:tcW w:w="646" w:type="dxa"/>
            <w:tcBorders/>
            <w:vAlign w:val="center"/>
          </w:tcPr>
          <w:p>
            <w:pPr>
              <w:pStyle w:val="TableHeading"/>
              <w:bidi w:val="0"/>
              <w:jc w:val="right"/>
              <w:rPr/>
            </w:pPr>
            <w:r>
              <w:rPr/>
              <w:t>Sep</w:t>
            </w:r>
          </w:p>
        </w:tc>
        <w:tc>
          <w:tcPr>
            <w:tcW w:w="646" w:type="dxa"/>
            <w:tcBorders/>
            <w:vAlign w:val="center"/>
          </w:tcPr>
          <w:p>
            <w:pPr>
              <w:pStyle w:val="TableHeading"/>
              <w:bidi w:val="0"/>
              <w:jc w:val="right"/>
              <w:rPr/>
            </w:pPr>
            <w:r>
              <w:rPr/>
              <w:t>Oct</w:t>
            </w:r>
          </w:p>
        </w:tc>
        <w:tc>
          <w:tcPr>
            <w:tcW w:w="646" w:type="dxa"/>
            <w:tcBorders/>
            <w:vAlign w:val="center"/>
          </w:tcPr>
          <w:p>
            <w:pPr>
              <w:pStyle w:val="TableHeading"/>
              <w:bidi w:val="0"/>
              <w:jc w:val="right"/>
              <w:rPr/>
            </w:pPr>
            <w:r>
              <w:rPr/>
              <w:t>Nov</w:t>
            </w:r>
          </w:p>
        </w:tc>
        <w:tc>
          <w:tcPr>
            <w:tcW w:w="646" w:type="dxa"/>
            <w:tcBorders/>
            <w:vAlign w:val="center"/>
          </w:tcPr>
          <w:p>
            <w:pPr>
              <w:pStyle w:val="TableHeading"/>
              <w:bidi w:val="0"/>
              <w:jc w:val="right"/>
              <w:rPr/>
            </w:pPr>
            <w:r>
              <w:rPr/>
              <w:t>Dec</w:t>
            </w:r>
          </w:p>
        </w:tc>
        <w:tc>
          <w:tcPr>
            <w:tcW w:w="836" w:type="dxa"/>
            <w:tcBorders/>
            <w:vAlign w:val="center"/>
          </w:tcPr>
          <w:p>
            <w:pPr>
              <w:pStyle w:val="TableHeading"/>
              <w:bidi w:val="0"/>
              <w:jc w:val="right"/>
              <w:rPr/>
            </w:pPr>
            <w:r>
              <w:rPr/>
              <w:t>year</w:t>
            </w:r>
          </w:p>
        </w:tc>
      </w:tr>
      <w:tr>
        <w:trPr/>
        <w:tc>
          <w:tcPr>
            <w:tcW w:w="2281" w:type="dxa"/>
            <w:tcBorders/>
            <w:vAlign w:val="center"/>
          </w:tcPr>
          <w:p>
            <w:pPr>
              <w:pStyle w:val="TableContents"/>
              <w:widowControl w:val="false"/>
              <w:suppressLineNumbers/>
              <w:bidi w:val="0"/>
              <w:jc w:val="left"/>
              <w:rPr/>
            </w:pPr>
            <w:r>
              <w:rPr>
                <w:rStyle w:val="SourceText"/>
              </w:rPr>
              <w:t>airport mean</w:t>
            </w:r>
          </w:p>
        </w:tc>
        <w:tc>
          <w:tcPr>
            <w:tcW w:w="791" w:type="dxa"/>
            <w:tcBorders/>
            <w:vAlign w:val="center"/>
          </w:tcPr>
          <w:p>
            <w:pPr>
              <w:pStyle w:val="TableContents"/>
              <w:bidi w:val="0"/>
              <w:jc w:val="right"/>
              <w:rPr/>
            </w:pPr>
            <w:r>
              <w:rPr/>
              <w:t>491.8 [418.9; 2 out]</w:t>
            </w:r>
          </w:p>
        </w:tc>
        <w:tc>
          <w:tcPr>
            <w:tcW w:w="791" w:type="dxa"/>
            <w:tcBorders/>
            <w:vAlign w:val="center"/>
          </w:tcPr>
          <w:p>
            <w:pPr>
              <w:pStyle w:val="TableContents"/>
              <w:bidi w:val="0"/>
              <w:jc w:val="right"/>
              <w:rPr/>
            </w:pPr>
            <w:r>
              <w:rPr/>
              <w:t>470.9 [468.6; 1 out]</w:t>
            </w:r>
          </w:p>
        </w:tc>
        <w:tc>
          <w:tcPr>
            <w:tcW w:w="791" w:type="dxa"/>
            <w:tcBorders/>
            <w:vAlign w:val="center"/>
          </w:tcPr>
          <w:p>
            <w:pPr>
              <w:pStyle w:val="TableContents"/>
              <w:bidi w:val="0"/>
              <w:jc w:val="right"/>
              <w:rPr/>
            </w:pPr>
            <w:r>
              <w:rPr/>
              <w:t>348.7 [345.1; 1 out]</w:t>
            </w:r>
          </w:p>
        </w:tc>
        <w:tc>
          <w:tcPr>
            <w:tcW w:w="646" w:type="dxa"/>
            <w:tcBorders/>
            <w:vAlign w:val="center"/>
          </w:tcPr>
          <w:p>
            <w:pPr>
              <w:pStyle w:val="TableContents"/>
              <w:bidi w:val="0"/>
              <w:jc w:val="right"/>
              <w:rPr/>
            </w:pPr>
            <w:r>
              <w:rPr/>
              <w:t>334.8</w:t>
            </w:r>
          </w:p>
        </w:tc>
        <w:tc>
          <w:tcPr>
            <w:tcW w:w="791" w:type="dxa"/>
            <w:tcBorders/>
            <w:vAlign w:val="center"/>
          </w:tcPr>
          <w:p>
            <w:pPr>
              <w:pStyle w:val="TableContents"/>
              <w:bidi w:val="0"/>
              <w:jc w:val="right"/>
              <w:rPr/>
            </w:pPr>
            <w:r>
              <w:rPr/>
              <w:t>402.2 [348.2; 1 out]</w:t>
            </w:r>
          </w:p>
        </w:tc>
        <w:tc>
          <w:tcPr>
            <w:tcW w:w="646" w:type="dxa"/>
            <w:tcBorders/>
            <w:vAlign w:val="center"/>
          </w:tcPr>
          <w:p>
            <w:pPr>
              <w:pStyle w:val="TableContents"/>
              <w:bidi w:val="0"/>
              <w:jc w:val="right"/>
              <w:rPr/>
            </w:pPr>
            <w:r>
              <w:rPr/>
              <w:t>361.7</w:t>
            </w:r>
          </w:p>
        </w:tc>
        <w:tc>
          <w:tcPr>
            <w:tcW w:w="791" w:type="dxa"/>
            <w:tcBorders/>
            <w:vAlign w:val="center"/>
          </w:tcPr>
          <w:p>
            <w:pPr>
              <w:pStyle w:val="TableContents"/>
              <w:bidi w:val="0"/>
              <w:jc w:val="right"/>
              <w:rPr/>
            </w:pPr>
            <w:r>
              <w:rPr/>
              <w:t>465.8 [420.9; 2 out]</w:t>
            </w:r>
          </w:p>
        </w:tc>
        <w:tc>
          <w:tcPr>
            <w:tcW w:w="646" w:type="dxa"/>
            <w:tcBorders/>
            <w:vAlign w:val="center"/>
          </w:tcPr>
          <w:p>
            <w:pPr>
              <w:pStyle w:val="TableContents"/>
              <w:bidi w:val="0"/>
              <w:jc w:val="right"/>
              <w:rPr/>
            </w:pPr>
            <w:r>
              <w:rPr/>
              <w:t>363.0</w:t>
            </w:r>
          </w:p>
        </w:tc>
        <w:tc>
          <w:tcPr>
            <w:tcW w:w="646" w:type="dxa"/>
            <w:tcBorders/>
            <w:vAlign w:val="center"/>
          </w:tcPr>
          <w:p>
            <w:pPr>
              <w:pStyle w:val="TableContents"/>
              <w:bidi w:val="0"/>
              <w:jc w:val="right"/>
              <w:rPr/>
            </w:pPr>
            <w:r>
              <w:rPr/>
              <w:t>357.5</w:t>
            </w:r>
          </w:p>
        </w:tc>
        <w:tc>
          <w:tcPr>
            <w:tcW w:w="646" w:type="dxa"/>
            <w:tcBorders/>
            <w:vAlign w:val="center"/>
          </w:tcPr>
          <w:p>
            <w:pPr>
              <w:pStyle w:val="TableContents"/>
              <w:bidi w:val="0"/>
              <w:jc w:val="right"/>
              <w:rPr/>
            </w:pPr>
            <w:r>
              <w:rPr/>
              <w:t>362.2</w:t>
            </w:r>
          </w:p>
        </w:tc>
        <w:tc>
          <w:tcPr>
            <w:tcW w:w="646" w:type="dxa"/>
            <w:tcBorders/>
            <w:vAlign w:val="center"/>
          </w:tcPr>
          <w:p>
            <w:pPr>
              <w:pStyle w:val="TableContents"/>
              <w:bidi w:val="0"/>
              <w:jc w:val="right"/>
              <w:rPr/>
            </w:pPr>
            <w:r>
              <w:rPr/>
              <w:t>374.8</w:t>
            </w:r>
          </w:p>
        </w:tc>
        <w:tc>
          <w:tcPr>
            <w:tcW w:w="646" w:type="dxa"/>
            <w:tcBorders/>
            <w:vAlign w:val="center"/>
          </w:tcPr>
          <w:p>
            <w:pPr>
              <w:pStyle w:val="TableContents"/>
              <w:bidi w:val="0"/>
              <w:jc w:val="right"/>
              <w:rPr/>
            </w:pPr>
            <w:r>
              <w:rPr/>
              <w:t>380.0</w:t>
            </w:r>
          </w:p>
        </w:tc>
        <w:tc>
          <w:tcPr>
            <w:tcW w:w="836" w:type="dxa"/>
            <w:tcBorders/>
            <w:vAlign w:val="center"/>
          </w:tcPr>
          <w:p>
            <w:pPr>
              <w:pStyle w:val="TableContents"/>
              <w:bidi w:val="0"/>
              <w:jc w:val="right"/>
              <w:rPr/>
            </w:pPr>
            <w:r>
              <w:rPr/>
              <w:t>394.0 [377.9; 7 out]</w:t>
            </w:r>
          </w:p>
        </w:tc>
      </w:tr>
      <w:tr>
        <w:trPr/>
        <w:tc>
          <w:tcPr>
            <w:tcW w:w="2281" w:type="dxa"/>
            <w:tcBorders/>
            <w:vAlign w:val="center"/>
          </w:tcPr>
          <w:p>
            <w:pPr>
              <w:pStyle w:val="TableContents"/>
              <w:widowControl w:val="false"/>
              <w:suppressLineNumbers/>
              <w:bidi w:val="0"/>
              <w:jc w:val="left"/>
              <w:rPr/>
            </w:pPr>
            <w:r>
              <w:rPr>
                <w:rStyle w:val="SourceText"/>
              </w:rPr>
              <w:t>PRU reference</w:t>
            </w:r>
          </w:p>
        </w:tc>
        <w:tc>
          <w:tcPr>
            <w:tcW w:w="791" w:type="dxa"/>
            <w:tcBorders/>
            <w:vAlign w:val="center"/>
          </w:tcPr>
          <w:p>
            <w:pPr>
              <w:pStyle w:val="TableContents"/>
              <w:bidi w:val="0"/>
              <w:jc w:val="right"/>
              <w:rPr/>
            </w:pPr>
            <w:r>
              <w:rPr/>
              <w:t>532.8 [465.8; 2 out]</w:t>
            </w:r>
          </w:p>
        </w:tc>
        <w:tc>
          <w:tcPr>
            <w:tcW w:w="791" w:type="dxa"/>
            <w:tcBorders/>
            <w:vAlign w:val="center"/>
          </w:tcPr>
          <w:p>
            <w:pPr>
              <w:pStyle w:val="TableContents"/>
              <w:bidi w:val="0"/>
              <w:jc w:val="right"/>
              <w:rPr/>
            </w:pPr>
            <w:r>
              <w:rPr/>
              <w:t>514.7 [512.4; 1 out]</w:t>
            </w:r>
          </w:p>
        </w:tc>
        <w:tc>
          <w:tcPr>
            <w:tcW w:w="791" w:type="dxa"/>
            <w:tcBorders/>
            <w:vAlign w:val="center"/>
          </w:tcPr>
          <w:p>
            <w:pPr>
              <w:pStyle w:val="TableContents"/>
              <w:bidi w:val="0"/>
              <w:jc w:val="right"/>
              <w:rPr/>
            </w:pPr>
            <w:r>
              <w:rPr/>
              <w:t>394.0 [390.6; 1 out]</w:t>
            </w:r>
          </w:p>
        </w:tc>
        <w:tc>
          <w:tcPr>
            <w:tcW w:w="646" w:type="dxa"/>
            <w:tcBorders/>
            <w:vAlign w:val="center"/>
          </w:tcPr>
          <w:p>
            <w:pPr>
              <w:pStyle w:val="TableContents"/>
              <w:bidi w:val="0"/>
              <w:jc w:val="right"/>
              <w:rPr/>
            </w:pPr>
            <w:r>
              <w:rPr/>
              <w:t>381.3</w:t>
            </w:r>
          </w:p>
        </w:tc>
        <w:tc>
          <w:tcPr>
            <w:tcW w:w="791" w:type="dxa"/>
            <w:tcBorders/>
            <w:vAlign w:val="center"/>
          </w:tcPr>
          <w:p>
            <w:pPr>
              <w:pStyle w:val="TableContents"/>
              <w:bidi w:val="0"/>
              <w:jc w:val="right"/>
              <w:rPr/>
            </w:pPr>
            <w:r>
              <w:rPr/>
              <w:t>449.3 [401.1; 1 out]</w:t>
            </w:r>
          </w:p>
        </w:tc>
        <w:tc>
          <w:tcPr>
            <w:tcW w:w="646" w:type="dxa"/>
            <w:tcBorders/>
            <w:vAlign w:val="center"/>
          </w:tcPr>
          <w:p>
            <w:pPr>
              <w:pStyle w:val="TableContents"/>
              <w:bidi w:val="0"/>
              <w:jc w:val="right"/>
              <w:rPr/>
            </w:pPr>
            <w:r>
              <w:rPr/>
              <w:t>416.9</w:t>
            </w:r>
          </w:p>
        </w:tc>
        <w:tc>
          <w:tcPr>
            <w:tcW w:w="791" w:type="dxa"/>
            <w:tcBorders/>
            <w:vAlign w:val="center"/>
          </w:tcPr>
          <w:p>
            <w:pPr>
              <w:pStyle w:val="TableContents"/>
              <w:bidi w:val="0"/>
              <w:jc w:val="right"/>
              <w:rPr/>
            </w:pPr>
            <w:r>
              <w:rPr/>
              <w:t>530.8 [491.3; 2 out]</w:t>
            </w:r>
          </w:p>
        </w:tc>
        <w:tc>
          <w:tcPr>
            <w:tcW w:w="646" w:type="dxa"/>
            <w:tcBorders/>
            <w:vAlign w:val="center"/>
          </w:tcPr>
          <w:p>
            <w:pPr>
              <w:pStyle w:val="TableContents"/>
              <w:bidi w:val="0"/>
              <w:jc w:val="right"/>
              <w:rPr/>
            </w:pPr>
            <w:r>
              <w:rPr/>
              <w:t>424.7</w:t>
            </w:r>
          </w:p>
        </w:tc>
        <w:tc>
          <w:tcPr>
            <w:tcW w:w="646" w:type="dxa"/>
            <w:tcBorders/>
            <w:vAlign w:val="center"/>
          </w:tcPr>
          <w:p>
            <w:pPr>
              <w:pStyle w:val="TableContents"/>
              <w:bidi w:val="0"/>
              <w:jc w:val="right"/>
              <w:rPr/>
            </w:pPr>
            <w:r>
              <w:rPr/>
              <w:t>424.2</w:t>
            </w:r>
          </w:p>
        </w:tc>
        <w:tc>
          <w:tcPr>
            <w:tcW w:w="646" w:type="dxa"/>
            <w:tcBorders/>
            <w:vAlign w:val="center"/>
          </w:tcPr>
          <w:p>
            <w:pPr>
              <w:pStyle w:val="TableContents"/>
              <w:bidi w:val="0"/>
              <w:jc w:val="right"/>
              <w:rPr/>
            </w:pPr>
            <w:r>
              <w:rPr/>
              <w:t>423.5</w:t>
            </w:r>
          </w:p>
        </w:tc>
        <w:tc>
          <w:tcPr>
            <w:tcW w:w="646" w:type="dxa"/>
            <w:tcBorders/>
            <w:vAlign w:val="center"/>
          </w:tcPr>
          <w:p>
            <w:pPr>
              <w:pStyle w:val="TableContents"/>
              <w:bidi w:val="0"/>
              <w:jc w:val="right"/>
              <w:rPr/>
            </w:pPr>
            <w:r>
              <w:rPr/>
              <w:t>424.5</w:t>
            </w:r>
          </w:p>
        </w:tc>
        <w:tc>
          <w:tcPr>
            <w:tcW w:w="646" w:type="dxa"/>
            <w:tcBorders/>
            <w:vAlign w:val="center"/>
          </w:tcPr>
          <w:p>
            <w:pPr>
              <w:pStyle w:val="TableContents"/>
              <w:bidi w:val="0"/>
              <w:jc w:val="right"/>
              <w:rPr/>
            </w:pPr>
            <w:r>
              <w:rPr/>
              <w:t>435.8</w:t>
            </w:r>
          </w:p>
        </w:tc>
        <w:tc>
          <w:tcPr>
            <w:tcW w:w="836" w:type="dxa"/>
            <w:tcBorders/>
            <w:vAlign w:val="center"/>
          </w:tcPr>
          <w:p>
            <w:pPr>
              <w:pStyle w:val="TableContents"/>
              <w:bidi w:val="0"/>
              <w:jc w:val="right"/>
              <w:rPr/>
            </w:pPr>
            <w:r>
              <w:rPr/>
              <w:t>447.4 [433.0; 7 out]</w:t>
            </w:r>
          </w:p>
        </w:tc>
      </w:tr>
      <w:tr>
        <w:trPr/>
        <w:tc>
          <w:tcPr>
            <w:tcW w:w="2281" w:type="dxa"/>
            <w:tcBorders/>
            <w:vAlign w:val="center"/>
          </w:tcPr>
          <w:p>
            <w:pPr>
              <w:pStyle w:val="TableContents"/>
              <w:widowControl w:val="false"/>
              <w:suppressLineNumbers/>
              <w:bidi w:val="0"/>
              <w:jc w:val="left"/>
              <w:rPr/>
            </w:pPr>
            <w:r>
              <w:rPr>
                <w:rStyle w:val="SourceText"/>
              </w:rPr>
              <w:t>geometric unimpeded</w:t>
            </w:r>
          </w:p>
        </w:tc>
        <w:tc>
          <w:tcPr>
            <w:tcW w:w="791" w:type="dxa"/>
            <w:tcBorders/>
            <w:vAlign w:val="center"/>
          </w:tcPr>
          <w:p>
            <w:pPr>
              <w:pStyle w:val="TableContents"/>
              <w:bidi w:val="0"/>
              <w:jc w:val="right"/>
              <w:rPr/>
            </w:pPr>
            <w:r>
              <w:rPr/>
              <w:t>540.8 [474.8; 2 out]</w:t>
            </w:r>
          </w:p>
        </w:tc>
        <w:tc>
          <w:tcPr>
            <w:tcW w:w="791" w:type="dxa"/>
            <w:tcBorders/>
            <w:vAlign w:val="center"/>
          </w:tcPr>
          <w:p>
            <w:pPr>
              <w:pStyle w:val="TableContents"/>
              <w:bidi w:val="0"/>
              <w:jc w:val="right"/>
              <w:rPr/>
            </w:pPr>
            <w:r>
              <w:rPr/>
              <w:t>525.6 [523.5; 1 out]</w:t>
            </w:r>
          </w:p>
        </w:tc>
        <w:tc>
          <w:tcPr>
            <w:tcW w:w="791" w:type="dxa"/>
            <w:tcBorders/>
            <w:vAlign w:val="center"/>
          </w:tcPr>
          <w:p>
            <w:pPr>
              <w:pStyle w:val="TableContents"/>
              <w:bidi w:val="0"/>
              <w:jc w:val="right"/>
              <w:rPr/>
            </w:pPr>
            <w:r>
              <w:rPr/>
              <w:t>402.9 [399.7; 1 out]</w:t>
            </w:r>
          </w:p>
        </w:tc>
        <w:tc>
          <w:tcPr>
            <w:tcW w:w="646" w:type="dxa"/>
            <w:tcBorders/>
            <w:vAlign w:val="center"/>
          </w:tcPr>
          <w:p>
            <w:pPr>
              <w:pStyle w:val="TableContents"/>
              <w:bidi w:val="0"/>
              <w:jc w:val="right"/>
              <w:rPr/>
            </w:pPr>
            <w:r>
              <w:rPr/>
              <w:t>395.2</w:t>
            </w:r>
          </w:p>
        </w:tc>
        <w:tc>
          <w:tcPr>
            <w:tcW w:w="791" w:type="dxa"/>
            <w:tcBorders/>
            <w:vAlign w:val="center"/>
          </w:tcPr>
          <w:p>
            <w:pPr>
              <w:pStyle w:val="TableContents"/>
              <w:bidi w:val="0"/>
              <w:jc w:val="right"/>
              <w:rPr/>
            </w:pPr>
            <w:r>
              <w:rPr/>
              <w:t>459.3 [412.4; 1 out]</w:t>
            </w:r>
          </w:p>
        </w:tc>
        <w:tc>
          <w:tcPr>
            <w:tcW w:w="646" w:type="dxa"/>
            <w:tcBorders/>
            <w:vAlign w:val="center"/>
          </w:tcPr>
          <w:p>
            <w:pPr>
              <w:pStyle w:val="TableContents"/>
              <w:bidi w:val="0"/>
              <w:jc w:val="right"/>
              <w:rPr/>
            </w:pPr>
            <w:r>
              <w:rPr/>
              <w:t>429.6</w:t>
            </w:r>
          </w:p>
        </w:tc>
        <w:tc>
          <w:tcPr>
            <w:tcW w:w="791" w:type="dxa"/>
            <w:tcBorders/>
            <w:vAlign w:val="center"/>
          </w:tcPr>
          <w:p>
            <w:pPr>
              <w:pStyle w:val="TableContents"/>
              <w:bidi w:val="0"/>
              <w:jc w:val="right"/>
              <w:rPr/>
            </w:pPr>
            <w:r>
              <w:rPr/>
              <w:t>541.3 [502.7; 2 out]</w:t>
            </w:r>
          </w:p>
        </w:tc>
        <w:tc>
          <w:tcPr>
            <w:tcW w:w="646" w:type="dxa"/>
            <w:tcBorders/>
            <w:vAlign w:val="center"/>
          </w:tcPr>
          <w:p>
            <w:pPr>
              <w:pStyle w:val="TableContents"/>
              <w:bidi w:val="0"/>
              <w:jc w:val="right"/>
              <w:rPr/>
            </w:pPr>
            <w:r>
              <w:rPr/>
              <w:t>440.7</w:t>
            </w:r>
          </w:p>
        </w:tc>
        <w:tc>
          <w:tcPr>
            <w:tcW w:w="646" w:type="dxa"/>
            <w:tcBorders/>
            <w:vAlign w:val="center"/>
          </w:tcPr>
          <w:p>
            <w:pPr>
              <w:pStyle w:val="TableContents"/>
              <w:bidi w:val="0"/>
              <w:jc w:val="right"/>
              <w:rPr/>
            </w:pPr>
            <w:r>
              <w:rPr/>
              <w:t>438.3</w:t>
            </w:r>
          </w:p>
        </w:tc>
        <w:tc>
          <w:tcPr>
            <w:tcW w:w="646" w:type="dxa"/>
            <w:tcBorders/>
            <w:vAlign w:val="center"/>
          </w:tcPr>
          <w:p>
            <w:pPr>
              <w:pStyle w:val="TableContents"/>
              <w:bidi w:val="0"/>
              <w:jc w:val="right"/>
              <w:rPr/>
            </w:pPr>
            <w:r>
              <w:rPr/>
              <w:t>437.5</w:t>
            </w:r>
          </w:p>
        </w:tc>
        <w:tc>
          <w:tcPr>
            <w:tcW w:w="646" w:type="dxa"/>
            <w:tcBorders/>
            <w:vAlign w:val="center"/>
          </w:tcPr>
          <w:p>
            <w:pPr>
              <w:pStyle w:val="TableContents"/>
              <w:bidi w:val="0"/>
              <w:jc w:val="right"/>
              <w:rPr/>
            </w:pPr>
            <w:r>
              <w:rPr/>
              <w:t>438.5</w:t>
            </w:r>
          </w:p>
        </w:tc>
        <w:tc>
          <w:tcPr>
            <w:tcW w:w="646" w:type="dxa"/>
            <w:tcBorders/>
            <w:vAlign w:val="center"/>
          </w:tcPr>
          <w:p>
            <w:pPr>
              <w:pStyle w:val="TableContents"/>
              <w:bidi w:val="0"/>
              <w:jc w:val="right"/>
              <w:rPr/>
            </w:pPr>
            <w:r>
              <w:rPr/>
              <w:t>448.2</w:t>
            </w:r>
          </w:p>
        </w:tc>
        <w:tc>
          <w:tcPr>
            <w:tcW w:w="836" w:type="dxa"/>
            <w:tcBorders/>
            <w:vAlign w:val="center"/>
          </w:tcPr>
          <w:p>
            <w:pPr>
              <w:pStyle w:val="TableContents"/>
              <w:bidi w:val="0"/>
              <w:jc w:val="right"/>
              <w:rPr/>
            </w:pPr>
            <w:r>
              <w:rPr/>
              <w:t>459.4 [445.4; 7 out]</w:t>
            </w:r>
          </w:p>
        </w:tc>
      </w:tr>
      <w:tr>
        <w:trPr/>
        <w:tc>
          <w:tcPr>
            <w:tcW w:w="2281" w:type="dxa"/>
            <w:tcBorders/>
            <w:vAlign w:val="center"/>
          </w:tcPr>
          <w:p>
            <w:pPr>
              <w:pStyle w:val="TableContents"/>
              <w:widowControl w:val="false"/>
              <w:suppressLineNumbers/>
              <w:bidi w:val="0"/>
              <w:jc w:val="left"/>
              <w:rPr/>
            </w:pPr>
            <w:r>
              <w:rPr>
                <w:rStyle w:val="SourceText"/>
              </w:rPr>
              <w:t>geometric unimpeded + wake class</w:t>
            </w:r>
          </w:p>
        </w:tc>
        <w:tc>
          <w:tcPr>
            <w:tcW w:w="791" w:type="dxa"/>
            <w:tcBorders/>
            <w:vAlign w:val="center"/>
          </w:tcPr>
          <w:p>
            <w:pPr>
              <w:pStyle w:val="TableContents"/>
              <w:bidi w:val="0"/>
              <w:jc w:val="right"/>
              <w:rPr/>
            </w:pPr>
            <w:r>
              <w:rPr/>
              <w:t>531.1 [463.8; 2 out]</w:t>
            </w:r>
          </w:p>
        </w:tc>
        <w:tc>
          <w:tcPr>
            <w:tcW w:w="791" w:type="dxa"/>
            <w:tcBorders/>
            <w:vAlign w:val="center"/>
          </w:tcPr>
          <w:p>
            <w:pPr>
              <w:pStyle w:val="TableContents"/>
              <w:bidi w:val="0"/>
              <w:jc w:val="right"/>
              <w:rPr/>
            </w:pPr>
            <w:r>
              <w:rPr/>
              <w:t>516.6 [514.4; 1 out]</w:t>
            </w:r>
          </w:p>
        </w:tc>
        <w:tc>
          <w:tcPr>
            <w:tcW w:w="791" w:type="dxa"/>
            <w:tcBorders/>
            <w:vAlign w:val="center"/>
          </w:tcPr>
          <w:p>
            <w:pPr>
              <w:pStyle w:val="TableContents"/>
              <w:bidi w:val="0"/>
              <w:jc w:val="right"/>
              <w:rPr/>
            </w:pPr>
            <w:r>
              <w:rPr/>
              <w:t>393.3 [389.9; 1 out]</w:t>
            </w:r>
          </w:p>
        </w:tc>
        <w:tc>
          <w:tcPr>
            <w:tcW w:w="646" w:type="dxa"/>
            <w:tcBorders/>
            <w:vAlign w:val="center"/>
          </w:tcPr>
          <w:p>
            <w:pPr>
              <w:pStyle w:val="TableContents"/>
              <w:bidi w:val="0"/>
              <w:jc w:val="right"/>
              <w:rPr/>
            </w:pPr>
            <w:r>
              <w:rPr/>
              <w:t>384.5</w:t>
            </w:r>
          </w:p>
        </w:tc>
        <w:tc>
          <w:tcPr>
            <w:tcW w:w="791" w:type="dxa"/>
            <w:tcBorders/>
            <w:vAlign w:val="center"/>
          </w:tcPr>
          <w:p>
            <w:pPr>
              <w:pStyle w:val="TableContents"/>
              <w:bidi w:val="0"/>
              <w:jc w:val="right"/>
              <w:rPr/>
            </w:pPr>
            <w:r>
              <w:rPr/>
              <w:t>449.7 [401.8; 1 out]</w:t>
            </w:r>
          </w:p>
        </w:tc>
        <w:tc>
          <w:tcPr>
            <w:tcW w:w="646" w:type="dxa"/>
            <w:tcBorders/>
            <w:vAlign w:val="center"/>
          </w:tcPr>
          <w:p>
            <w:pPr>
              <w:pStyle w:val="TableContents"/>
              <w:bidi w:val="0"/>
              <w:jc w:val="right"/>
              <w:rPr/>
            </w:pPr>
            <w:r>
              <w:rPr/>
              <w:t>419.3</w:t>
            </w:r>
          </w:p>
        </w:tc>
        <w:tc>
          <w:tcPr>
            <w:tcW w:w="791" w:type="dxa"/>
            <w:tcBorders/>
            <w:vAlign w:val="center"/>
          </w:tcPr>
          <w:p>
            <w:pPr>
              <w:pStyle w:val="TableContents"/>
              <w:bidi w:val="0"/>
              <w:jc w:val="right"/>
              <w:rPr/>
            </w:pPr>
            <w:r>
              <w:rPr/>
              <w:t>531.6 [492.2; 2 out]</w:t>
            </w:r>
          </w:p>
        </w:tc>
        <w:tc>
          <w:tcPr>
            <w:tcW w:w="646" w:type="dxa"/>
            <w:tcBorders/>
            <w:vAlign w:val="center"/>
          </w:tcPr>
          <w:p>
            <w:pPr>
              <w:pStyle w:val="TableContents"/>
              <w:bidi w:val="0"/>
              <w:jc w:val="right"/>
              <w:rPr/>
            </w:pPr>
            <w:r>
              <w:rPr/>
              <w:t>429.7</w:t>
            </w:r>
          </w:p>
        </w:tc>
        <w:tc>
          <w:tcPr>
            <w:tcW w:w="646" w:type="dxa"/>
            <w:tcBorders/>
            <w:vAlign w:val="center"/>
          </w:tcPr>
          <w:p>
            <w:pPr>
              <w:pStyle w:val="TableContents"/>
              <w:bidi w:val="0"/>
              <w:jc w:val="right"/>
              <w:rPr/>
            </w:pPr>
            <w:r>
              <w:rPr/>
              <w:t>427.0</w:t>
            </w:r>
          </w:p>
        </w:tc>
        <w:tc>
          <w:tcPr>
            <w:tcW w:w="646" w:type="dxa"/>
            <w:tcBorders/>
            <w:vAlign w:val="center"/>
          </w:tcPr>
          <w:p>
            <w:pPr>
              <w:pStyle w:val="TableContents"/>
              <w:bidi w:val="0"/>
              <w:jc w:val="right"/>
              <w:rPr/>
            </w:pPr>
            <w:r>
              <w:rPr/>
              <w:t>427.5</w:t>
            </w:r>
          </w:p>
        </w:tc>
        <w:tc>
          <w:tcPr>
            <w:tcW w:w="646" w:type="dxa"/>
            <w:tcBorders/>
            <w:vAlign w:val="center"/>
          </w:tcPr>
          <w:p>
            <w:pPr>
              <w:pStyle w:val="TableContents"/>
              <w:bidi w:val="0"/>
              <w:jc w:val="right"/>
              <w:rPr/>
            </w:pPr>
            <w:r>
              <w:rPr/>
              <w:t>427.3</w:t>
            </w:r>
          </w:p>
        </w:tc>
        <w:tc>
          <w:tcPr>
            <w:tcW w:w="646" w:type="dxa"/>
            <w:tcBorders/>
            <w:vAlign w:val="center"/>
          </w:tcPr>
          <w:p>
            <w:pPr>
              <w:pStyle w:val="TableContents"/>
              <w:bidi w:val="0"/>
              <w:jc w:val="right"/>
              <w:rPr/>
            </w:pPr>
            <w:r>
              <w:rPr/>
              <w:t>436.5</w:t>
            </w:r>
          </w:p>
        </w:tc>
        <w:tc>
          <w:tcPr>
            <w:tcW w:w="836" w:type="dxa"/>
            <w:tcBorders/>
            <w:vAlign w:val="center"/>
          </w:tcPr>
          <w:p>
            <w:pPr>
              <w:pStyle w:val="TableContents"/>
              <w:bidi w:val="0"/>
              <w:jc w:val="right"/>
              <w:rPr/>
            </w:pPr>
            <w:r>
              <w:rPr/>
              <w:t>449.1 [434.9; 7 out]</w:t>
            </w:r>
          </w:p>
        </w:tc>
      </w:tr>
      <w:tr>
        <w:trPr/>
        <w:tc>
          <w:tcPr>
            <w:tcW w:w="2281" w:type="dxa"/>
            <w:tcBorders/>
            <w:vAlign w:val="center"/>
          </w:tcPr>
          <w:p>
            <w:pPr>
              <w:pStyle w:val="TableContents"/>
              <w:widowControl w:val="false"/>
              <w:suppressLineNumbers/>
              <w:bidi w:val="0"/>
              <w:jc w:val="left"/>
              <w:rPr/>
            </w:pPr>
            <w:r>
              <w:rPr>
                <w:rStyle w:val="SourceText"/>
              </w:rPr>
              <w:t>identifiers + time</w:t>
            </w:r>
          </w:p>
        </w:tc>
        <w:tc>
          <w:tcPr>
            <w:tcW w:w="791" w:type="dxa"/>
            <w:tcBorders/>
            <w:vAlign w:val="center"/>
          </w:tcPr>
          <w:p>
            <w:pPr>
              <w:pStyle w:val="TableContents"/>
              <w:bidi w:val="0"/>
              <w:jc w:val="right"/>
              <w:rPr/>
            </w:pPr>
            <w:r>
              <w:rPr/>
              <w:t>455.4 [375.5; 2 out]</w:t>
            </w:r>
          </w:p>
        </w:tc>
        <w:tc>
          <w:tcPr>
            <w:tcW w:w="791" w:type="dxa"/>
            <w:tcBorders/>
            <w:vAlign w:val="center"/>
          </w:tcPr>
          <w:p>
            <w:pPr>
              <w:pStyle w:val="TableContents"/>
              <w:bidi w:val="0"/>
              <w:jc w:val="right"/>
              <w:rPr/>
            </w:pPr>
            <w:r>
              <w:rPr/>
              <w:t>407.9 [405.3; 1 out]</w:t>
            </w:r>
          </w:p>
        </w:tc>
        <w:tc>
          <w:tcPr>
            <w:tcW w:w="791" w:type="dxa"/>
            <w:tcBorders/>
            <w:vAlign w:val="center"/>
          </w:tcPr>
          <w:p>
            <w:pPr>
              <w:pStyle w:val="TableContents"/>
              <w:bidi w:val="0"/>
              <w:jc w:val="right"/>
              <w:rPr/>
            </w:pPr>
            <w:r>
              <w:rPr/>
              <w:t>288.3 [283.8; 1 out]</w:t>
            </w:r>
          </w:p>
        </w:tc>
        <w:tc>
          <w:tcPr>
            <w:tcW w:w="646" w:type="dxa"/>
            <w:tcBorders/>
            <w:vAlign w:val="center"/>
          </w:tcPr>
          <w:p>
            <w:pPr>
              <w:pStyle w:val="TableContents"/>
              <w:bidi w:val="0"/>
              <w:jc w:val="right"/>
              <w:rPr/>
            </w:pPr>
            <w:r>
              <w:rPr/>
              <w:t>263.9</w:t>
            </w:r>
          </w:p>
        </w:tc>
        <w:tc>
          <w:tcPr>
            <w:tcW w:w="791" w:type="dxa"/>
            <w:tcBorders/>
            <w:vAlign w:val="center"/>
          </w:tcPr>
          <w:p>
            <w:pPr>
              <w:pStyle w:val="TableContents"/>
              <w:bidi w:val="0"/>
              <w:jc w:val="right"/>
              <w:rPr/>
            </w:pPr>
            <w:r>
              <w:rPr/>
              <w:t>340.5 [274.0; 1 out]</w:t>
            </w:r>
          </w:p>
        </w:tc>
        <w:tc>
          <w:tcPr>
            <w:tcW w:w="646" w:type="dxa"/>
            <w:tcBorders/>
            <w:vAlign w:val="center"/>
          </w:tcPr>
          <w:p>
            <w:pPr>
              <w:pStyle w:val="TableContents"/>
              <w:bidi w:val="0"/>
              <w:jc w:val="right"/>
              <w:rPr/>
            </w:pPr>
            <w:r>
              <w:rPr/>
              <w:t>296.2</w:t>
            </w:r>
          </w:p>
        </w:tc>
        <w:tc>
          <w:tcPr>
            <w:tcW w:w="791" w:type="dxa"/>
            <w:tcBorders/>
            <w:vAlign w:val="center"/>
          </w:tcPr>
          <w:p>
            <w:pPr>
              <w:pStyle w:val="TableContents"/>
              <w:bidi w:val="0"/>
              <w:jc w:val="right"/>
              <w:rPr/>
            </w:pPr>
            <w:r>
              <w:rPr/>
              <w:t>404.8 [352.0; 2 out]</w:t>
            </w:r>
          </w:p>
        </w:tc>
        <w:tc>
          <w:tcPr>
            <w:tcW w:w="646" w:type="dxa"/>
            <w:tcBorders/>
            <w:vAlign w:val="center"/>
          </w:tcPr>
          <w:p>
            <w:pPr>
              <w:pStyle w:val="TableContents"/>
              <w:bidi w:val="0"/>
              <w:jc w:val="right"/>
              <w:rPr/>
            </w:pPr>
            <w:r>
              <w:rPr/>
              <w:t>295.2</w:t>
            </w:r>
          </w:p>
        </w:tc>
        <w:tc>
          <w:tcPr>
            <w:tcW w:w="646" w:type="dxa"/>
            <w:tcBorders/>
            <w:vAlign w:val="center"/>
          </w:tcPr>
          <w:p>
            <w:pPr>
              <w:pStyle w:val="TableContents"/>
              <w:bidi w:val="0"/>
              <w:jc w:val="right"/>
              <w:rPr/>
            </w:pPr>
            <w:r>
              <w:rPr/>
              <w:t>287.9</w:t>
            </w:r>
          </w:p>
        </w:tc>
        <w:tc>
          <w:tcPr>
            <w:tcW w:w="646" w:type="dxa"/>
            <w:tcBorders/>
            <w:vAlign w:val="center"/>
          </w:tcPr>
          <w:p>
            <w:pPr>
              <w:pStyle w:val="TableContents"/>
              <w:bidi w:val="0"/>
              <w:jc w:val="right"/>
              <w:rPr/>
            </w:pPr>
            <w:r>
              <w:rPr/>
              <w:t>298.4</w:t>
            </w:r>
          </w:p>
        </w:tc>
        <w:tc>
          <w:tcPr>
            <w:tcW w:w="646" w:type="dxa"/>
            <w:tcBorders/>
            <w:vAlign w:val="center"/>
          </w:tcPr>
          <w:p>
            <w:pPr>
              <w:pStyle w:val="TableContents"/>
              <w:bidi w:val="0"/>
              <w:jc w:val="right"/>
              <w:rPr/>
            </w:pPr>
            <w:r>
              <w:rPr/>
              <w:t>305.3</w:t>
            </w:r>
          </w:p>
        </w:tc>
        <w:tc>
          <w:tcPr>
            <w:tcW w:w="646" w:type="dxa"/>
            <w:tcBorders/>
            <w:vAlign w:val="center"/>
          </w:tcPr>
          <w:p>
            <w:pPr>
              <w:pStyle w:val="TableContents"/>
              <w:bidi w:val="0"/>
              <w:jc w:val="right"/>
              <w:rPr/>
            </w:pPr>
            <w:r>
              <w:rPr/>
              <w:t>324.0</w:t>
            </w:r>
          </w:p>
        </w:tc>
        <w:tc>
          <w:tcPr>
            <w:tcW w:w="836" w:type="dxa"/>
            <w:tcBorders/>
            <w:vAlign w:val="center"/>
          </w:tcPr>
          <w:p>
            <w:pPr>
              <w:pStyle w:val="TableContents"/>
              <w:bidi w:val="0"/>
              <w:jc w:val="right"/>
              <w:rPr/>
            </w:pPr>
            <w:r>
              <w:rPr/>
              <w:t>333.1 [313.8; 7 out]</w:t>
            </w:r>
          </w:p>
        </w:tc>
      </w:tr>
      <w:tr>
        <w:trPr/>
        <w:tc>
          <w:tcPr>
            <w:tcW w:w="2281" w:type="dxa"/>
            <w:tcBorders/>
            <w:vAlign w:val="center"/>
          </w:tcPr>
          <w:p>
            <w:pPr>
              <w:pStyle w:val="TableContents"/>
              <w:widowControl w:val="false"/>
              <w:suppressLineNumbers/>
              <w:bidi w:val="0"/>
              <w:jc w:val="left"/>
              <w:rPr/>
            </w:pPr>
            <w:r>
              <w:rPr>
                <w:rStyle w:val="SourceText"/>
              </w:rPr>
              <w:t>identifiers + time + geometry</w:t>
            </w:r>
          </w:p>
        </w:tc>
        <w:tc>
          <w:tcPr>
            <w:tcW w:w="791" w:type="dxa"/>
            <w:tcBorders/>
            <w:vAlign w:val="center"/>
          </w:tcPr>
          <w:p>
            <w:pPr>
              <w:pStyle w:val="TableContents"/>
              <w:bidi w:val="0"/>
              <w:jc w:val="right"/>
              <w:rPr/>
            </w:pPr>
            <w:r>
              <w:rPr/>
              <w:t>453.6 [373.4; 2 out]</w:t>
            </w:r>
          </w:p>
        </w:tc>
        <w:tc>
          <w:tcPr>
            <w:tcW w:w="791" w:type="dxa"/>
            <w:tcBorders/>
            <w:vAlign w:val="center"/>
          </w:tcPr>
          <w:p>
            <w:pPr>
              <w:pStyle w:val="TableContents"/>
              <w:bidi w:val="0"/>
              <w:jc w:val="right"/>
              <w:rPr/>
            </w:pPr>
            <w:r>
              <w:rPr/>
              <w:t>403.0 [400.3; 1 out]</w:t>
            </w:r>
          </w:p>
        </w:tc>
        <w:tc>
          <w:tcPr>
            <w:tcW w:w="791" w:type="dxa"/>
            <w:tcBorders/>
            <w:vAlign w:val="center"/>
          </w:tcPr>
          <w:p>
            <w:pPr>
              <w:pStyle w:val="TableContents"/>
              <w:bidi w:val="0"/>
              <w:jc w:val="right"/>
              <w:rPr/>
            </w:pPr>
            <w:r>
              <w:rPr/>
              <w:t>285.5 [281.0; 1 out]</w:t>
            </w:r>
          </w:p>
        </w:tc>
        <w:tc>
          <w:tcPr>
            <w:tcW w:w="646" w:type="dxa"/>
            <w:tcBorders/>
            <w:vAlign w:val="center"/>
          </w:tcPr>
          <w:p>
            <w:pPr>
              <w:pStyle w:val="TableContents"/>
              <w:bidi w:val="0"/>
              <w:jc w:val="right"/>
              <w:rPr/>
            </w:pPr>
            <w:r>
              <w:rPr/>
              <w:t>264.1</w:t>
            </w:r>
          </w:p>
        </w:tc>
        <w:tc>
          <w:tcPr>
            <w:tcW w:w="791" w:type="dxa"/>
            <w:tcBorders/>
            <w:vAlign w:val="center"/>
          </w:tcPr>
          <w:p>
            <w:pPr>
              <w:pStyle w:val="TableContents"/>
              <w:bidi w:val="0"/>
              <w:jc w:val="right"/>
              <w:rPr/>
            </w:pPr>
            <w:r>
              <w:rPr/>
              <w:t>339.7 [273.1; 1 out]</w:t>
            </w:r>
          </w:p>
        </w:tc>
        <w:tc>
          <w:tcPr>
            <w:tcW w:w="646" w:type="dxa"/>
            <w:tcBorders/>
            <w:vAlign w:val="center"/>
          </w:tcPr>
          <w:p>
            <w:pPr>
              <w:pStyle w:val="TableContents"/>
              <w:bidi w:val="0"/>
              <w:jc w:val="right"/>
              <w:rPr/>
            </w:pPr>
            <w:r>
              <w:rPr/>
              <w:t>296.3</w:t>
            </w:r>
          </w:p>
        </w:tc>
        <w:tc>
          <w:tcPr>
            <w:tcW w:w="791" w:type="dxa"/>
            <w:tcBorders/>
            <w:vAlign w:val="center"/>
          </w:tcPr>
          <w:p>
            <w:pPr>
              <w:pStyle w:val="TableContents"/>
              <w:bidi w:val="0"/>
              <w:jc w:val="right"/>
              <w:rPr/>
            </w:pPr>
            <w:r>
              <w:rPr/>
              <w:t>404.6 [351.7; 2 out]</w:t>
            </w:r>
          </w:p>
        </w:tc>
        <w:tc>
          <w:tcPr>
            <w:tcW w:w="646" w:type="dxa"/>
            <w:tcBorders/>
            <w:vAlign w:val="center"/>
          </w:tcPr>
          <w:p>
            <w:pPr>
              <w:pStyle w:val="TableContents"/>
              <w:bidi w:val="0"/>
              <w:jc w:val="right"/>
              <w:rPr/>
            </w:pPr>
            <w:r>
              <w:rPr/>
              <w:t>293.3</w:t>
            </w:r>
          </w:p>
        </w:tc>
        <w:tc>
          <w:tcPr>
            <w:tcW w:w="646" w:type="dxa"/>
            <w:tcBorders/>
            <w:vAlign w:val="center"/>
          </w:tcPr>
          <w:p>
            <w:pPr>
              <w:pStyle w:val="TableContents"/>
              <w:bidi w:val="0"/>
              <w:jc w:val="right"/>
              <w:rPr/>
            </w:pPr>
            <w:r>
              <w:rPr/>
              <w:t>287.3</w:t>
            </w:r>
          </w:p>
        </w:tc>
        <w:tc>
          <w:tcPr>
            <w:tcW w:w="646" w:type="dxa"/>
            <w:tcBorders/>
            <w:vAlign w:val="center"/>
          </w:tcPr>
          <w:p>
            <w:pPr>
              <w:pStyle w:val="TableContents"/>
              <w:bidi w:val="0"/>
              <w:jc w:val="right"/>
              <w:rPr/>
            </w:pPr>
            <w:r>
              <w:rPr/>
              <w:t>297.2</w:t>
            </w:r>
          </w:p>
        </w:tc>
        <w:tc>
          <w:tcPr>
            <w:tcW w:w="646" w:type="dxa"/>
            <w:tcBorders/>
            <w:vAlign w:val="center"/>
          </w:tcPr>
          <w:p>
            <w:pPr>
              <w:pStyle w:val="TableContents"/>
              <w:bidi w:val="0"/>
              <w:jc w:val="right"/>
              <w:rPr/>
            </w:pPr>
            <w:r>
              <w:rPr/>
              <w:t>304.2</w:t>
            </w:r>
          </w:p>
        </w:tc>
        <w:tc>
          <w:tcPr>
            <w:tcW w:w="646" w:type="dxa"/>
            <w:tcBorders/>
            <w:vAlign w:val="center"/>
          </w:tcPr>
          <w:p>
            <w:pPr>
              <w:pStyle w:val="TableContents"/>
              <w:bidi w:val="0"/>
              <w:jc w:val="right"/>
              <w:rPr/>
            </w:pPr>
            <w:r>
              <w:rPr/>
              <w:t>321.7</w:t>
            </w:r>
          </w:p>
        </w:tc>
        <w:tc>
          <w:tcPr>
            <w:tcW w:w="836" w:type="dxa"/>
            <w:tcBorders/>
            <w:vAlign w:val="center"/>
          </w:tcPr>
          <w:p>
            <w:pPr>
              <w:pStyle w:val="TableContents"/>
              <w:bidi w:val="0"/>
              <w:jc w:val="right"/>
              <w:rPr/>
            </w:pPr>
            <w:r>
              <w:rPr/>
              <w:t>331.7 [312.3; 7 out]</w:t>
            </w:r>
          </w:p>
        </w:tc>
      </w:tr>
      <w:tr>
        <w:trPr/>
        <w:tc>
          <w:tcPr>
            <w:tcW w:w="2281" w:type="dxa"/>
            <w:tcBorders/>
            <w:vAlign w:val="center"/>
          </w:tcPr>
          <w:p>
            <w:pPr>
              <w:pStyle w:val="TableContents"/>
              <w:widowControl w:val="false"/>
              <w:suppressLineNumbers/>
              <w:bidi w:val="0"/>
              <w:jc w:val="left"/>
              <w:rPr/>
            </w:pPr>
            <w:r>
              <w:rPr>
                <w:rStyle w:val="SourceText"/>
              </w:rPr>
              <w:t>identifiers + time + geometry + aircraft</w:t>
            </w:r>
          </w:p>
        </w:tc>
        <w:tc>
          <w:tcPr>
            <w:tcW w:w="791" w:type="dxa"/>
            <w:tcBorders/>
            <w:vAlign w:val="center"/>
          </w:tcPr>
          <w:p>
            <w:pPr>
              <w:pStyle w:val="TableContents"/>
              <w:bidi w:val="0"/>
              <w:jc w:val="right"/>
              <w:rPr/>
            </w:pPr>
            <w:r>
              <w:rPr/>
              <w:t>448.3 [366.8; 2 out]</w:t>
            </w:r>
          </w:p>
        </w:tc>
        <w:tc>
          <w:tcPr>
            <w:tcW w:w="791" w:type="dxa"/>
            <w:tcBorders/>
            <w:vAlign w:val="center"/>
          </w:tcPr>
          <w:p>
            <w:pPr>
              <w:pStyle w:val="TableContents"/>
              <w:bidi w:val="0"/>
              <w:jc w:val="right"/>
              <w:rPr/>
            </w:pPr>
            <w:r>
              <w:rPr/>
              <w:t>401.9 [399.2; 1 out]</w:t>
            </w:r>
          </w:p>
        </w:tc>
        <w:tc>
          <w:tcPr>
            <w:tcW w:w="791" w:type="dxa"/>
            <w:tcBorders/>
            <w:vAlign w:val="center"/>
          </w:tcPr>
          <w:p>
            <w:pPr>
              <w:pStyle w:val="TableContents"/>
              <w:bidi w:val="0"/>
              <w:jc w:val="right"/>
              <w:rPr/>
            </w:pPr>
            <w:r>
              <w:rPr/>
              <w:t>282.9 [278.3; 1 out]</w:t>
            </w:r>
          </w:p>
        </w:tc>
        <w:tc>
          <w:tcPr>
            <w:tcW w:w="646" w:type="dxa"/>
            <w:tcBorders/>
            <w:vAlign w:val="center"/>
          </w:tcPr>
          <w:p>
            <w:pPr>
              <w:pStyle w:val="TableContents"/>
              <w:bidi w:val="0"/>
              <w:jc w:val="right"/>
              <w:rPr/>
            </w:pPr>
            <w:r>
              <w:rPr/>
              <w:t>259.8</w:t>
            </w:r>
          </w:p>
        </w:tc>
        <w:tc>
          <w:tcPr>
            <w:tcW w:w="791" w:type="dxa"/>
            <w:tcBorders/>
            <w:vAlign w:val="center"/>
          </w:tcPr>
          <w:p>
            <w:pPr>
              <w:pStyle w:val="TableContents"/>
              <w:bidi w:val="0"/>
              <w:jc w:val="right"/>
              <w:rPr/>
            </w:pPr>
            <w:r>
              <w:rPr/>
              <w:t>337.4 [270.1; 1 out]</w:t>
            </w:r>
          </w:p>
        </w:tc>
        <w:tc>
          <w:tcPr>
            <w:tcW w:w="646" w:type="dxa"/>
            <w:tcBorders/>
            <w:vAlign w:val="center"/>
          </w:tcPr>
          <w:p>
            <w:pPr>
              <w:pStyle w:val="TableContents"/>
              <w:bidi w:val="0"/>
              <w:jc w:val="right"/>
              <w:rPr/>
            </w:pPr>
            <w:r>
              <w:rPr/>
              <w:t>292.4</w:t>
            </w:r>
          </w:p>
        </w:tc>
        <w:tc>
          <w:tcPr>
            <w:tcW w:w="791" w:type="dxa"/>
            <w:tcBorders/>
            <w:vAlign w:val="center"/>
          </w:tcPr>
          <w:p>
            <w:pPr>
              <w:pStyle w:val="TableContents"/>
              <w:bidi w:val="0"/>
              <w:jc w:val="right"/>
              <w:rPr/>
            </w:pPr>
            <w:r>
              <w:rPr/>
              <w:t>401.0 [347.6; 2 out]</w:t>
            </w:r>
          </w:p>
        </w:tc>
        <w:tc>
          <w:tcPr>
            <w:tcW w:w="646" w:type="dxa"/>
            <w:tcBorders/>
            <w:vAlign w:val="center"/>
          </w:tcPr>
          <w:p>
            <w:pPr>
              <w:pStyle w:val="TableContents"/>
              <w:bidi w:val="0"/>
              <w:jc w:val="right"/>
              <w:rPr/>
            </w:pPr>
            <w:r>
              <w:rPr/>
              <w:t>288.9</w:t>
            </w:r>
          </w:p>
        </w:tc>
        <w:tc>
          <w:tcPr>
            <w:tcW w:w="646" w:type="dxa"/>
            <w:tcBorders/>
            <w:vAlign w:val="center"/>
          </w:tcPr>
          <w:p>
            <w:pPr>
              <w:pStyle w:val="TableContents"/>
              <w:bidi w:val="0"/>
              <w:jc w:val="right"/>
              <w:rPr/>
            </w:pPr>
            <w:r>
              <w:rPr/>
              <w:t>283.5</w:t>
            </w:r>
          </w:p>
        </w:tc>
        <w:tc>
          <w:tcPr>
            <w:tcW w:w="646" w:type="dxa"/>
            <w:tcBorders/>
            <w:vAlign w:val="center"/>
          </w:tcPr>
          <w:p>
            <w:pPr>
              <w:pStyle w:val="TableContents"/>
              <w:bidi w:val="0"/>
              <w:jc w:val="right"/>
              <w:rPr/>
            </w:pPr>
            <w:r>
              <w:rPr/>
              <w:t>293.8</w:t>
            </w:r>
          </w:p>
        </w:tc>
        <w:tc>
          <w:tcPr>
            <w:tcW w:w="646" w:type="dxa"/>
            <w:tcBorders/>
            <w:vAlign w:val="center"/>
          </w:tcPr>
          <w:p>
            <w:pPr>
              <w:pStyle w:val="TableContents"/>
              <w:bidi w:val="0"/>
              <w:jc w:val="right"/>
              <w:rPr/>
            </w:pPr>
            <w:r>
              <w:rPr/>
              <w:t>301.8</w:t>
            </w:r>
          </w:p>
        </w:tc>
        <w:tc>
          <w:tcPr>
            <w:tcW w:w="646" w:type="dxa"/>
            <w:tcBorders/>
            <w:vAlign w:val="center"/>
          </w:tcPr>
          <w:p>
            <w:pPr>
              <w:pStyle w:val="TableContents"/>
              <w:bidi w:val="0"/>
              <w:jc w:val="right"/>
              <w:rPr/>
            </w:pPr>
            <w:r>
              <w:rPr/>
              <w:t>320.2</w:t>
            </w:r>
          </w:p>
        </w:tc>
        <w:tc>
          <w:tcPr>
            <w:tcW w:w="836" w:type="dxa"/>
            <w:tcBorders/>
            <w:vAlign w:val="center"/>
          </w:tcPr>
          <w:p>
            <w:pPr>
              <w:pStyle w:val="TableContents"/>
              <w:bidi w:val="0"/>
              <w:jc w:val="right"/>
              <w:rPr/>
            </w:pPr>
            <w:r>
              <w:rPr/>
              <w:t>328.5 [308.9; 7 out]</w:t>
            </w:r>
          </w:p>
        </w:tc>
      </w:tr>
      <w:tr>
        <w:trPr/>
        <w:tc>
          <w:tcPr>
            <w:tcW w:w="2281" w:type="dxa"/>
            <w:tcBorders/>
            <w:vAlign w:val="center"/>
          </w:tcPr>
          <w:p>
            <w:pPr>
              <w:pStyle w:val="TableContents"/>
              <w:widowControl w:val="false"/>
              <w:suppressLineNumbers/>
              <w:bidi w:val="0"/>
              <w:jc w:val="left"/>
              <w:rPr/>
            </w:pPr>
            <w:r>
              <w:rPr>
                <w:rStyle w:val="SourceText"/>
              </w:rPr>
              <w:t>+ plan lags</w:t>
            </w:r>
          </w:p>
        </w:tc>
        <w:tc>
          <w:tcPr>
            <w:tcW w:w="791" w:type="dxa"/>
            <w:tcBorders/>
            <w:vAlign w:val="center"/>
          </w:tcPr>
          <w:p>
            <w:pPr>
              <w:pStyle w:val="TableContents"/>
              <w:bidi w:val="0"/>
              <w:jc w:val="right"/>
              <w:rPr/>
            </w:pPr>
            <w:r>
              <w:rPr/>
              <w:t>365.6 [259.0; 2 out]</w:t>
            </w:r>
          </w:p>
        </w:tc>
        <w:tc>
          <w:tcPr>
            <w:tcW w:w="791" w:type="dxa"/>
            <w:tcBorders/>
            <w:vAlign w:val="center"/>
          </w:tcPr>
          <w:p>
            <w:pPr>
              <w:pStyle w:val="TableContents"/>
              <w:bidi w:val="0"/>
              <w:jc w:val="right"/>
              <w:rPr/>
            </w:pPr>
            <w:r>
              <w:rPr/>
              <w:t>292.1 [288.4; 1 out]</w:t>
            </w:r>
          </w:p>
        </w:tc>
        <w:tc>
          <w:tcPr>
            <w:tcW w:w="791" w:type="dxa"/>
            <w:tcBorders/>
            <w:vAlign w:val="center"/>
          </w:tcPr>
          <w:p>
            <w:pPr>
              <w:pStyle w:val="TableContents"/>
              <w:bidi w:val="0"/>
              <w:jc w:val="right"/>
              <w:rPr/>
            </w:pPr>
            <w:r>
              <w:rPr/>
              <w:t>222.0 [217.3; 1 out]</w:t>
            </w:r>
          </w:p>
        </w:tc>
        <w:tc>
          <w:tcPr>
            <w:tcW w:w="646" w:type="dxa"/>
            <w:tcBorders/>
            <w:vAlign w:val="center"/>
          </w:tcPr>
          <w:p>
            <w:pPr>
              <w:pStyle w:val="TableContents"/>
              <w:bidi w:val="0"/>
              <w:jc w:val="right"/>
              <w:rPr/>
            </w:pPr>
            <w:r>
              <w:rPr/>
              <w:t>207.7</w:t>
            </w:r>
          </w:p>
        </w:tc>
        <w:tc>
          <w:tcPr>
            <w:tcW w:w="791" w:type="dxa"/>
            <w:tcBorders/>
            <w:vAlign w:val="center"/>
          </w:tcPr>
          <w:p>
            <w:pPr>
              <w:pStyle w:val="TableContents"/>
              <w:bidi w:val="0"/>
              <w:jc w:val="right"/>
              <w:rPr/>
            </w:pPr>
            <w:r>
              <w:rPr/>
              <w:t>297.4 [218.0; 1 out]</w:t>
            </w:r>
          </w:p>
        </w:tc>
        <w:tc>
          <w:tcPr>
            <w:tcW w:w="646" w:type="dxa"/>
            <w:tcBorders/>
            <w:vAlign w:val="center"/>
          </w:tcPr>
          <w:p>
            <w:pPr>
              <w:pStyle w:val="TableContents"/>
              <w:bidi w:val="0"/>
              <w:jc w:val="right"/>
              <w:rPr/>
            </w:pPr>
            <w:r>
              <w:rPr/>
              <w:t>240.1</w:t>
            </w:r>
          </w:p>
        </w:tc>
        <w:tc>
          <w:tcPr>
            <w:tcW w:w="791" w:type="dxa"/>
            <w:tcBorders/>
            <w:vAlign w:val="center"/>
          </w:tcPr>
          <w:p>
            <w:pPr>
              <w:pStyle w:val="TableContents"/>
              <w:bidi w:val="0"/>
              <w:jc w:val="right"/>
              <w:rPr/>
            </w:pPr>
            <w:r>
              <w:rPr/>
              <w:t>338.9 [283.2; 2 out]</w:t>
            </w:r>
          </w:p>
        </w:tc>
        <w:tc>
          <w:tcPr>
            <w:tcW w:w="646" w:type="dxa"/>
            <w:tcBorders/>
            <w:vAlign w:val="center"/>
          </w:tcPr>
          <w:p>
            <w:pPr>
              <w:pStyle w:val="TableContents"/>
              <w:bidi w:val="0"/>
              <w:jc w:val="right"/>
              <w:rPr/>
            </w:pPr>
            <w:r>
              <w:rPr/>
              <w:t>239.6</w:t>
            </w:r>
          </w:p>
        </w:tc>
        <w:tc>
          <w:tcPr>
            <w:tcW w:w="646" w:type="dxa"/>
            <w:tcBorders/>
            <w:vAlign w:val="center"/>
          </w:tcPr>
          <w:p>
            <w:pPr>
              <w:pStyle w:val="TableContents"/>
              <w:bidi w:val="0"/>
              <w:jc w:val="right"/>
              <w:rPr/>
            </w:pPr>
            <w:r>
              <w:rPr/>
              <w:t>235.3</w:t>
            </w:r>
          </w:p>
        </w:tc>
        <w:tc>
          <w:tcPr>
            <w:tcW w:w="646" w:type="dxa"/>
            <w:tcBorders/>
            <w:vAlign w:val="center"/>
          </w:tcPr>
          <w:p>
            <w:pPr>
              <w:pStyle w:val="TableContents"/>
              <w:bidi w:val="0"/>
              <w:jc w:val="right"/>
              <w:rPr/>
            </w:pPr>
            <w:r>
              <w:rPr/>
              <w:t>236.0</w:t>
            </w:r>
          </w:p>
        </w:tc>
        <w:tc>
          <w:tcPr>
            <w:tcW w:w="646" w:type="dxa"/>
            <w:tcBorders/>
            <w:vAlign w:val="center"/>
          </w:tcPr>
          <w:p>
            <w:pPr>
              <w:pStyle w:val="TableContents"/>
              <w:bidi w:val="0"/>
              <w:jc w:val="right"/>
              <w:rPr/>
            </w:pPr>
            <w:r>
              <w:rPr/>
              <w:t>231.6</w:t>
            </w:r>
          </w:p>
        </w:tc>
        <w:tc>
          <w:tcPr>
            <w:tcW w:w="646" w:type="dxa"/>
            <w:tcBorders/>
            <w:vAlign w:val="center"/>
          </w:tcPr>
          <w:p>
            <w:pPr>
              <w:pStyle w:val="TableContents"/>
              <w:bidi w:val="0"/>
              <w:jc w:val="right"/>
              <w:rPr/>
            </w:pPr>
            <w:r>
              <w:rPr/>
              <w:t>240.9</w:t>
            </w:r>
          </w:p>
        </w:tc>
        <w:tc>
          <w:tcPr>
            <w:tcW w:w="836" w:type="dxa"/>
            <w:tcBorders/>
            <w:vAlign w:val="center"/>
          </w:tcPr>
          <w:p>
            <w:pPr>
              <w:pStyle w:val="TableContents"/>
              <w:bidi w:val="0"/>
              <w:jc w:val="right"/>
              <w:rPr/>
            </w:pPr>
            <w:r>
              <w:rPr/>
              <w:t>265.7 [242.0; 7 out]</w:t>
            </w:r>
          </w:p>
        </w:tc>
      </w:tr>
      <w:tr>
        <w:trPr/>
        <w:tc>
          <w:tcPr>
            <w:tcW w:w="2281" w:type="dxa"/>
            <w:tcBorders/>
            <w:vAlign w:val="center"/>
          </w:tcPr>
          <w:p>
            <w:pPr>
              <w:pStyle w:val="TableContents"/>
              <w:widowControl w:val="false"/>
              <w:suppressLineNumbers/>
              <w:bidi w:val="0"/>
              <w:jc w:val="left"/>
              <w:rPr/>
            </w:pPr>
            <w:r>
              <w:rPr>
                <w:rStyle w:val="SourceText"/>
              </w:rPr>
              <w:t>+ runway throughput</w:t>
            </w:r>
          </w:p>
        </w:tc>
        <w:tc>
          <w:tcPr>
            <w:tcW w:w="791" w:type="dxa"/>
            <w:tcBorders/>
            <w:vAlign w:val="center"/>
          </w:tcPr>
          <w:p>
            <w:pPr>
              <w:pStyle w:val="TableContents"/>
              <w:bidi w:val="0"/>
              <w:jc w:val="right"/>
              <w:rPr/>
            </w:pPr>
            <w:r>
              <w:rPr/>
              <w:t>364.6 [257.7; 2 out]</w:t>
            </w:r>
          </w:p>
        </w:tc>
        <w:tc>
          <w:tcPr>
            <w:tcW w:w="791" w:type="dxa"/>
            <w:tcBorders/>
            <w:vAlign w:val="center"/>
          </w:tcPr>
          <w:p>
            <w:pPr>
              <w:pStyle w:val="TableContents"/>
              <w:bidi w:val="0"/>
              <w:jc w:val="right"/>
              <w:rPr/>
            </w:pPr>
            <w:r>
              <w:rPr/>
              <w:t>287.0 [283.4; 1 out]</w:t>
            </w:r>
          </w:p>
        </w:tc>
        <w:tc>
          <w:tcPr>
            <w:tcW w:w="791" w:type="dxa"/>
            <w:tcBorders/>
            <w:vAlign w:val="center"/>
          </w:tcPr>
          <w:p>
            <w:pPr>
              <w:pStyle w:val="TableContents"/>
              <w:bidi w:val="0"/>
              <w:jc w:val="right"/>
              <w:rPr/>
            </w:pPr>
            <w:r>
              <w:rPr/>
              <w:t>218.6 [213.6; 1 out]</w:t>
            </w:r>
          </w:p>
        </w:tc>
        <w:tc>
          <w:tcPr>
            <w:tcW w:w="646" w:type="dxa"/>
            <w:tcBorders/>
            <w:vAlign w:val="center"/>
          </w:tcPr>
          <w:p>
            <w:pPr>
              <w:pStyle w:val="TableContents"/>
              <w:bidi w:val="0"/>
              <w:jc w:val="right"/>
              <w:rPr/>
            </w:pPr>
            <w:r>
              <w:rPr/>
              <w:t>206.0</w:t>
            </w:r>
          </w:p>
        </w:tc>
        <w:tc>
          <w:tcPr>
            <w:tcW w:w="791" w:type="dxa"/>
            <w:tcBorders/>
            <w:vAlign w:val="center"/>
          </w:tcPr>
          <w:p>
            <w:pPr>
              <w:pStyle w:val="TableContents"/>
              <w:bidi w:val="0"/>
              <w:jc w:val="right"/>
              <w:rPr/>
            </w:pPr>
            <w:r>
              <w:rPr/>
              <w:t>296.0 [216.1; 1 out]</w:t>
            </w:r>
          </w:p>
        </w:tc>
        <w:tc>
          <w:tcPr>
            <w:tcW w:w="646" w:type="dxa"/>
            <w:tcBorders/>
            <w:vAlign w:val="center"/>
          </w:tcPr>
          <w:p>
            <w:pPr>
              <w:pStyle w:val="TableContents"/>
              <w:bidi w:val="0"/>
              <w:jc w:val="right"/>
              <w:rPr/>
            </w:pPr>
            <w:r>
              <w:rPr/>
              <w:t>237.8</w:t>
            </w:r>
          </w:p>
        </w:tc>
        <w:tc>
          <w:tcPr>
            <w:tcW w:w="791" w:type="dxa"/>
            <w:tcBorders/>
            <w:vAlign w:val="center"/>
          </w:tcPr>
          <w:p>
            <w:pPr>
              <w:pStyle w:val="TableContents"/>
              <w:bidi w:val="0"/>
              <w:jc w:val="right"/>
              <w:rPr/>
            </w:pPr>
            <w:r>
              <w:rPr/>
              <w:t>335.3 [278.6; 2 out]</w:t>
            </w:r>
          </w:p>
        </w:tc>
        <w:tc>
          <w:tcPr>
            <w:tcW w:w="646" w:type="dxa"/>
            <w:tcBorders/>
            <w:vAlign w:val="center"/>
          </w:tcPr>
          <w:p>
            <w:pPr>
              <w:pStyle w:val="TableContents"/>
              <w:bidi w:val="0"/>
              <w:jc w:val="right"/>
              <w:rPr/>
            </w:pPr>
            <w:r>
              <w:rPr/>
              <w:t>237.5</w:t>
            </w:r>
          </w:p>
        </w:tc>
        <w:tc>
          <w:tcPr>
            <w:tcW w:w="646" w:type="dxa"/>
            <w:tcBorders/>
            <w:vAlign w:val="center"/>
          </w:tcPr>
          <w:p>
            <w:pPr>
              <w:pStyle w:val="TableContents"/>
              <w:bidi w:val="0"/>
              <w:jc w:val="right"/>
              <w:rPr/>
            </w:pPr>
            <w:r>
              <w:rPr/>
              <w:t>231.9</w:t>
            </w:r>
          </w:p>
        </w:tc>
        <w:tc>
          <w:tcPr>
            <w:tcW w:w="646" w:type="dxa"/>
            <w:tcBorders/>
            <w:vAlign w:val="center"/>
          </w:tcPr>
          <w:p>
            <w:pPr>
              <w:pStyle w:val="TableContents"/>
              <w:bidi w:val="0"/>
              <w:jc w:val="right"/>
              <w:rPr/>
            </w:pPr>
            <w:r>
              <w:rPr/>
              <w:t>232.5</w:t>
            </w:r>
          </w:p>
        </w:tc>
        <w:tc>
          <w:tcPr>
            <w:tcW w:w="646" w:type="dxa"/>
            <w:tcBorders/>
            <w:vAlign w:val="center"/>
          </w:tcPr>
          <w:p>
            <w:pPr>
              <w:pStyle w:val="TableContents"/>
              <w:bidi w:val="0"/>
              <w:jc w:val="right"/>
              <w:rPr/>
            </w:pPr>
            <w:r>
              <w:rPr/>
              <w:t>229.1</w:t>
            </w:r>
          </w:p>
        </w:tc>
        <w:tc>
          <w:tcPr>
            <w:tcW w:w="646" w:type="dxa"/>
            <w:tcBorders/>
            <w:vAlign w:val="center"/>
          </w:tcPr>
          <w:p>
            <w:pPr>
              <w:pStyle w:val="TableContents"/>
              <w:bidi w:val="0"/>
              <w:jc w:val="right"/>
              <w:rPr/>
            </w:pPr>
            <w:r>
              <w:rPr/>
              <w:t>236.8</w:t>
            </w:r>
          </w:p>
        </w:tc>
        <w:tc>
          <w:tcPr>
            <w:tcW w:w="836" w:type="dxa"/>
            <w:tcBorders/>
            <w:vAlign w:val="center"/>
          </w:tcPr>
          <w:p>
            <w:pPr>
              <w:pStyle w:val="TableContents"/>
              <w:bidi w:val="0"/>
              <w:jc w:val="right"/>
              <w:rPr/>
            </w:pPr>
            <w:r>
              <w:rPr/>
              <w:t>262.9 [238.9; 7 out]</w:t>
            </w:r>
          </w:p>
        </w:tc>
      </w:tr>
      <w:tr>
        <w:trPr/>
        <w:tc>
          <w:tcPr>
            <w:tcW w:w="2281" w:type="dxa"/>
            <w:tcBorders/>
            <w:vAlign w:val="center"/>
          </w:tcPr>
          <w:p>
            <w:pPr>
              <w:pStyle w:val="TableContents"/>
              <w:widowControl w:val="false"/>
              <w:suppressLineNumbers/>
              <w:bidi w:val="0"/>
              <w:jc w:val="left"/>
              <w:rPr/>
            </w:pPr>
            <w:r>
              <w:rPr>
                <w:rStyle w:val="SourceText"/>
              </w:rPr>
              <w:t>+ arrivals</w:t>
            </w:r>
          </w:p>
        </w:tc>
        <w:tc>
          <w:tcPr>
            <w:tcW w:w="791" w:type="dxa"/>
            <w:tcBorders/>
            <w:vAlign w:val="center"/>
          </w:tcPr>
          <w:p>
            <w:pPr>
              <w:pStyle w:val="TableContents"/>
              <w:bidi w:val="0"/>
              <w:jc w:val="right"/>
              <w:rPr/>
            </w:pPr>
            <w:r>
              <w:rPr/>
              <w:t>363.8 [256.6; 2 out]</w:t>
            </w:r>
          </w:p>
        </w:tc>
        <w:tc>
          <w:tcPr>
            <w:tcW w:w="791" w:type="dxa"/>
            <w:tcBorders/>
            <w:vAlign w:val="center"/>
          </w:tcPr>
          <w:p>
            <w:pPr>
              <w:pStyle w:val="TableContents"/>
              <w:bidi w:val="0"/>
              <w:jc w:val="right"/>
              <w:rPr/>
            </w:pPr>
            <w:r>
              <w:rPr/>
              <w:t>289.7 [286.0; 1 out]</w:t>
            </w:r>
          </w:p>
        </w:tc>
        <w:tc>
          <w:tcPr>
            <w:tcW w:w="791" w:type="dxa"/>
            <w:tcBorders/>
            <w:vAlign w:val="center"/>
          </w:tcPr>
          <w:p>
            <w:pPr>
              <w:pStyle w:val="TableContents"/>
              <w:bidi w:val="0"/>
              <w:jc w:val="right"/>
              <w:rPr/>
            </w:pPr>
            <w:r>
              <w:rPr/>
              <w:t>217.7 [212.9; 1 out]</w:t>
            </w:r>
          </w:p>
        </w:tc>
        <w:tc>
          <w:tcPr>
            <w:tcW w:w="646" w:type="dxa"/>
            <w:tcBorders/>
            <w:vAlign w:val="center"/>
          </w:tcPr>
          <w:p>
            <w:pPr>
              <w:pStyle w:val="TableContents"/>
              <w:bidi w:val="0"/>
              <w:jc w:val="right"/>
              <w:rPr/>
            </w:pPr>
            <w:r>
              <w:rPr/>
              <w:t>205.0</w:t>
            </w:r>
          </w:p>
        </w:tc>
        <w:tc>
          <w:tcPr>
            <w:tcW w:w="791" w:type="dxa"/>
            <w:tcBorders/>
            <w:vAlign w:val="center"/>
          </w:tcPr>
          <w:p>
            <w:pPr>
              <w:pStyle w:val="TableContents"/>
              <w:bidi w:val="0"/>
              <w:jc w:val="right"/>
              <w:rPr/>
            </w:pPr>
            <w:r>
              <w:rPr/>
              <w:t>295.6 [215.5; 1 out]</w:t>
            </w:r>
          </w:p>
        </w:tc>
        <w:tc>
          <w:tcPr>
            <w:tcW w:w="646" w:type="dxa"/>
            <w:tcBorders/>
            <w:vAlign w:val="center"/>
          </w:tcPr>
          <w:p>
            <w:pPr>
              <w:pStyle w:val="TableContents"/>
              <w:bidi w:val="0"/>
              <w:jc w:val="right"/>
              <w:rPr/>
            </w:pPr>
            <w:r>
              <w:rPr/>
              <w:t>237.1</w:t>
            </w:r>
          </w:p>
        </w:tc>
        <w:tc>
          <w:tcPr>
            <w:tcW w:w="791" w:type="dxa"/>
            <w:tcBorders/>
            <w:vAlign w:val="center"/>
          </w:tcPr>
          <w:p>
            <w:pPr>
              <w:pStyle w:val="TableContents"/>
              <w:bidi w:val="0"/>
              <w:jc w:val="right"/>
              <w:rPr/>
            </w:pPr>
            <w:r>
              <w:rPr/>
              <w:t>334.8 [277.7; 2 out]</w:t>
            </w:r>
          </w:p>
        </w:tc>
        <w:tc>
          <w:tcPr>
            <w:tcW w:w="646" w:type="dxa"/>
            <w:tcBorders/>
            <w:vAlign w:val="center"/>
          </w:tcPr>
          <w:p>
            <w:pPr>
              <w:pStyle w:val="TableContents"/>
              <w:bidi w:val="0"/>
              <w:jc w:val="right"/>
              <w:rPr/>
            </w:pPr>
            <w:r>
              <w:rPr/>
              <w:t>237.1</w:t>
            </w:r>
          </w:p>
        </w:tc>
        <w:tc>
          <w:tcPr>
            <w:tcW w:w="646" w:type="dxa"/>
            <w:tcBorders/>
            <w:vAlign w:val="center"/>
          </w:tcPr>
          <w:p>
            <w:pPr>
              <w:pStyle w:val="TableContents"/>
              <w:bidi w:val="0"/>
              <w:jc w:val="right"/>
              <w:rPr/>
            </w:pPr>
            <w:r>
              <w:rPr/>
              <w:t>231.9</w:t>
            </w:r>
          </w:p>
        </w:tc>
        <w:tc>
          <w:tcPr>
            <w:tcW w:w="646" w:type="dxa"/>
            <w:tcBorders/>
            <w:vAlign w:val="center"/>
          </w:tcPr>
          <w:p>
            <w:pPr>
              <w:pStyle w:val="TableContents"/>
              <w:bidi w:val="0"/>
              <w:jc w:val="right"/>
              <w:rPr/>
            </w:pPr>
            <w:r>
              <w:rPr/>
              <w:t>232.7</w:t>
            </w:r>
          </w:p>
        </w:tc>
        <w:tc>
          <w:tcPr>
            <w:tcW w:w="646" w:type="dxa"/>
            <w:tcBorders/>
            <w:vAlign w:val="center"/>
          </w:tcPr>
          <w:p>
            <w:pPr>
              <w:pStyle w:val="TableContents"/>
              <w:bidi w:val="0"/>
              <w:jc w:val="right"/>
              <w:rPr/>
            </w:pPr>
            <w:r>
              <w:rPr/>
              <w:t>228.4</w:t>
            </w:r>
          </w:p>
        </w:tc>
        <w:tc>
          <w:tcPr>
            <w:tcW w:w="646" w:type="dxa"/>
            <w:tcBorders/>
            <w:vAlign w:val="center"/>
          </w:tcPr>
          <w:p>
            <w:pPr>
              <w:pStyle w:val="TableContents"/>
              <w:bidi w:val="0"/>
              <w:jc w:val="right"/>
              <w:rPr/>
            </w:pPr>
            <w:r>
              <w:rPr/>
              <w:t>235.8</w:t>
            </w:r>
          </w:p>
        </w:tc>
        <w:tc>
          <w:tcPr>
            <w:tcW w:w="836" w:type="dxa"/>
            <w:tcBorders/>
            <w:vAlign w:val="center"/>
          </w:tcPr>
          <w:p>
            <w:pPr>
              <w:pStyle w:val="TableContents"/>
              <w:bidi w:val="0"/>
              <w:jc w:val="right"/>
              <w:rPr/>
            </w:pPr>
            <w:r>
              <w:rPr/>
              <w:t>262.6 [238.6; 7 out]</w:t>
            </w:r>
          </w:p>
        </w:tc>
      </w:tr>
      <w:tr>
        <w:trPr/>
        <w:tc>
          <w:tcPr>
            <w:tcW w:w="2281" w:type="dxa"/>
            <w:tcBorders/>
            <w:vAlign w:val="center"/>
          </w:tcPr>
          <w:p>
            <w:pPr>
              <w:pStyle w:val="TableContents"/>
              <w:widowControl w:val="false"/>
              <w:suppressLineNumbers/>
              <w:bidi w:val="0"/>
              <w:jc w:val="left"/>
              <w:rPr/>
            </w:pPr>
            <w:r>
              <w:rPr>
                <w:rStyle w:val="SourceText"/>
              </w:rPr>
              <w:t>+ demand</w:t>
            </w:r>
          </w:p>
        </w:tc>
        <w:tc>
          <w:tcPr>
            <w:tcW w:w="791" w:type="dxa"/>
            <w:tcBorders/>
            <w:vAlign w:val="center"/>
          </w:tcPr>
          <w:p>
            <w:pPr>
              <w:pStyle w:val="TableContents"/>
              <w:bidi w:val="0"/>
              <w:jc w:val="right"/>
              <w:rPr/>
            </w:pPr>
            <w:r>
              <w:rPr/>
              <w:t>363.4 [256.0; 2 out]</w:t>
            </w:r>
          </w:p>
        </w:tc>
        <w:tc>
          <w:tcPr>
            <w:tcW w:w="791" w:type="dxa"/>
            <w:tcBorders/>
            <w:vAlign w:val="center"/>
          </w:tcPr>
          <w:p>
            <w:pPr>
              <w:pStyle w:val="TableContents"/>
              <w:bidi w:val="0"/>
              <w:jc w:val="right"/>
              <w:rPr/>
            </w:pPr>
            <w:r>
              <w:rPr/>
              <w:t>289.6 [285.9; 1 out]</w:t>
            </w:r>
          </w:p>
        </w:tc>
        <w:tc>
          <w:tcPr>
            <w:tcW w:w="791" w:type="dxa"/>
            <w:tcBorders/>
            <w:vAlign w:val="center"/>
          </w:tcPr>
          <w:p>
            <w:pPr>
              <w:pStyle w:val="TableContents"/>
              <w:bidi w:val="0"/>
              <w:jc w:val="right"/>
              <w:rPr/>
            </w:pPr>
            <w:r>
              <w:rPr/>
              <w:t>217.0 [212.4; 1 out]</w:t>
            </w:r>
          </w:p>
        </w:tc>
        <w:tc>
          <w:tcPr>
            <w:tcW w:w="646" w:type="dxa"/>
            <w:tcBorders/>
            <w:vAlign w:val="center"/>
          </w:tcPr>
          <w:p>
            <w:pPr>
              <w:pStyle w:val="TableContents"/>
              <w:bidi w:val="0"/>
              <w:jc w:val="right"/>
              <w:rPr/>
            </w:pPr>
            <w:r>
              <w:rPr/>
              <w:t>204.7</w:t>
            </w:r>
          </w:p>
        </w:tc>
        <w:tc>
          <w:tcPr>
            <w:tcW w:w="791" w:type="dxa"/>
            <w:tcBorders/>
            <w:vAlign w:val="center"/>
          </w:tcPr>
          <w:p>
            <w:pPr>
              <w:pStyle w:val="TableContents"/>
              <w:bidi w:val="0"/>
              <w:jc w:val="right"/>
              <w:rPr/>
            </w:pPr>
            <w:r>
              <w:rPr/>
              <w:t>295.1 [214.8; 1 out]</w:t>
            </w:r>
          </w:p>
        </w:tc>
        <w:tc>
          <w:tcPr>
            <w:tcW w:w="646" w:type="dxa"/>
            <w:tcBorders/>
            <w:vAlign w:val="center"/>
          </w:tcPr>
          <w:p>
            <w:pPr>
              <w:pStyle w:val="TableContents"/>
              <w:bidi w:val="0"/>
              <w:jc w:val="right"/>
              <w:rPr/>
            </w:pPr>
            <w:r>
              <w:rPr/>
              <w:t>236.6</w:t>
            </w:r>
          </w:p>
        </w:tc>
        <w:tc>
          <w:tcPr>
            <w:tcW w:w="791" w:type="dxa"/>
            <w:tcBorders/>
            <w:vAlign w:val="center"/>
          </w:tcPr>
          <w:p>
            <w:pPr>
              <w:pStyle w:val="TableContents"/>
              <w:bidi w:val="0"/>
              <w:jc w:val="right"/>
              <w:rPr/>
            </w:pPr>
            <w:r>
              <w:rPr/>
              <w:t>335.0 [277.1; 2 out]</w:t>
            </w:r>
          </w:p>
        </w:tc>
        <w:tc>
          <w:tcPr>
            <w:tcW w:w="646" w:type="dxa"/>
            <w:tcBorders/>
            <w:vAlign w:val="center"/>
          </w:tcPr>
          <w:p>
            <w:pPr>
              <w:pStyle w:val="TableContents"/>
              <w:bidi w:val="0"/>
              <w:jc w:val="right"/>
              <w:rPr/>
            </w:pPr>
            <w:r>
              <w:rPr/>
              <w:t>236.5</w:t>
            </w:r>
          </w:p>
        </w:tc>
        <w:tc>
          <w:tcPr>
            <w:tcW w:w="646" w:type="dxa"/>
            <w:tcBorders/>
            <w:vAlign w:val="center"/>
          </w:tcPr>
          <w:p>
            <w:pPr>
              <w:pStyle w:val="TableContents"/>
              <w:bidi w:val="0"/>
              <w:jc w:val="right"/>
              <w:rPr/>
            </w:pPr>
            <w:r>
              <w:rPr/>
              <w:t>231.7</w:t>
            </w:r>
          </w:p>
        </w:tc>
        <w:tc>
          <w:tcPr>
            <w:tcW w:w="646" w:type="dxa"/>
            <w:tcBorders/>
            <w:vAlign w:val="center"/>
          </w:tcPr>
          <w:p>
            <w:pPr>
              <w:pStyle w:val="TableContents"/>
              <w:bidi w:val="0"/>
              <w:jc w:val="right"/>
              <w:rPr/>
            </w:pPr>
            <w:r>
              <w:rPr/>
              <w:t>232.7</w:t>
            </w:r>
          </w:p>
        </w:tc>
        <w:tc>
          <w:tcPr>
            <w:tcW w:w="646" w:type="dxa"/>
            <w:tcBorders/>
            <w:vAlign w:val="center"/>
          </w:tcPr>
          <w:p>
            <w:pPr>
              <w:pStyle w:val="TableContents"/>
              <w:bidi w:val="0"/>
              <w:jc w:val="right"/>
              <w:rPr/>
            </w:pPr>
            <w:r>
              <w:rPr/>
              <w:t>228.5</w:t>
            </w:r>
          </w:p>
        </w:tc>
        <w:tc>
          <w:tcPr>
            <w:tcW w:w="646" w:type="dxa"/>
            <w:tcBorders/>
            <w:vAlign w:val="center"/>
          </w:tcPr>
          <w:p>
            <w:pPr>
              <w:pStyle w:val="TableContents"/>
              <w:bidi w:val="0"/>
              <w:jc w:val="right"/>
              <w:rPr/>
            </w:pPr>
            <w:r>
              <w:rPr/>
              <w:t>235.5</w:t>
            </w:r>
          </w:p>
        </w:tc>
        <w:tc>
          <w:tcPr>
            <w:tcW w:w="836" w:type="dxa"/>
            <w:tcBorders/>
            <w:vAlign w:val="center"/>
          </w:tcPr>
          <w:p>
            <w:pPr>
              <w:pStyle w:val="TableContents"/>
              <w:bidi w:val="0"/>
              <w:jc w:val="right"/>
              <w:rPr/>
            </w:pPr>
            <w:r>
              <w:rPr/>
              <w:t>262.3 [238.2; 7 out]</w:t>
            </w:r>
          </w:p>
        </w:tc>
      </w:tr>
      <w:tr>
        <w:trPr/>
        <w:tc>
          <w:tcPr>
            <w:tcW w:w="2281" w:type="dxa"/>
            <w:tcBorders/>
            <w:vAlign w:val="center"/>
          </w:tcPr>
          <w:p>
            <w:pPr>
              <w:pStyle w:val="TableContents"/>
              <w:widowControl w:val="false"/>
              <w:suppressLineNumbers/>
              <w:bidi w:val="0"/>
              <w:jc w:val="left"/>
              <w:rPr/>
            </w:pPr>
            <w:r>
              <w:rPr>
                <w:rStyle w:val="SourceText"/>
              </w:rPr>
              <w:t>+ configuration</w:t>
            </w:r>
          </w:p>
        </w:tc>
        <w:tc>
          <w:tcPr>
            <w:tcW w:w="791" w:type="dxa"/>
            <w:tcBorders/>
            <w:vAlign w:val="center"/>
          </w:tcPr>
          <w:p>
            <w:pPr>
              <w:pStyle w:val="TableContents"/>
              <w:bidi w:val="0"/>
              <w:jc w:val="right"/>
              <w:rPr/>
            </w:pPr>
            <w:r>
              <w:rPr/>
              <w:t>363.7 [256.3; 2 out]</w:t>
            </w:r>
          </w:p>
        </w:tc>
        <w:tc>
          <w:tcPr>
            <w:tcW w:w="791" w:type="dxa"/>
            <w:tcBorders/>
            <w:vAlign w:val="center"/>
          </w:tcPr>
          <w:p>
            <w:pPr>
              <w:pStyle w:val="TableContents"/>
              <w:bidi w:val="0"/>
              <w:jc w:val="right"/>
              <w:rPr/>
            </w:pPr>
            <w:r>
              <w:rPr/>
              <w:t>290.4 [286.7; 1 out]</w:t>
            </w:r>
          </w:p>
        </w:tc>
        <w:tc>
          <w:tcPr>
            <w:tcW w:w="791" w:type="dxa"/>
            <w:tcBorders/>
            <w:vAlign w:val="center"/>
          </w:tcPr>
          <w:p>
            <w:pPr>
              <w:pStyle w:val="TableContents"/>
              <w:bidi w:val="0"/>
              <w:jc w:val="right"/>
              <w:rPr/>
            </w:pPr>
            <w:r>
              <w:rPr/>
              <w:t>217.1 [212.4; 1 out]</w:t>
            </w:r>
          </w:p>
        </w:tc>
        <w:tc>
          <w:tcPr>
            <w:tcW w:w="646" w:type="dxa"/>
            <w:tcBorders/>
            <w:vAlign w:val="center"/>
          </w:tcPr>
          <w:p>
            <w:pPr>
              <w:pStyle w:val="TableContents"/>
              <w:bidi w:val="0"/>
              <w:jc w:val="right"/>
              <w:rPr/>
            </w:pPr>
            <w:r>
              <w:rPr/>
              <w:t>204.6</w:t>
            </w:r>
          </w:p>
        </w:tc>
        <w:tc>
          <w:tcPr>
            <w:tcW w:w="791" w:type="dxa"/>
            <w:tcBorders/>
            <w:vAlign w:val="center"/>
          </w:tcPr>
          <w:p>
            <w:pPr>
              <w:pStyle w:val="TableContents"/>
              <w:bidi w:val="0"/>
              <w:jc w:val="right"/>
              <w:rPr/>
            </w:pPr>
            <w:r>
              <w:rPr/>
              <w:t>295.2 [215.0; 1 out]</w:t>
            </w:r>
          </w:p>
        </w:tc>
        <w:tc>
          <w:tcPr>
            <w:tcW w:w="646" w:type="dxa"/>
            <w:tcBorders/>
            <w:vAlign w:val="center"/>
          </w:tcPr>
          <w:p>
            <w:pPr>
              <w:pStyle w:val="TableContents"/>
              <w:bidi w:val="0"/>
              <w:jc w:val="right"/>
              <w:rPr/>
            </w:pPr>
            <w:r>
              <w:rPr/>
              <w:t>236.6</w:t>
            </w:r>
          </w:p>
        </w:tc>
        <w:tc>
          <w:tcPr>
            <w:tcW w:w="791" w:type="dxa"/>
            <w:tcBorders/>
            <w:vAlign w:val="center"/>
          </w:tcPr>
          <w:p>
            <w:pPr>
              <w:pStyle w:val="TableContents"/>
              <w:bidi w:val="0"/>
              <w:jc w:val="right"/>
              <w:rPr/>
            </w:pPr>
            <w:r>
              <w:rPr/>
              <w:t>334.3 [276.7; 2 out]</w:t>
            </w:r>
          </w:p>
        </w:tc>
        <w:tc>
          <w:tcPr>
            <w:tcW w:w="646" w:type="dxa"/>
            <w:tcBorders/>
            <w:vAlign w:val="center"/>
          </w:tcPr>
          <w:p>
            <w:pPr>
              <w:pStyle w:val="TableContents"/>
              <w:bidi w:val="0"/>
              <w:jc w:val="right"/>
              <w:rPr/>
            </w:pPr>
            <w:r>
              <w:rPr/>
              <w:t>236.3</w:t>
            </w:r>
          </w:p>
        </w:tc>
        <w:tc>
          <w:tcPr>
            <w:tcW w:w="646" w:type="dxa"/>
            <w:tcBorders/>
            <w:vAlign w:val="center"/>
          </w:tcPr>
          <w:p>
            <w:pPr>
              <w:pStyle w:val="TableContents"/>
              <w:bidi w:val="0"/>
              <w:jc w:val="right"/>
              <w:rPr/>
            </w:pPr>
            <w:r>
              <w:rPr/>
              <w:t>231.4</w:t>
            </w:r>
          </w:p>
        </w:tc>
        <w:tc>
          <w:tcPr>
            <w:tcW w:w="646" w:type="dxa"/>
            <w:tcBorders/>
            <w:vAlign w:val="center"/>
          </w:tcPr>
          <w:p>
            <w:pPr>
              <w:pStyle w:val="TableContents"/>
              <w:bidi w:val="0"/>
              <w:jc w:val="right"/>
              <w:rPr/>
            </w:pPr>
            <w:r>
              <w:rPr/>
              <w:t>232.0</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235.0</w:t>
            </w:r>
          </w:p>
        </w:tc>
        <w:tc>
          <w:tcPr>
            <w:tcW w:w="836" w:type="dxa"/>
            <w:tcBorders/>
            <w:vAlign w:val="center"/>
          </w:tcPr>
          <w:p>
            <w:pPr>
              <w:pStyle w:val="TableContents"/>
              <w:bidi w:val="0"/>
              <w:jc w:val="right"/>
              <w:rPr/>
            </w:pPr>
            <w:r>
              <w:rPr/>
              <w:t>262.2 [238.1; 7 out]</w:t>
            </w:r>
          </w:p>
        </w:tc>
      </w:tr>
      <w:tr>
        <w:trPr/>
        <w:tc>
          <w:tcPr>
            <w:tcW w:w="2281" w:type="dxa"/>
            <w:tcBorders/>
            <w:vAlign w:val="center"/>
          </w:tcPr>
          <w:p>
            <w:pPr>
              <w:pStyle w:val="TableContents"/>
              <w:widowControl w:val="false"/>
              <w:suppressLineNumbers/>
              <w:bidi w:val="0"/>
              <w:jc w:val="left"/>
              <w:rPr/>
            </w:pPr>
            <w:r>
              <w:rPr>
                <w:rStyle w:val="SourceText"/>
              </w:rPr>
              <w:t>+ shared corridor</w:t>
            </w:r>
          </w:p>
        </w:tc>
        <w:tc>
          <w:tcPr>
            <w:tcW w:w="791" w:type="dxa"/>
            <w:tcBorders/>
            <w:vAlign w:val="center"/>
          </w:tcPr>
          <w:p>
            <w:pPr>
              <w:pStyle w:val="TableContents"/>
              <w:bidi w:val="0"/>
              <w:jc w:val="right"/>
              <w:rPr/>
            </w:pPr>
            <w:r>
              <w:rPr/>
              <w:t>363.8 [256.3; 2 out]</w:t>
            </w:r>
          </w:p>
        </w:tc>
        <w:tc>
          <w:tcPr>
            <w:tcW w:w="791" w:type="dxa"/>
            <w:tcBorders/>
            <w:vAlign w:val="center"/>
          </w:tcPr>
          <w:p>
            <w:pPr>
              <w:pStyle w:val="TableContents"/>
              <w:bidi w:val="0"/>
              <w:jc w:val="right"/>
              <w:rPr/>
            </w:pPr>
            <w:r>
              <w:rPr/>
              <w:t>291.8 [288.2; 1 out]</w:t>
            </w:r>
          </w:p>
        </w:tc>
        <w:tc>
          <w:tcPr>
            <w:tcW w:w="791" w:type="dxa"/>
            <w:tcBorders/>
            <w:vAlign w:val="center"/>
          </w:tcPr>
          <w:p>
            <w:pPr>
              <w:pStyle w:val="TableContents"/>
              <w:bidi w:val="0"/>
              <w:jc w:val="right"/>
              <w:rPr/>
            </w:pPr>
            <w:r>
              <w:rPr/>
              <w:t>216.9 [212.1; 1 out]</w:t>
            </w:r>
          </w:p>
        </w:tc>
        <w:tc>
          <w:tcPr>
            <w:tcW w:w="646" w:type="dxa"/>
            <w:tcBorders/>
            <w:vAlign w:val="center"/>
          </w:tcPr>
          <w:p>
            <w:pPr>
              <w:pStyle w:val="TableContents"/>
              <w:bidi w:val="0"/>
              <w:jc w:val="right"/>
              <w:rPr/>
            </w:pPr>
            <w:r>
              <w:rPr/>
              <w:t>204.7</w:t>
            </w:r>
          </w:p>
        </w:tc>
        <w:tc>
          <w:tcPr>
            <w:tcW w:w="791" w:type="dxa"/>
            <w:tcBorders/>
            <w:vAlign w:val="center"/>
          </w:tcPr>
          <w:p>
            <w:pPr>
              <w:pStyle w:val="TableContents"/>
              <w:bidi w:val="0"/>
              <w:jc w:val="right"/>
              <w:rPr/>
            </w:pPr>
            <w:r>
              <w:rPr/>
              <w:t>294.8 [214.4; 1 out]</w:t>
            </w:r>
          </w:p>
        </w:tc>
        <w:tc>
          <w:tcPr>
            <w:tcW w:w="646" w:type="dxa"/>
            <w:tcBorders/>
            <w:vAlign w:val="center"/>
          </w:tcPr>
          <w:p>
            <w:pPr>
              <w:pStyle w:val="TableContents"/>
              <w:bidi w:val="0"/>
              <w:jc w:val="right"/>
              <w:rPr/>
            </w:pPr>
            <w:r>
              <w:rPr/>
              <w:t>236.4</w:t>
            </w:r>
          </w:p>
        </w:tc>
        <w:tc>
          <w:tcPr>
            <w:tcW w:w="791" w:type="dxa"/>
            <w:tcBorders/>
            <w:vAlign w:val="center"/>
          </w:tcPr>
          <w:p>
            <w:pPr>
              <w:pStyle w:val="TableContents"/>
              <w:bidi w:val="0"/>
              <w:jc w:val="right"/>
              <w:rPr/>
            </w:pPr>
            <w:r>
              <w:rPr/>
              <w:t>334.5 [276.8; 2 out]</w:t>
            </w:r>
          </w:p>
        </w:tc>
        <w:tc>
          <w:tcPr>
            <w:tcW w:w="646" w:type="dxa"/>
            <w:tcBorders/>
            <w:vAlign w:val="center"/>
          </w:tcPr>
          <w:p>
            <w:pPr>
              <w:pStyle w:val="TableContents"/>
              <w:bidi w:val="0"/>
              <w:jc w:val="right"/>
              <w:rPr/>
            </w:pPr>
            <w:r>
              <w:rPr/>
              <w:t>236.5</w:t>
            </w:r>
          </w:p>
        </w:tc>
        <w:tc>
          <w:tcPr>
            <w:tcW w:w="646" w:type="dxa"/>
            <w:tcBorders/>
            <w:vAlign w:val="center"/>
          </w:tcPr>
          <w:p>
            <w:pPr>
              <w:pStyle w:val="TableContents"/>
              <w:bidi w:val="0"/>
              <w:jc w:val="right"/>
              <w:rPr/>
            </w:pPr>
            <w:r>
              <w:rPr/>
              <w:t>231.3</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235.1</w:t>
            </w:r>
          </w:p>
        </w:tc>
        <w:tc>
          <w:tcPr>
            <w:tcW w:w="836" w:type="dxa"/>
            <w:tcBorders/>
            <w:vAlign w:val="center"/>
          </w:tcPr>
          <w:p>
            <w:pPr>
              <w:pStyle w:val="TableContents"/>
              <w:bidi w:val="0"/>
              <w:jc w:val="right"/>
              <w:rPr/>
            </w:pPr>
            <w:r>
              <w:rPr/>
              <w:t>262.3 [238.2; 7 out]</w:t>
            </w:r>
          </w:p>
        </w:tc>
      </w:tr>
      <w:tr>
        <w:trPr/>
        <w:tc>
          <w:tcPr>
            <w:tcW w:w="2281" w:type="dxa"/>
            <w:tcBorders/>
            <w:vAlign w:val="center"/>
          </w:tcPr>
          <w:p>
            <w:pPr>
              <w:pStyle w:val="TableContents"/>
              <w:widowControl w:val="false"/>
              <w:suppressLineNumbers/>
              <w:bidi w:val="0"/>
              <w:jc w:val="left"/>
              <w:rPr/>
            </w:pPr>
            <w:r>
              <w:rPr>
                <w:rStyle w:val="SourceText"/>
              </w:rPr>
              <w:t>+ weather</w:t>
            </w:r>
          </w:p>
        </w:tc>
        <w:tc>
          <w:tcPr>
            <w:tcW w:w="791" w:type="dxa"/>
            <w:tcBorders/>
            <w:vAlign w:val="center"/>
          </w:tcPr>
          <w:p>
            <w:pPr>
              <w:pStyle w:val="TableContents"/>
              <w:bidi w:val="0"/>
              <w:jc w:val="right"/>
              <w:rPr/>
            </w:pPr>
            <w:r>
              <w:rPr/>
              <w:t>360.6 [252.0; 2 out]</w:t>
            </w:r>
          </w:p>
        </w:tc>
        <w:tc>
          <w:tcPr>
            <w:tcW w:w="791" w:type="dxa"/>
            <w:tcBorders/>
            <w:vAlign w:val="center"/>
          </w:tcPr>
          <w:p>
            <w:pPr>
              <w:pStyle w:val="TableContents"/>
              <w:bidi w:val="0"/>
              <w:jc w:val="right"/>
              <w:rPr/>
            </w:pPr>
            <w:r>
              <w:rPr/>
              <w:t>288.9 [285.3; 1 out]</w:t>
            </w:r>
          </w:p>
        </w:tc>
        <w:tc>
          <w:tcPr>
            <w:tcW w:w="791" w:type="dxa"/>
            <w:tcBorders/>
            <w:vAlign w:val="center"/>
          </w:tcPr>
          <w:p>
            <w:pPr>
              <w:pStyle w:val="TableContents"/>
              <w:bidi w:val="0"/>
              <w:jc w:val="right"/>
              <w:rPr/>
            </w:pPr>
            <w:r>
              <w:rPr/>
              <w:t>216.4 [211.6; 1 out]</w:t>
            </w:r>
          </w:p>
        </w:tc>
        <w:tc>
          <w:tcPr>
            <w:tcW w:w="646" w:type="dxa"/>
            <w:tcBorders/>
            <w:vAlign w:val="center"/>
          </w:tcPr>
          <w:p>
            <w:pPr>
              <w:pStyle w:val="TableContents"/>
              <w:bidi w:val="0"/>
              <w:jc w:val="right"/>
              <w:rPr/>
            </w:pPr>
            <w:r>
              <w:rPr/>
              <w:t>204.3</w:t>
            </w:r>
          </w:p>
        </w:tc>
        <w:tc>
          <w:tcPr>
            <w:tcW w:w="791" w:type="dxa"/>
            <w:tcBorders/>
            <w:vAlign w:val="center"/>
          </w:tcPr>
          <w:p>
            <w:pPr>
              <w:pStyle w:val="TableContents"/>
              <w:bidi w:val="0"/>
              <w:jc w:val="right"/>
              <w:rPr/>
            </w:pPr>
            <w:r>
              <w:rPr/>
              <w:t>294.8 [214.6; 1 out]</w:t>
            </w:r>
          </w:p>
        </w:tc>
        <w:tc>
          <w:tcPr>
            <w:tcW w:w="646" w:type="dxa"/>
            <w:tcBorders/>
            <w:vAlign w:val="center"/>
          </w:tcPr>
          <w:p>
            <w:pPr>
              <w:pStyle w:val="TableContents"/>
              <w:bidi w:val="0"/>
              <w:jc w:val="right"/>
              <w:rPr/>
            </w:pPr>
            <w:r>
              <w:rPr/>
              <w:t>236.2</w:t>
            </w:r>
          </w:p>
        </w:tc>
        <w:tc>
          <w:tcPr>
            <w:tcW w:w="791" w:type="dxa"/>
            <w:tcBorders/>
            <w:vAlign w:val="center"/>
          </w:tcPr>
          <w:p>
            <w:pPr>
              <w:pStyle w:val="TableContents"/>
              <w:bidi w:val="0"/>
              <w:jc w:val="right"/>
              <w:rPr/>
            </w:pPr>
            <w:r>
              <w:rPr/>
              <w:t>335.0 [276.6; 2 out]</w:t>
            </w:r>
          </w:p>
        </w:tc>
        <w:tc>
          <w:tcPr>
            <w:tcW w:w="646" w:type="dxa"/>
            <w:tcBorders/>
            <w:vAlign w:val="center"/>
          </w:tcPr>
          <w:p>
            <w:pPr>
              <w:pStyle w:val="TableContents"/>
              <w:bidi w:val="0"/>
              <w:jc w:val="right"/>
              <w:rPr/>
            </w:pPr>
            <w:r>
              <w:rPr/>
              <w:t>236.2</w:t>
            </w:r>
          </w:p>
        </w:tc>
        <w:tc>
          <w:tcPr>
            <w:tcW w:w="646" w:type="dxa"/>
            <w:tcBorders/>
            <w:vAlign w:val="center"/>
          </w:tcPr>
          <w:p>
            <w:pPr>
              <w:pStyle w:val="TableContents"/>
              <w:bidi w:val="0"/>
              <w:jc w:val="right"/>
              <w:rPr/>
            </w:pPr>
            <w:r>
              <w:rPr/>
              <w:t>230.9</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226.7</w:t>
            </w:r>
          </w:p>
        </w:tc>
        <w:tc>
          <w:tcPr>
            <w:tcW w:w="646" w:type="dxa"/>
            <w:tcBorders/>
            <w:vAlign w:val="center"/>
          </w:tcPr>
          <w:p>
            <w:pPr>
              <w:pStyle w:val="TableContents"/>
              <w:bidi w:val="0"/>
              <w:jc w:val="right"/>
              <w:rPr/>
            </w:pPr>
            <w:r>
              <w:rPr/>
              <w:t>233.2</w:t>
            </w:r>
          </w:p>
        </w:tc>
        <w:tc>
          <w:tcPr>
            <w:tcW w:w="836" w:type="dxa"/>
            <w:tcBorders/>
            <w:vAlign w:val="center"/>
          </w:tcPr>
          <w:p>
            <w:pPr>
              <w:pStyle w:val="TableContents"/>
              <w:bidi w:val="0"/>
              <w:jc w:val="right"/>
              <w:rPr/>
            </w:pPr>
            <w:r>
              <w:rPr/>
              <w:t>261.5 [237.2; 7 out]</w:t>
            </w:r>
          </w:p>
        </w:tc>
      </w:tr>
      <w:tr>
        <w:trPr/>
        <w:tc>
          <w:tcPr>
            <w:tcW w:w="2281" w:type="dxa"/>
            <w:tcBorders/>
            <w:vAlign w:val="center"/>
          </w:tcPr>
          <w:p>
            <w:pPr>
              <w:pStyle w:val="TableContents"/>
              <w:widowControl w:val="false"/>
              <w:suppressLineNumbers/>
              <w:bidi w:val="0"/>
              <w:jc w:val="left"/>
              <w:rPr/>
            </w:pPr>
            <w:r>
              <w:rPr>
                <w:rStyle w:val="SourceText"/>
              </w:rPr>
              <w:t>+ shrunk encoding</w:t>
            </w:r>
          </w:p>
        </w:tc>
        <w:tc>
          <w:tcPr>
            <w:tcW w:w="791" w:type="dxa"/>
            <w:tcBorders/>
            <w:vAlign w:val="center"/>
          </w:tcPr>
          <w:p>
            <w:pPr>
              <w:pStyle w:val="TableContents"/>
              <w:bidi w:val="0"/>
              <w:jc w:val="right"/>
              <w:rPr/>
            </w:pPr>
            <w:r>
              <w:rPr/>
              <w:t>360.4 [251.7; 2 out]</w:t>
            </w:r>
          </w:p>
        </w:tc>
        <w:tc>
          <w:tcPr>
            <w:tcW w:w="791" w:type="dxa"/>
            <w:tcBorders/>
            <w:vAlign w:val="center"/>
          </w:tcPr>
          <w:p>
            <w:pPr>
              <w:pStyle w:val="TableContents"/>
              <w:bidi w:val="0"/>
              <w:jc w:val="right"/>
              <w:rPr/>
            </w:pPr>
            <w:r>
              <w:rPr/>
              <w:t>288.6 [284.9; 1 out]</w:t>
            </w:r>
          </w:p>
        </w:tc>
        <w:tc>
          <w:tcPr>
            <w:tcW w:w="791" w:type="dxa"/>
            <w:tcBorders/>
            <w:vAlign w:val="center"/>
          </w:tcPr>
          <w:p>
            <w:pPr>
              <w:pStyle w:val="TableContents"/>
              <w:bidi w:val="0"/>
              <w:jc w:val="right"/>
              <w:rPr/>
            </w:pPr>
            <w:r>
              <w:rPr/>
              <w:t>215.4 [210.7; 1 out]</w:t>
            </w:r>
          </w:p>
        </w:tc>
        <w:tc>
          <w:tcPr>
            <w:tcW w:w="646" w:type="dxa"/>
            <w:tcBorders/>
            <w:vAlign w:val="center"/>
          </w:tcPr>
          <w:p>
            <w:pPr>
              <w:pStyle w:val="TableContents"/>
              <w:bidi w:val="0"/>
              <w:jc w:val="right"/>
              <w:rPr/>
            </w:pPr>
            <w:r>
              <w:rPr/>
              <w:t>203.6</w:t>
            </w:r>
          </w:p>
        </w:tc>
        <w:tc>
          <w:tcPr>
            <w:tcW w:w="791" w:type="dxa"/>
            <w:tcBorders/>
            <w:vAlign w:val="center"/>
          </w:tcPr>
          <w:p>
            <w:pPr>
              <w:pStyle w:val="TableContents"/>
              <w:bidi w:val="0"/>
              <w:jc w:val="right"/>
              <w:rPr/>
            </w:pPr>
            <w:r>
              <w:rPr/>
              <w:t>294.5 [213.9; 1 out]</w:t>
            </w:r>
          </w:p>
        </w:tc>
        <w:tc>
          <w:tcPr>
            <w:tcW w:w="646" w:type="dxa"/>
            <w:tcBorders/>
            <w:vAlign w:val="center"/>
          </w:tcPr>
          <w:p>
            <w:pPr>
              <w:pStyle w:val="TableContents"/>
              <w:bidi w:val="0"/>
              <w:jc w:val="right"/>
              <w:rPr/>
            </w:pPr>
            <w:r>
              <w:rPr/>
              <w:t>235.9</w:t>
            </w:r>
          </w:p>
        </w:tc>
        <w:tc>
          <w:tcPr>
            <w:tcW w:w="791" w:type="dxa"/>
            <w:tcBorders/>
            <w:vAlign w:val="center"/>
          </w:tcPr>
          <w:p>
            <w:pPr>
              <w:pStyle w:val="TableContents"/>
              <w:bidi w:val="0"/>
              <w:jc w:val="right"/>
              <w:rPr/>
            </w:pPr>
            <w:r>
              <w:rPr/>
              <w:t>336.8 [276.8; 2 out]</w:t>
            </w:r>
          </w:p>
        </w:tc>
        <w:tc>
          <w:tcPr>
            <w:tcW w:w="646" w:type="dxa"/>
            <w:tcBorders/>
            <w:vAlign w:val="center"/>
          </w:tcPr>
          <w:p>
            <w:pPr>
              <w:pStyle w:val="TableContents"/>
              <w:bidi w:val="0"/>
              <w:jc w:val="right"/>
              <w:rPr/>
            </w:pPr>
            <w:r>
              <w:rPr/>
              <w:t>235.9</w:t>
            </w:r>
          </w:p>
        </w:tc>
        <w:tc>
          <w:tcPr>
            <w:tcW w:w="646" w:type="dxa"/>
            <w:tcBorders/>
            <w:vAlign w:val="center"/>
          </w:tcPr>
          <w:p>
            <w:pPr>
              <w:pStyle w:val="TableContents"/>
              <w:bidi w:val="0"/>
              <w:jc w:val="right"/>
              <w:rPr/>
            </w:pPr>
            <w:r>
              <w:rPr/>
              <w:t>231.0</w:t>
            </w:r>
          </w:p>
        </w:tc>
        <w:tc>
          <w:tcPr>
            <w:tcW w:w="646" w:type="dxa"/>
            <w:tcBorders/>
            <w:vAlign w:val="center"/>
          </w:tcPr>
          <w:p>
            <w:pPr>
              <w:pStyle w:val="TableContents"/>
              <w:bidi w:val="0"/>
              <w:jc w:val="right"/>
              <w:rPr/>
            </w:pPr>
            <w:r>
              <w:rPr/>
              <w:t>231.6</w:t>
            </w:r>
          </w:p>
        </w:tc>
        <w:tc>
          <w:tcPr>
            <w:tcW w:w="646" w:type="dxa"/>
            <w:tcBorders/>
            <w:vAlign w:val="center"/>
          </w:tcPr>
          <w:p>
            <w:pPr>
              <w:pStyle w:val="TableContents"/>
              <w:bidi w:val="0"/>
              <w:jc w:val="right"/>
              <w:rPr/>
            </w:pPr>
            <w:r>
              <w:rPr/>
              <w:t>226.7</w:t>
            </w:r>
          </w:p>
        </w:tc>
        <w:tc>
          <w:tcPr>
            <w:tcW w:w="646" w:type="dxa"/>
            <w:tcBorders/>
            <w:vAlign w:val="center"/>
          </w:tcPr>
          <w:p>
            <w:pPr>
              <w:pStyle w:val="TableContents"/>
              <w:bidi w:val="0"/>
              <w:jc w:val="right"/>
              <w:rPr/>
            </w:pPr>
            <w:r>
              <w:rPr/>
              <w:t>231.4</w:t>
            </w:r>
          </w:p>
        </w:tc>
        <w:tc>
          <w:tcPr>
            <w:tcW w:w="836" w:type="dxa"/>
            <w:tcBorders/>
            <w:vAlign w:val="center"/>
          </w:tcPr>
          <w:p>
            <w:pPr>
              <w:pStyle w:val="TableContents"/>
              <w:bidi w:val="0"/>
              <w:jc w:val="right"/>
              <w:rPr/>
            </w:pPr>
            <w:r>
              <w:rPr/>
              <w:t>261.3 [236.7; 7 out]</w:t>
            </w:r>
          </w:p>
        </w:tc>
      </w:tr>
      <w:tr>
        <w:trPr/>
        <w:tc>
          <w:tcPr>
            <w:tcW w:w="2281" w:type="dxa"/>
            <w:tcBorders/>
            <w:vAlign w:val="center"/>
          </w:tcPr>
          <w:p>
            <w:pPr>
              <w:pStyle w:val="TableContents"/>
              <w:widowControl w:val="false"/>
              <w:suppressLineNumbers/>
              <w:bidi w:val="0"/>
              <w:jc w:val="left"/>
              <w:rPr/>
            </w:pPr>
            <w:r>
              <w:rPr>
                <w:rStyle w:val="SourceText"/>
              </w:rPr>
              <w:t>+ shrunk encoding, replacing the stand</w:t>
            </w:r>
          </w:p>
        </w:tc>
        <w:tc>
          <w:tcPr>
            <w:tcW w:w="791" w:type="dxa"/>
            <w:tcBorders/>
            <w:vAlign w:val="center"/>
          </w:tcPr>
          <w:p>
            <w:pPr>
              <w:pStyle w:val="TableContents"/>
              <w:bidi w:val="0"/>
              <w:jc w:val="right"/>
              <w:rPr/>
            </w:pPr>
            <w:r>
              <w:rPr/>
              <w:t>358.5 [248.9; 2 out]</w:t>
            </w:r>
          </w:p>
        </w:tc>
        <w:tc>
          <w:tcPr>
            <w:tcW w:w="791" w:type="dxa"/>
            <w:tcBorders/>
            <w:vAlign w:val="center"/>
          </w:tcPr>
          <w:p>
            <w:pPr>
              <w:pStyle w:val="TableContents"/>
              <w:bidi w:val="0"/>
              <w:jc w:val="right"/>
              <w:rPr/>
            </w:pPr>
            <w:r>
              <w:rPr/>
              <w:t>284.1 [280.4; 1 out]</w:t>
            </w:r>
          </w:p>
        </w:tc>
        <w:tc>
          <w:tcPr>
            <w:tcW w:w="791" w:type="dxa"/>
            <w:tcBorders/>
            <w:vAlign w:val="center"/>
          </w:tcPr>
          <w:p>
            <w:pPr>
              <w:pStyle w:val="TableContents"/>
              <w:bidi w:val="0"/>
              <w:jc w:val="right"/>
              <w:rPr/>
            </w:pPr>
            <w:r>
              <w:rPr/>
              <w:t>212.9 [208.1; 1 out]</w:t>
            </w:r>
          </w:p>
        </w:tc>
        <w:tc>
          <w:tcPr>
            <w:tcW w:w="646" w:type="dxa"/>
            <w:tcBorders/>
            <w:vAlign w:val="center"/>
          </w:tcPr>
          <w:p>
            <w:pPr>
              <w:pStyle w:val="TableContents"/>
              <w:bidi w:val="0"/>
              <w:jc w:val="right"/>
              <w:rPr/>
            </w:pPr>
            <w:r>
              <w:rPr/>
              <w:t>200.9</w:t>
            </w:r>
          </w:p>
        </w:tc>
        <w:tc>
          <w:tcPr>
            <w:tcW w:w="791" w:type="dxa"/>
            <w:tcBorders/>
            <w:vAlign w:val="center"/>
          </w:tcPr>
          <w:p>
            <w:pPr>
              <w:pStyle w:val="TableContents"/>
              <w:bidi w:val="0"/>
              <w:jc w:val="right"/>
              <w:rPr/>
            </w:pPr>
            <w:r>
              <w:rPr/>
              <w:t>292.2 [210.7; 1 out]</w:t>
            </w:r>
          </w:p>
        </w:tc>
        <w:tc>
          <w:tcPr>
            <w:tcW w:w="646" w:type="dxa"/>
            <w:tcBorders/>
            <w:vAlign w:val="center"/>
          </w:tcPr>
          <w:p>
            <w:pPr>
              <w:pStyle w:val="TableContents"/>
              <w:bidi w:val="0"/>
              <w:jc w:val="right"/>
              <w:rPr/>
            </w:pPr>
            <w:r>
              <w:rPr/>
              <w:t>233.4</w:t>
            </w:r>
          </w:p>
        </w:tc>
        <w:tc>
          <w:tcPr>
            <w:tcW w:w="791" w:type="dxa"/>
            <w:tcBorders/>
            <w:vAlign w:val="center"/>
          </w:tcPr>
          <w:p>
            <w:pPr>
              <w:pStyle w:val="TableContents"/>
              <w:bidi w:val="0"/>
              <w:jc w:val="right"/>
              <w:rPr/>
            </w:pPr>
            <w:r>
              <w:rPr/>
              <w:t>333.5 [272.6; 2 out]</w:t>
            </w:r>
          </w:p>
        </w:tc>
        <w:tc>
          <w:tcPr>
            <w:tcW w:w="646" w:type="dxa"/>
            <w:tcBorders/>
            <w:vAlign w:val="center"/>
          </w:tcPr>
          <w:p>
            <w:pPr>
              <w:pStyle w:val="TableContents"/>
              <w:bidi w:val="0"/>
              <w:jc w:val="right"/>
              <w:rPr/>
            </w:pPr>
            <w:r>
              <w:rPr/>
              <w:t>233.1</w:t>
            </w:r>
          </w:p>
        </w:tc>
        <w:tc>
          <w:tcPr>
            <w:tcW w:w="646" w:type="dxa"/>
            <w:tcBorders/>
            <w:vAlign w:val="center"/>
          </w:tcPr>
          <w:p>
            <w:pPr>
              <w:pStyle w:val="TableContents"/>
              <w:bidi w:val="0"/>
              <w:jc w:val="right"/>
              <w:rPr/>
            </w:pPr>
            <w:r>
              <w:rPr/>
              <w:t>227.6</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224.5</w:t>
            </w:r>
          </w:p>
        </w:tc>
        <w:tc>
          <w:tcPr>
            <w:tcW w:w="646" w:type="dxa"/>
            <w:tcBorders/>
            <w:vAlign w:val="center"/>
          </w:tcPr>
          <w:p>
            <w:pPr>
              <w:pStyle w:val="TableContents"/>
              <w:bidi w:val="0"/>
              <w:jc w:val="right"/>
              <w:rPr/>
            </w:pPr>
            <w:r>
              <w:rPr/>
              <w:t>228.3</w:t>
            </w:r>
          </w:p>
        </w:tc>
        <w:tc>
          <w:tcPr>
            <w:tcW w:w="836" w:type="dxa"/>
            <w:tcBorders/>
            <w:vAlign w:val="center"/>
          </w:tcPr>
          <w:p>
            <w:pPr>
              <w:pStyle w:val="TableContents"/>
              <w:bidi w:val="0"/>
              <w:jc w:val="right"/>
              <w:rPr/>
            </w:pPr>
            <w:r>
              <w:rPr/>
              <w:t>258.5 [233.6; 7 out]</w:t>
            </w:r>
          </w:p>
        </w:tc>
      </w:tr>
      <w:tr>
        <w:trPr/>
        <w:tc>
          <w:tcPr>
            <w:tcW w:w="2281" w:type="dxa"/>
            <w:tcBorders/>
            <w:vAlign w:val="center"/>
          </w:tcPr>
          <w:p>
            <w:pPr>
              <w:pStyle w:val="TableContents"/>
              <w:widowControl w:val="false"/>
              <w:suppressLineNumbers/>
              <w:bidi w:val="0"/>
              <w:jc w:val="left"/>
              <w:rPr/>
            </w:pPr>
            <w:r>
              <w:rPr>
                <w:rStyle w:val="SourceText"/>
              </w:rPr>
              <w:t>+ shrunk encoding, replacing stand and runway</w:t>
            </w:r>
          </w:p>
        </w:tc>
        <w:tc>
          <w:tcPr>
            <w:tcW w:w="791" w:type="dxa"/>
            <w:tcBorders/>
            <w:vAlign w:val="center"/>
          </w:tcPr>
          <w:p>
            <w:pPr>
              <w:pStyle w:val="TableContents"/>
              <w:bidi w:val="0"/>
              <w:jc w:val="right"/>
              <w:rPr/>
            </w:pPr>
            <w:r>
              <w:rPr/>
              <w:t>358.8 [249.1; 2 out]</w:t>
            </w:r>
          </w:p>
        </w:tc>
        <w:tc>
          <w:tcPr>
            <w:tcW w:w="791" w:type="dxa"/>
            <w:tcBorders/>
            <w:vAlign w:val="center"/>
          </w:tcPr>
          <w:p>
            <w:pPr>
              <w:pStyle w:val="TableContents"/>
              <w:bidi w:val="0"/>
              <w:jc w:val="right"/>
              <w:rPr/>
            </w:pPr>
            <w:r>
              <w:rPr/>
              <w:t>286.0 [282.3; 1 out]</w:t>
            </w:r>
          </w:p>
        </w:tc>
        <w:tc>
          <w:tcPr>
            <w:tcW w:w="791" w:type="dxa"/>
            <w:tcBorders/>
            <w:vAlign w:val="center"/>
          </w:tcPr>
          <w:p>
            <w:pPr>
              <w:pStyle w:val="TableContents"/>
              <w:bidi w:val="0"/>
              <w:jc w:val="right"/>
              <w:rPr/>
            </w:pPr>
            <w:r>
              <w:rPr/>
              <w:t>213.5 [208.6; 1 out]</w:t>
            </w:r>
          </w:p>
        </w:tc>
        <w:tc>
          <w:tcPr>
            <w:tcW w:w="646" w:type="dxa"/>
            <w:tcBorders/>
            <w:vAlign w:val="center"/>
          </w:tcPr>
          <w:p>
            <w:pPr>
              <w:pStyle w:val="TableContents"/>
              <w:bidi w:val="0"/>
              <w:jc w:val="right"/>
              <w:rPr/>
            </w:pPr>
            <w:r>
              <w:rPr/>
              <w:t>201.3</w:t>
            </w:r>
          </w:p>
        </w:tc>
        <w:tc>
          <w:tcPr>
            <w:tcW w:w="791" w:type="dxa"/>
            <w:tcBorders/>
            <w:vAlign w:val="center"/>
          </w:tcPr>
          <w:p>
            <w:pPr>
              <w:pStyle w:val="TableContents"/>
              <w:bidi w:val="0"/>
              <w:jc w:val="right"/>
              <w:rPr/>
            </w:pPr>
            <w:r>
              <w:rPr/>
              <w:t>292.4 [211.1; 1 out]</w:t>
            </w:r>
          </w:p>
        </w:tc>
        <w:tc>
          <w:tcPr>
            <w:tcW w:w="646" w:type="dxa"/>
            <w:tcBorders/>
            <w:vAlign w:val="center"/>
          </w:tcPr>
          <w:p>
            <w:pPr>
              <w:pStyle w:val="TableContents"/>
              <w:bidi w:val="0"/>
              <w:jc w:val="right"/>
              <w:rPr/>
            </w:pPr>
            <w:r>
              <w:rPr/>
              <w:t>233.3</w:t>
            </w:r>
          </w:p>
        </w:tc>
        <w:tc>
          <w:tcPr>
            <w:tcW w:w="791" w:type="dxa"/>
            <w:tcBorders/>
            <w:vAlign w:val="center"/>
          </w:tcPr>
          <w:p>
            <w:pPr>
              <w:pStyle w:val="TableContents"/>
              <w:bidi w:val="0"/>
              <w:jc w:val="right"/>
              <w:rPr/>
            </w:pPr>
            <w:r>
              <w:rPr/>
              <w:t>333.2 [272.4; 2 out]</w:t>
            </w:r>
          </w:p>
        </w:tc>
        <w:tc>
          <w:tcPr>
            <w:tcW w:w="646" w:type="dxa"/>
            <w:tcBorders/>
            <w:vAlign w:val="center"/>
          </w:tcPr>
          <w:p>
            <w:pPr>
              <w:pStyle w:val="TableContents"/>
              <w:bidi w:val="0"/>
              <w:jc w:val="right"/>
              <w:rPr/>
            </w:pPr>
            <w:r>
              <w:rPr/>
              <w:t>233.2</w:t>
            </w:r>
          </w:p>
        </w:tc>
        <w:tc>
          <w:tcPr>
            <w:tcW w:w="646" w:type="dxa"/>
            <w:tcBorders/>
            <w:vAlign w:val="center"/>
          </w:tcPr>
          <w:p>
            <w:pPr>
              <w:pStyle w:val="TableContents"/>
              <w:bidi w:val="0"/>
              <w:jc w:val="right"/>
              <w:rPr/>
            </w:pPr>
            <w:r>
              <w:rPr/>
              <w:t>227.8</w:t>
            </w:r>
          </w:p>
        </w:tc>
        <w:tc>
          <w:tcPr>
            <w:tcW w:w="646" w:type="dxa"/>
            <w:tcBorders/>
            <w:vAlign w:val="center"/>
          </w:tcPr>
          <w:p>
            <w:pPr>
              <w:pStyle w:val="TableContents"/>
              <w:bidi w:val="0"/>
              <w:jc w:val="right"/>
              <w:rPr/>
            </w:pPr>
            <w:r>
              <w:rPr/>
              <w:t>228.2</w:t>
            </w:r>
          </w:p>
        </w:tc>
        <w:tc>
          <w:tcPr>
            <w:tcW w:w="646" w:type="dxa"/>
            <w:tcBorders/>
            <w:vAlign w:val="center"/>
          </w:tcPr>
          <w:p>
            <w:pPr>
              <w:pStyle w:val="TableContents"/>
              <w:bidi w:val="0"/>
              <w:jc w:val="right"/>
              <w:rPr/>
            </w:pPr>
            <w:r>
              <w:rPr/>
              <w:t>224.6</w:t>
            </w:r>
          </w:p>
        </w:tc>
        <w:tc>
          <w:tcPr>
            <w:tcW w:w="646" w:type="dxa"/>
            <w:tcBorders/>
            <w:vAlign w:val="center"/>
          </w:tcPr>
          <w:p>
            <w:pPr>
              <w:pStyle w:val="TableContents"/>
              <w:bidi w:val="0"/>
              <w:jc w:val="right"/>
              <w:rPr/>
            </w:pPr>
            <w:r>
              <w:rPr/>
              <w:t>228.0</w:t>
            </w:r>
          </w:p>
        </w:tc>
        <w:tc>
          <w:tcPr>
            <w:tcW w:w="836" w:type="dxa"/>
            <w:tcBorders/>
            <w:vAlign w:val="center"/>
          </w:tcPr>
          <w:p>
            <w:pPr>
              <w:pStyle w:val="TableContents"/>
              <w:bidi w:val="0"/>
              <w:jc w:val="right"/>
              <w:rPr/>
            </w:pPr>
            <w:r>
              <w:rPr/>
              <w:t>258.7 [233.9; 7 out]</w:t>
            </w:r>
          </w:p>
        </w:tc>
      </w:tr>
      <w:tr>
        <w:trPr/>
        <w:tc>
          <w:tcPr>
            <w:tcW w:w="2281" w:type="dxa"/>
            <w:tcBorders/>
            <w:vAlign w:val="center"/>
          </w:tcPr>
          <w:p>
            <w:pPr>
              <w:pStyle w:val="TableContents"/>
              <w:widowControl w:val="false"/>
              <w:suppressLineNumbers/>
              <w:bidi w:val="0"/>
              <w:jc w:val="left"/>
              <w:rPr/>
            </w:pPr>
            <w:r>
              <w:rPr>
                <w:rStyle w:val="SourceText"/>
              </w:rPr>
              <w:t>+ stand occupancy</w:t>
            </w:r>
          </w:p>
        </w:tc>
        <w:tc>
          <w:tcPr>
            <w:tcW w:w="791" w:type="dxa"/>
            <w:tcBorders/>
            <w:vAlign w:val="center"/>
          </w:tcPr>
          <w:p>
            <w:pPr>
              <w:pStyle w:val="TableContents"/>
              <w:bidi w:val="0"/>
              <w:jc w:val="right"/>
              <w:rPr/>
            </w:pPr>
            <w:r>
              <w:rPr/>
              <w:t>351.9 [239.6; 2 out]</w:t>
            </w:r>
          </w:p>
        </w:tc>
        <w:tc>
          <w:tcPr>
            <w:tcW w:w="791" w:type="dxa"/>
            <w:tcBorders/>
            <w:vAlign w:val="center"/>
          </w:tcPr>
          <w:p>
            <w:pPr>
              <w:pStyle w:val="TableContents"/>
              <w:bidi w:val="0"/>
              <w:jc w:val="right"/>
              <w:rPr/>
            </w:pPr>
            <w:r>
              <w:rPr/>
              <w:t>272.0 [268.1; 1 out]</w:t>
            </w:r>
          </w:p>
        </w:tc>
        <w:tc>
          <w:tcPr>
            <w:tcW w:w="791" w:type="dxa"/>
            <w:tcBorders/>
            <w:vAlign w:val="center"/>
          </w:tcPr>
          <w:p>
            <w:pPr>
              <w:pStyle w:val="TableContents"/>
              <w:bidi w:val="0"/>
              <w:jc w:val="right"/>
              <w:rPr/>
            </w:pPr>
            <w:r>
              <w:rPr/>
              <w:t>206.4 [201.9; 1 out]</w:t>
            </w:r>
          </w:p>
        </w:tc>
        <w:tc>
          <w:tcPr>
            <w:tcW w:w="646" w:type="dxa"/>
            <w:tcBorders/>
            <w:vAlign w:val="center"/>
          </w:tcPr>
          <w:p>
            <w:pPr>
              <w:pStyle w:val="TableContents"/>
              <w:bidi w:val="0"/>
              <w:jc w:val="right"/>
              <w:rPr/>
            </w:pPr>
            <w:r>
              <w:rPr/>
              <w:t>194.9</w:t>
            </w:r>
          </w:p>
        </w:tc>
        <w:tc>
          <w:tcPr>
            <w:tcW w:w="791" w:type="dxa"/>
            <w:tcBorders/>
            <w:vAlign w:val="center"/>
          </w:tcPr>
          <w:p>
            <w:pPr>
              <w:pStyle w:val="TableContents"/>
              <w:bidi w:val="0"/>
              <w:jc w:val="right"/>
              <w:rPr/>
            </w:pPr>
            <w:r>
              <w:rPr/>
              <w:t>287.6 [204.2; 1 out]</w:t>
            </w:r>
          </w:p>
        </w:tc>
        <w:tc>
          <w:tcPr>
            <w:tcW w:w="646" w:type="dxa"/>
            <w:tcBorders/>
            <w:vAlign w:val="center"/>
          </w:tcPr>
          <w:p>
            <w:pPr>
              <w:pStyle w:val="TableContents"/>
              <w:bidi w:val="0"/>
              <w:jc w:val="right"/>
              <w:rPr/>
            </w:pPr>
            <w:r>
              <w:rPr/>
              <w:t>226.3</w:t>
            </w:r>
          </w:p>
        </w:tc>
        <w:tc>
          <w:tcPr>
            <w:tcW w:w="791" w:type="dxa"/>
            <w:tcBorders/>
            <w:vAlign w:val="center"/>
          </w:tcPr>
          <w:p>
            <w:pPr>
              <w:pStyle w:val="TableContents"/>
              <w:bidi w:val="0"/>
              <w:jc w:val="right"/>
              <w:rPr/>
            </w:pPr>
            <w:r>
              <w:rPr/>
              <w:t>325.0 [262.6; 2 out]</w:t>
            </w:r>
          </w:p>
        </w:tc>
        <w:tc>
          <w:tcPr>
            <w:tcW w:w="646" w:type="dxa"/>
            <w:tcBorders/>
            <w:vAlign w:val="center"/>
          </w:tcPr>
          <w:p>
            <w:pPr>
              <w:pStyle w:val="TableContents"/>
              <w:bidi w:val="0"/>
              <w:jc w:val="right"/>
              <w:rPr/>
            </w:pPr>
            <w:r>
              <w:rPr/>
              <w:t>225.8</w:t>
            </w:r>
          </w:p>
        </w:tc>
        <w:tc>
          <w:tcPr>
            <w:tcW w:w="646" w:type="dxa"/>
            <w:tcBorders/>
            <w:vAlign w:val="center"/>
          </w:tcPr>
          <w:p>
            <w:pPr>
              <w:pStyle w:val="TableContents"/>
              <w:bidi w:val="0"/>
              <w:jc w:val="right"/>
              <w:rPr/>
            </w:pPr>
            <w:r>
              <w:rPr/>
              <w:t>221.1</w:t>
            </w:r>
          </w:p>
        </w:tc>
        <w:tc>
          <w:tcPr>
            <w:tcW w:w="646" w:type="dxa"/>
            <w:tcBorders/>
            <w:vAlign w:val="center"/>
          </w:tcPr>
          <w:p>
            <w:pPr>
              <w:pStyle w:val="TableContents"/>
              <w:bidi w:val="0"/>
              <w:jc w:val="right"/>
              <w:rPr/>
            </w:pPr>
            <w:r>
              <w:rPr/>
              <w:t>221.2</w:t>
            </w:r>
          </w:p>
        </w:tc>
        <w:tc>
          <w:tcPr>
            <w:tcW w:w="646" w:type="dxa"/>
            <w:tcBorders/>
            <w:vAlign w:val="center"/>
          </w:tcPr>
          <w:p>
            <w:pPr>
              <w:pStyle w:val="TableContents"/>
              <w:bidi w:val="0"/>
              <w:jc w:val="right"/>
              <w:rPr/>
            </w:pPr>
            <w:r>
              <w:rPr/>
              <w:t>216.8</w:t>
            </w:r>
          </w:p>
        </w:tc>
        <w:tc>
          <w:tcPr>
            <w:tcW w:w="646" w:type="dxa"/>
            <w:tcBorders/>
            <w:vAlign w:val="center"/>
          </w:tcPr>
          <w:p>
            <w:pPr>
              <w:pStyle w:val="TableContents"/>
              <w:bidi w:val="0"/>
              <w:jc w:val="right"/>
              <w:rPr/>
            </w:pPr>
            <w:r>
              <w:rPr/>
              <w:t>219.7</w:t>
            </w:r>
          </w:p>
        </w:tc>
        <w:tc>
          <w:tcPr>
            <w:tcW w:w="836" w:type="dxa"/>
            <w:tcBorders/>
            <w:vAlign w:val="center"/>
          </w:tcPr>
          <w:p>
            <w:pPr>
              <w:pStyle w:val="TableContents"/>
              <w:bidi w:val="0"/>
              <w:jc w:val="right"/>
              <w:rPr/>
            </w:pPr>
            <w:r>
              <w:rPr/>
              <w:t>251.2 [225.7; 7 out]</w:t>
            </w:r>
          </w:p>
        </w:tc>
      </w:tr>
      <w:tr>
        <w:trPr/>
        <w:tc>
          <w:tcPr>
            <w:tcW w:w="2281" w:type="dxa"/>
            <w:tcBorders/>
            <w:vAlign w:val="center"/>
          </w:tcPr>
          <w:p>
            <w:pPr>
              <w:pStyle w:val="TableContents"/>
              <w:widowControl w:val="false"/>
              <w:suppressLineNumbers/>
              <w:bidi w:val="0"/>
              <w:jc w:val="left"/>
              <w:rPr/>
            </w:pPr>
            <w:r>
              <w:rPr>
                <w:rStyle w:val="SourceText"/>
              </w:rPr>
              <w:t>+ stand occupancy, schedule-anchored</w:t>
            </w:r>
            <w:r>
              <w:rPr/>
              <w:t xml:space="preserve"> (diagnostic)</w:t>
            </w:r>
          </w:p>
        </w:tc>
        <w:tc>
          <w:tcPr>
            <w:tcW w:w="791" w:type="dxa"/>
            <w:tcBorders/>
            <w:vAlign w:val="center"/>
          </w:tcPr>
          <w:p>
            <w:pPr>
              <w:pStyle w:val="TableContents"/>
              <w:bidi w:val="0"/>
              <w:jc w:val="right"/>
              <w:rPr/>
            </w:pPr>
            <w:r>
              <w:rPr/>
              <w:t>356.0 [245.5; 2 out]</w:t>
            </w:r>
          </w:p>
        </w:tc>
        <w:tc>
          <w:tcPr>
            <w:tcW w:w="791" w:type="dxa"/>
            <w:tcBorders/>
            <w:vAlign w:val="center"/>
          </w:tcPr>
          <w:p>
            <w:pPr>
              <w:pStyle w:val="TableContents"/>
              <w:bidi w:val="0"/>
              <w:jc w:val="right"/>
              <w:rPr/>
            </w:pPr>
            <w:r>
              <w:rPr/>
              <w:t>280.5 [276.7; 1 out]</w:t>
            </w:r>
          </w:p>
        </w:tc>
        <w:tc>
          <w:tcPr>
            <w:tcW w:w="791" w:type="dxa"/>
            <w:tcBorders/>
            <w:vAlign w:val="center"/>
          </w:tcPr>
          <w:p>
            <w:pPr>
              <w:pStyle w:val="TableContents"/>
              <w:bidi w:val="0"/>
              <w:jc w:val="right"/>
              <w:rPr/>
            </w:pPr>
            <w:r>
              <w:rPr/>
              <w:t>210.4 [205.7; 1 out]</w:t>
            </w:r>
          </w:p>
        </w:tc>
        <w:tc>
          <w:tcPr>
            <w:tcW w:w="646" w:type="dxa"/>
            <w:tcBorders/>
            <w:vAlign w:val="center"/>
          </w:tcPr>
          <w:p>
            <w:pPr>
              <w:pStyle w:val="TableContents"/>
              <w:bidi w:val="0"/>
              <w:jc w:val="right"/>
              <w:rPr/>
            </w:pPr>
            <w:r>
              <w:rPr/>
              <w:t>197.9</w:t>
            </w:r>
          </w:p>
        </w:tc>
        <w:tc>
          <w:tcPr>
            <w:tcW w:w="791" w:type="dxa"/>
            <w:tcBorders/>
            <w:vAlign w:val="center"/>
          </w:tcPr>
          <w:p>
            <w:pPr>
              <w:pStyle w:val="TableContents"/>
              <w:bidi w:val="0"/>
              <w:jc w:val="right"/>
              <w:rPr/>
            </w:pPr>
            <w:r>
              <w:rPr/>
              <w:t>290.5 [208.3; 1 out]</w:t>
            </w:r>
          </w:p>
        </w:tc>
        <w:tc>
          <w:tcPr>
            <w:tcW w:w="646" w:type="dxa"/>
            <w:tcBorders/>
            <w:vAlign w:val="center"/>
          </w:tcPr>
          <w:p>
            <w:pPr>
              <w:pStyle w:val="TableContents"/>
              <w:bidi w:val="0"/>
              <w:jc w:val="right"/>
              <w:rPr/>
            </w:pPr>
            <w:r>
              <w:rPr/>
              <w:t>231.2</w:t>
            </w:r>
          </w:p>
        </w:tc>
        <w:tc>
          <w:tcPr>
            <w:tcW w:w="791" w:type="dxa"/>
            <w:tcBorders/>
            <w:vAlign w:val="center"/>
          </w:tcPr>
          <w:p>
            <w:pPr>
              <w:pStyle w:val="TableContents"/>
              <w:bidi w:val="0"/>
              <w:jc w:val="right"/>
              <w:rPr/>
            </w:pPr>
            <w:r>
              <w:rPr/>
              <w:t>330.3 [269.6; 2 out]</w:t>
            </w:r>
          </w:p>
        </w:tc>
        <w:tc>
          <w:tcPr>
            <w:tcW w:w="646" w:type="dxa"/>
            <w:tcBorders/>
            <w:vAlign w:val="center"/>
          </w:tcPr>
          <w:p>
            <w:pPr>
              <w:pStyle w:val="TableContents"/>
              <w:bidi w:val="0"/>
              <w:jc w:val="right"/>
              <w:rPr/>
            </w:pPr>
            <w:r>
              <w:rPr/>
              <w:t>230.0</w:t>
            </w:r>
          </w:p>
        </w:tc>
        <w:tc>
          <w:tcPr>
            <w:tcW w:w="646" w:type="dxa"/>
            <w:tcBorders/>
            <w:vAlign w:val="center"/>
          </w:tcPr>
          <w:p>
            <w:pPr>
              <w:pStyle w:val="TableContents"/>
              <w:bidi w:val="0"/>
              <w:jc w:val="right"/>
              <w:rPr/>
            </w:pPr>
            <w:r>
              <w:rPr/>
              <w:t>225.4</w:t>
            </w:r>
          </w:p>
        </w:tc>
        <w:tc>
          <w:tcPr>
            <w:tcW w:w="646" w:type="dxa"/>
            <w:tcBorders/>
            <w:vAlign w:val="center"/>
          </w:tcPr>
          <w:p>
            <w:pPr>
              <w:pStyle w:val="TableContents"/>
              <w:bidi w:val="0"/>
              <w:jc w:val="right"/>
              <w:rPr/>
            </w:pPr>
            <w:r>
              <w:rPr/>
              <w:t>225.6</w:t>
            </w:r>
          </w:p>
        </w:tc>
        <w:tc>
          <w:tcPr>
            <w:tcW w:w="646" w:type="dxa"/>
            <w:tcBorders/>
            <w:vAlign w:val="center"/>
          </w:tcPr>
          <w:p>
            <w:pPr>
              <w:pStyle w:val="TableContents"/>
              <w:bidi w:val="0"/>
              <w:jc w:val="right"/>
              <w:rPr/>
            </w:pPr>
            <w:r>
              <w:rPr/>
              <w:t>221.8</w:t>
            </w:r>
          </w:p>
        </w:tc>
        <w:tc>
          <w:tcPr>
            <w:tcW w:w="646" w:type="dxa"/>
            <w:tcBorders/>
            <w:vAlign w:val="center"/>
          </w:tcPr>
          <w:p>
            <w:pPr>
              <w:pStyle w:val="TableContents"/>
              <w:bidi w:val="0"/>
              <w:jc w:val="right"/>
              <w:rPr/>
            </w:pPr>
            <w:r>
              <w:rPr/>
              <w:t>224.7</w:t>
            </w:r>
          </w:p>
        </w:tc>
        <w:tc>
          <w:tcPr>
            <w:tcW w:w="836" w:type="dxa"/>
            <w:tcBorders/>
            <w:vAlign w:val="center"/>
          </w:tcPr>
          <w:p>
            <w:pPr>
              <w:pStyle w:val="TableContents"/>
              <w:bidi w:val="0"/>
              <w:jc w:val="right"/>
              <w:rPr/>
            </w:pPr>
            <w:r>
              <w:rPr/>
              <w:t>255.8 [230.8; 7 out]</w:t>
            </w:r>
          </w:p>
        </w:tc>
      </w:tr>
      <w:tr>
        <w:trPr/>
        <w:tc>
          <w:tcPr>
            <w:tcW w:w="2281" w:type="dxa"/>
            <w:tcBorders/>
            <w:vAlign w:val="center"/>
          </w:tcPr>
          <w:p>
            <w:pPr>
              <w:pStyle w:val="TableContents"/>
              <w:widowControl w:val="false"/>
              <w:suppressLineNumbers/>
              <w:bidi w:val="0"/>
              <w:jc w:val="left"/>
              <w:rPr/>
            </w:pPr>
            <w:r>
              <w:rPr>
                <w:rStyle w:val="SourceText"/>
              </w:rPr>
              <w:t>+ callsign prefix</w:t>
            </w:r>
          </w:p>
        </w:tc>
        <w:tc>
          <w:tcPr>
            <w:tcW w:w="791" w:type="dxa"/>
            <w:tcBorders/>
            <w:vAlign w:val="center"/>
          </w:tcPr>
          <w:p>
            <w:pPr>
              <w:pStyle w:val="TableContents"/>
              <w:bidi w:val="0"/>
              <w:jc w:val="right"/>
              <w:rPr/>
            </w:pPr>
            <w:r>
              <w:rPr/>
              <w:t>349.5 [236.0; 2 out]</w:t>
            </w:r>
          </w:p>
        </w:tc>
        <w:tc>
          <w:tcPr>
            <w:tcW w:w="791" w:type="dxa"/>
            <w:tcBorders/>
            <w:vAlign w:val="center"/>
          </w:tcPr>
          <w:p>
            <w:pPr>
              <w:pStyle w:val="TableContents"/>
              <w:bidi w:val="0"/>
              <w:jc w:val="right"/>
              <w:rPr/>
            </w:pPr>
            <w:r>
              <w:rPr/>
              <w:t>272.1 [268.2; 1 out]</w:t>
            </w:r>
          </w:p>
        </w:tc>
        <w:tc>
          <w:tcPr>
            <w:tcW w:w="791" w:type="dxa"/>
            <w:tcBorders/>
            <w:vAlign w:val="center"/>
          </w:tcPr>
          <w:p>
            <w:pPr>
              <w:pStyle w:val="TableContents"/>
              <w:bidi w:val="0"/>
              <w:jc w:val="right"/>
              <w:rPr/>
            </w:pPr>
            <w:r>
              <w:rPr/>
              <w:t>203.9 [199.1; 1 out]</w:t>
            </w:r>
          </w:p>
        </w:tc>
        <w:tc>
          <w:tcPr>
            <w:tcW w:w="646" w:type="dxa"/>
            <w:tcBorders/>
            <w:vAlign w:val="center"/>
          </w:tcPr>
          <w:p>
            <w:pPr>
              <w:pStyle w:val="TableContents"/>
              <w:bidi w:val="0"/>
              <w:jc w:val="right"/>
              <w:rPr/>
            </w:pPr>
            <w:r>
              <w:rPr/>
              <w:t>191.3</w:t>
            </w:r>
          </w:p>
        </w:tc>
        <w:tc>
          <w:tcPr>
            <w:tcW w:w="791" w:type="dxa"/>
            <w:tcBorders/>
            <w:vAlign w:val="center"/>
          </w:tcPr>
          <w:p>
            <w:pPr>
              <w:pStyle w:val="TableContents"/>
              <w:bidi w:val="0"/>
              <w:jc w:val="right"/>
              <w:rPr/>
            </w:pPr>
            <w:r>
              <w:rPr/>
              <w:t>284.5 [199.9; 1 out]</w:t>
            </w:r>
          </w:p>
        </w:tc>
        <w:tc>
          <w:tcPr>
            <w:tcW w:w="646" w:type="dxa"/>
            <w:tcBorders/>
            <w:vAlign w:val="center"/>
          </w:tcPr>
          <w:p>
            <w:pPr>
              <w:pStyle w:val="TableContents"/>
              <w:bidi w:val="0"/>
              <w:jc w:val="right"/>
              <w:rPr/>
            </w:pPr>
            <w:r>
              <w:rPr/>
              <w:t>222.3</w:t>
            </w:r>
          </w:p>
        </w:tc>
        <w:tc>
          <w:tcPr>
            <w:tcW w:w="791" w:type="dxa"/>
            <w:tcBorders/>
            <w:vAlign w:val="center"/>
          </w:tcPr>
          <w:p>
            <w:pPr>
              <w:pStyle w:val="TableContents"/>
              <w:bidi w:val="0"/>
              <w:jc w:val="right"/>
              <w:rPr/>
            </w:pPr>
            <w:r>
              <w:rPr/>
              <w:t>319.4 [258.1; 2 out]</w:t>
            </w:r>
          </w:p>
        </w:tc>
        <w:tc>
          <w:tcPr>
            <w:tcW w:w="646" w:type="dxa"/>
            <w:tcBorders/>
            <w:vAlign w:val="center"/>
          </w:tcPr>
          <w:p>
            <w:pPr>
              <w:pStyle w:val="TableContents"/>
              <w:bidi w:val="0"/>
              <w:jc w:val="right"/>
              <w:rPr/>
            </w:pPr>
            <w:r>
              <w:rPr/>
              <w:t>220.9</w:t>
            </w:r>
          </w:p>
        </w:tc>
        <w:tc>
          <w:tcPr>
            <w:tcW w:w="646" w:type="dxa"/>
            <w:tcBorders/>
            <w:vAlign w:val="center"/>
          </w:tcPr>
          <w:p>
            <w:pPr>
              <w:pStyle w:val="TableContents"/>
              <w:bidi w:val="0"/>
              <w:jc w:val="right"/>
              <w:rPr/>
            </w:pPr>
            <w:r>
              <w:rPr/>
              <w:t>217.1</w:t>
            </w:r>
          </w:p>
        </w:tc>
        <w:tc>
          <w:tcPr>
            <w:tcW w:w="646" w:type="dxa"/>
            <w:tcBorders/>
            <w:vAlign w:val="center"/>
          </w:tcPr>
          <w:p>
            <w:pPr>
              <w:pStyle w:val="TableContents"/>
              <w:bidi w:val="0"/>
              <w:jc w:val="right"/>
              <w:rPr/>
            </w:pPr>
            <w:r>
              <w:rPr/>
              <w:t>217.8</w:t>
            </w:r>
          </w:p>
        </w:tc>
        <w:tc>
          <w:tcPr>
            <w:tcW w:w="646" w:type="dxa"/>
            <w:tcBorders/>
            <w:vAlign w:val="center"/>
          </w:tcPr>
          <w:p>
            <w:pPr>
              <w:pStyle w:val="TableContents"/>
              <w:bidi w:val="0"/>
              <w:jc w:val="right"/>
              <w:rPr/>
            </w:pPr>
            <w:r>
              <w:rPr/>
              <w:t>213.5</w:t>
            </w:r>
          </w:p>
        </w:tc>
        <w:tc>
          <w:tcPr>
            <w:tcW w:w="646" w:type="dxa"/>
            <w:tcBorders/>
            <w:vAlign w:val="center"/>
          </w:tcPr>
          <w:p>
            <w:pPr>
              <w:pStyle w:val="TableContents"/>
              <w:bidi w:val="0"/>
              <w:jc w:val="right"/>
              <w:rPr/>
            </w:pPr>
            <w:r>
              <w:rPr/>
              <w:t>217.6</w:t>
            </w:r>
          </w:p>
        </w:tc>
        <w:tc>
          <w:tcPr>
            <w:tcW w:w="836" w:type="dxa"/>
            <w:tcBorders/>
            <w:vAlign w:val="center"/>
          </w:tcPr>
          <w:p>
            <w:pPr>
              <w:pStyle w:val="TableContents"/>
              <w:bidi w:val="0"/>
              <w:jc w:val="right"/>
              <w:rPr/>
            </w:pPr>
            <w:r>
              <w:rPr/>
              <w:t>248.0 [222.3; 7 out]</w:t>
            </w:r>
          </w:p>
        </w:tc>
      </w:tr>
      <w:tr>
        <w:trPr/>
        <w:tc>
          <w:tcPr>
            <w:tcW w:w="2281" w:type="dxa"/>
            <w:tcBorders/>
            <w:vAlign w:val="center"/>
          </w:tcPr>
          <w:p>
            <w:pPr>
              <w:pStyle w:val="TableContents"/>
              <w:widowControl w:val="false"/>
              <w:suppressLineNumbers/>
              <w:bidi w:val="0"/>
              <w:jc w:val="left"/>
              <w:rPr/>
            </w:pPr>
            <w:r>
              <w:rPr>
                <w:rStyle w:val="SourceText"/>
              </w:rPr>
              <w:t>+ destination and holidays</w:t>
            </w:r>
          </w:p>
        </w:tc>
        <w:tc>
          <w:tcPr>
            <w:tcW w:w="791" w:type="dxa"/>
            <w:tcBorders/>
            <w:vAlign w:val="center"/>
          </w:tcPr>
          <w:p>
            <w:pPr>
              <w:pStyle w:val="TableContents"/>
              <w:bidi w:val="0"/>
              <w:jc w:val="right"/>
              <w:rPr/>
            </w:pPr>
            <w:r>
              <w:rPr/>
              <w:t>349.1 [235.3; 2 out]</w:t>
            </w:r>
          </w:p>
        </w:tc>
        <w:tc>
          <w:tcPr>
            <w:tcW w:w="791" w:type="dxa"/>
            <w:tcBorders/>
            <w:vAlign w:val="center"/>
          </w:tcPr>
          <w:p>
            <w:pPr>
              <w:pStyle w:val="TableContents"/>
              <w:bidi w:val="0"/>
              <w:jc w:val="right"/>
              <w:rPr/>
            </w:pPr>
            <w:r>
              <w:rPr/>
              <w:t>269.1 [265.2; 1 out]</w:t>
            </w:r>
          </w:p>
        </w:tc>
        <w:tc>
          <w:tcPr>
            <w:tcW w:w="791" w:type="dxa"/>
            <w:tcBorders/>
            <w:vAlign w:val="center"/>
          </w:tcPr>
          <w:p>
            <w:pPr>
              <w:pStyle w:val="TableContents"/>
              <w:bidi w:val="0"/>
              <w:jc w:val="right"/>
              <w:rPr/>
            </w:pPr>
            <w:r>
              <w:rPr/>
              <w:t>202.9 [198.5; 1 out]</w:t>
            </w:r>
          </w:p>
        </w:tc>
        <w:tc>
          <w:tcPr>
            <w:tcW w:w="646" w:type="dxa"/>
            <w:tcBorders/>
            <w:vAlign w:val="center"/>
          </w:tcPr>
          <w:p>
            <w:pPr>
              <w:pStyle w:val="TableContents"/>
              <w:bidi w:val="0"/>
              <w:jc w:val="right"/>
              <w:rPr/>
            </w:pPr>
            <w:r>
              <w:rPr/>
              <w:t>189.7</w:t>
            </w:r>
          </w:p>
        </w:tc>
        <w:tc>
          <w:tcPr>
            <w:tcW w:w="791" w:type="dxa"/>
            <w:tcBorders/>
            <w:vAlign w:val="center"/>
          </w:tcPr>
          <w:p>
            <w:pPr>
              <w:pStyle w:val="TableContents"/>
              <w:bidi w:val="0"/>
              <w:jc w:val="right"/>
              <w:rPr/>
            </w:pPr>
            <w:r>
              <w:rPr/>
              <w:t>283.6 [198.5; 1 out]</w:t>
            </w:r>
          </w:p>
        </w:tc>
        <w:tc>
          <w:tcPr>
            <w:tcW w:w="646" w:type="dxa"/>
            <w:tcBorders/>
            <w:vAlign w:val="center"/>
          </w:tcPr>
          <w:p>
            <w:pPr>
              <w:pStyle w:val="TableContents"/>
              <w:bidi w:val="0"/>
              <w:jc w:val="right"/>
              <w:rPr/>
            </w:pPr>
            <w:r>
              <w:rPr/>
              <w:t>221.0</w:t>
            </w:r>
          </w:p>
        </w:tc>
        <w:tc>
          <w:tcPr>
            <w:tcW w:w="791" w:type="dxa"/>
            <w:tcBorders/>
            <w:vAlign w:val="center"/>
          </w:tcPr>
          <w:p>
            <w:pPr>
              <w:pStyle w:val="TableContents"/>
              <w:bidi w:val="0"/>
              <w:jc w:val="right"/>
              <w:rPr/>
            </w:pPr>
            <w:r>
              <w:rPr/>
              <w:t>318.4 [255.6; 2 out]</w:t>
            </w:r>
          </w:p>
        </w:tc>
        <w:tc>
          <w:tcPr>
            <w:tcW w:w="646" w:type="dxa"/>
            <w:tcBorders/>
            <w:vAlign w:val="center"/>
          </w:tcPr>
          <w:p>
            <w:pPr>
              <w:pStyle w:val="TableContents"/>
              <w:bidi w:val="0"/>
              <w:jc w:val="right"/>
              <w:rPr/>
            </w:pPr>
            <w:r>
              <w:rPr/>
              <w:t>218.7</w:t>
            </w:r>
          </w:p>
        </w:tc>
        <w:tc>
          <w:tcPr>
            <w:tcW w:w="646" w:type="dxa"/>
            <w:tcBorders/>
            <w:vAlign w:val="center"/>
          </w:tcPr>
          <w:p>
            <w:pPr>
              <w:pStyle w:val="TableContents"/>
              <w:bidi w:val="0"/>
              <w:jc w:val="right"/>
              <w:rPr/>
            </w:pPr>
            <w:r>
              <w:rPr/>
              <w:t>215.4</w:t>
            </w:r>
          </w:p>
        </w:tc>
        <w:tc>
          <w:tcPr>
            <w:tcW w:w="646" w:type="dxa"/>
            <w:tcBorders/>
            <w:vAlign w:val="center"/>
          </w:tcPr>
          <w:p>
            <w:pPr>
              <w:pStyle w:val="TableContents"/>
              <w:bidi w:val="0"/>
              <w:jc w:val="right"/>
              <w:rPr/>
            </w:pPr>
            <w:r>
              <w:rPr/>
              <w:t>216.0</w:t>
            </w:r>
          </w:p>
        </w:tc>
        <w:tc>
          <w:tcPr>
            <w:tcW w:w="646" w:type="dxa"/>
            <w:tcBorders/>
            <w:vAlign w:val="center"/>
          </w:tcPr>
          <w:p>
            <w:pPr>
              <w:pStyle w:val="TableContents"/>
              <w:bidi w:val="0"/>
              <w:jc w:val="right"/>
              <w:rPr/>
            </w:pPr>
            <w:r>
              <w:rPr/>
              <w:t>212.7</w:t>
            </w:r>
          </w:p>
        </w:tc>
        <w:tc>
          <w:tcPr>
            <w:tcW w:w="646" w:type="dxa"/>
            <w:tcBorders/>
            <w:vAlign w:val="center"/>
          </w:tcPr>
          <w:p>
            <w:pPr>
              <w:pStyle w:val="TableContents"/>
              <w:bidi w:val="0"/>
              <w:jc w:val="right"/>
              <w:rPr/>
            </w:pPr>
            <w:r>
              <w:rPr/>
              <w:t>215.8</w:t>
            </w:r>
          </w:p>
        </w:tc>
        <w:tc>
          <w:tcPr>
            <w:tcW w:w="836" w:type="dxa"/>
            <w:tcBorders/>
            <w:vAlign w:val="center"/>
          </w:tcPr>
          <w:p>
            <w:pPr>
              <w:pStyle w:val="TableContents"/>
              <w:bidi w:val="0"/>
              <w:jc w:val="right"/>
              <w:rPr/>
            </w:pPr>
            <w:r>
              <w:rPr/>
              <w:t>246.6 [220.6; 7 out]</w:t>
            </w:r>
          </w:p>
        </w:tc>
      </w:tr>
      <w:tr>
        <w:trPr/>
        <w:tc>
          <w:tcPr>
            <w:tcW w:w="2281" w:type="dxa"/>
            <w:tcBorders/>
            <w:vAlign w:val="center"/>
          </w:tcPr>
          <w:p>
            <w:pPr>
              <w:pStyle w:val="TableContents"/>
              <w:widowControl w:val="false"/>
              <w:suppressLineNumbers/>
              <w:bidi w:val="0"/>
              <w:jc w:val="left"/>
              <w:rPr/>
            </w:pPr>
            <w:r>
              <w:rPr>
                <w:rStyle w:val="SourceText"/>
              </w:rPr>
              <w:t>+ plan differences</w:t>
            </w:r>
          </w:p>
        </w:tc>
        <w:tc>
          <w:tcPr>
            <w:tcW w:w="791" w:type="dxa"/>
            <w:tcBorders/>
            <w:vAlign w:val="center"/>
          </w:tcPr>
          <w:p>
            <w:pPr>
              <w:pStyle w:val="TableContents"/>
              <w:bidi w:val="0"/>
              <w:jc w:val="right"/>
              <w:rPr/>
            </w:pPr>
            <w:r>
              <w:rPr/>
              <w:t>347.5 [233.1; 2 out]</w:t>
            </w:r>
          </w:p>
        </w:tc>
        <w:tc>
          <w:tcPr>
            <w:tcW w:w="791" w:type="dxa"/>
            <w:tcBorders/>
            <w:vAlign w:val="center"/>
          </w:tcPr>
          <w:p>
            <w:pPr>
              <w:pStyle w:val="TableContents"/>
              <w:bidi w:val="0"/>
              <w:jc w:val="right"/>
              <w:rPr/>
            </w:pPr>
            <w:r>
              <w:rPr/>
              <w:t>267.9 [263.9; 1 out]</w:t>
            </w:r>
          </w:p>
        </w:tc>
        <w:tc>
          <w:tcPr>
            <w:tcW w:w="791" w:type="dxa"/>
            <w:tcBorders/>
            <w:vAlign w:val="center"/>
          </w:tcPr>
          <w:p>
            <w:pPr>
              <w:pStyle w:val="TableContents"/>
              <w:bidi w:val="0"/>
              <w:jc w:val="right"/>
              <w:rPr/>
            </w:pPr>
            <w:r>
              <w:rPr/>
              <w:t>201.4 [197.4; 1 out]</w:t>
            </w:r>
          </w:p>
        </w:tc>
        <w:tc>
          <w:tcPr>
            <w:tcW w:w="646" w:type="dxa"/>
            <w:tcBorders/>
            <w:vAlign w:val="center"/>
          </w:tcPr>
          <w:p>
            <w:pPr>
              <w:pStyle w:val="TableContents"/>
              <w:bidi w:val="0"/>
              <w:jc w:val="right"/>
              <w:rPr/>
            </w:pPr>
            <w:r>
              <w:rPr/>
              <w:t>189.1</w:t>
            </w:r>
          </w:p>
        </w:tc>
        <w:tc>
          <w:tcPr>
            <w:tcW w:w="791" w:type="dxa"/>
            <w:tcBorders/>
            <w:vAlign w:val="center"/>
          </w:tcPr>
          <w:p>
            <w:pPr>
              <w:pStyle w:val="TableContents"/>
              <w:bidi w:val="0"/>
              <w:jc w:val="right"/>
              <w:rPr/>
            </w:pPr>
            <w:r>
              <w:rPr/>
              <w:t>282.3 [196.7; 1 out]</w:t>
            </w:r>
          </w:p>
        </w:tc>
        <w:tc>
          <w:tcPr>
            <w:tcW w:w="646" w:type="dxa"/>
            <w:tcBorders/>
            <w:vAlign w:val="center"/>
          </w:tcPr>
          <w:p>
            <w:pPr>
              <w:pStyle w:val="TableContents"/>
              <w:bidi w:val="0"/>
              <w:jc w:val="right"/>
              <w:rPr/>
            </w:pPr>
            <w:r>
              <w:rPr/>
              <w:t>218.9</w:t>
            </w:r>
          </w:p>
        </w:tc>
        <w:tc>
          <w:tcPr>
            <w:tcW w:w="791" w:type="dxa"/>
            <w:tcBorders/>
            <w:vAlign w:val="center"/>
          </w:tcPr>
          <w:p>
            <w:pPr>
              <w:pStyle w:val="TableContents"/>
              <w:bidi w:val="0"/>
              <w:jc w:val="right"/>
              <w:rPr/>
            </w:pPr>
            <w:r>
              <w:rPr/>
              <w:t>312.5 [252.3; 2 out]</w:t>
            </w:r>
          </w:p>
        </w:tc>
        <w:tc>
          <w:tcPr>
            <w:tcW w:w="646" w:type="dxa"/>
            <w:tcBorders/>
            <w:vAlign w:val="center"/>
          </w:tcPr>
          <w:p>
            <w:pPr>
              <w:pStyle w:val="TableContents"/>
              <w:bidi w:val="0"/>
              <w:jc w:val="right"/>
              <w:rPr/>
            </w:pPr>
            <w:r>
              <w:rPr/>
              <w:t>217.1</w:t>
            </w:r>
          </w:p>
        </w:tc>
        <w:tc>
          <w:tcPr>
            <w:tcW w:w="646" w:type="dxa"/>
            <w:tcBorders/>
            <w:vAlign w:val="center"/>
          </w:tcPr>
          <w:p>
            <w:pPr>
              <w:pStyle w:val="TableContents"/>
              <w:bidi w:val="0"/>
              <w:jc w:val="right"/>
              <w:rPr/>
            </w:pPr>
            <w:r>
              <w:rPr/>
              <w:t>212.6</w:t>
            </w:r>
          </w:p>
        </w:tc>
        <w:tc>
          <w:tcPr>
            <w:tcW w:w="646" w:type="dxa"/>
            <w:tcBorders/>
            <w:vAlign w:val="center"/>
          </w:tcPr>
          <w:p>
            <w:pPr>
              <w:pStyle w:val="TableContents"/>
              <w:bidi w:val="0"/>
              <w:jc w:val="right"/>
              <w:rPr/>
            </w:pPr>
            <w:r>
              <w:rPr/>
              <w:t>212.6</w:t>
            </w:r>
          </w:p>
        </w:tc>
        <w:tc>
          <w:tcPr>
            <w:tcW w:w="646" w:type="dxa"/>
            <w:tcBorders/>
            <w:vAlign w:val="center"/>
          </w:tcPr>
          <w:p>
            <w:pPr>
              <w:pStyle w:val="TableContents"/>
              <w:bidi w:val="0"/>
              <w:jc w:val="right"/>
              <w:rPr/>
            </w:pPr>
            <w:r>
              <w:rPr/>
              <w:t>211.3</w:t>
            </w:r>
          </w:p>
        </w:tc>
        <w:tc>
          <w:tcPr>
            <w:tcW w:w="646" w:type="dxa"/>
            <w:tcBorders/>
            <w:vAlign w:val="center"/>
          </w:tcPr>
          <w:p>
            <w:pPr>
              <w:pStyle w:val="TableContents"/>
              <w:bidi w:val="0"/>
              <w:jc w:val="right"/>
              <w:rPr/>
            </w:pPr>
            <w:r>
              <w:rPr/>
              <w:t>214.7</w:t>
            </w:r>
          </w:p>
        </w:tc>
        <w:tc>
          <w:tcPr>
            <w:tcW w:w="836" w:type="dxa"/>
            <w:tcBorders/>
            <w:vAlign w:val="center"/>
          </w:tcPr>
          <w:p>
            <w:pPr>
              <w:pStyle w:val="TableContents"/>
              <w:bidi w:val="0"/>
              <w:jc w:val="right"/>
              <w:rPr/>
            </w:pPr>
            <w:r>
              <w:rPr/>
              <w:t>244.4 [218.7; 7 out]</w:t>
            </w:r>
          </w:p>
        </w:tc>
      </w:tr>
      <w:tr>
        <w:trPr/>
        <w:tc>
          <w:tcPr>
            <w:tcW w:w="2281" w:type="dxa"/>
            <w:tcBorders/>
            <w:vAlign w:val="center"/>
          </w:tcPr>
          <w:p>
            <w:pPr>
              <w:pStyle w:val="TableContents"/>
              <w:widowControl w:val="false"/>
              <w:suppressLineNumbers/>
              <w:bidi w:val="0"/>
              <w:jc w:val="left"/>
              <w:rPr/>
            </w:pPr>
            <w:r>
              <w:rPr>
                <w:rStyle w:val="SourceText"/>
              </w:rPr>
              <w:t>+ runway saturation</w:t>
            </w:r>
          </w:p>
        </w:tc>
        <w:tc>
          <w:tcPr>
            <w:tcW w:w="791" w:type="dxa"/>
            <w:tcBorders/>
            <w:vAlign w:val="center"/>
          </w:tcPr>
          <w:p>
            <w:pPr>
              <w:pStyle w:val="TableContents"/>
              <w:bidi w:val="0"/>
              <w:jc w:val="right"/>
              <w:rPr/>
            </w:pPr>
            <w:r>
              <w:rPr/>
              <w:t>360.8 [252.3; 2 out]</w:t>
            </w:r>
          </w:p>
        </w:tc>
        <w:tc>
          <w:tcPr>
            <w:tcW w:w="791" w:type="dxa"/>
            <w:tcBorders/>
            <w:vAlign w:val="center"/>
          </w:tcPr>
          <w:p>
            <w:pPr>
              <w:pStyle w:val="TableContents"/>
              <w:bidi w:val="0"/>
              <w:jc w:val="right"/>
              <w:rPr/>
            </w:pPr>
            <w:r>
              <w:rPr/>
              <w:t>288.0 [284.3; 1 out]</w:t>
            </w:r>
          </w:p>
        </w:tc>
        <w:tc>
          <w:tcPr>
            <w:tcW w:w="791" w:type="dxa"/>
            <w:tcBorders/>
            <w:vAlign w:val="center"/>
          </w:tcPr>
          <w:p>
            <w:pPr>
              <w:pStyle w:val="TableContents"/>
              <w:bidi w:val="0"/>
              <w:jc w:val="right"/>
              <w:rPr/>
            </w:pPr>
            <w:r>
              <w:rPr/>
              <w:t>215.9 [211.2; 1 out]</w:t>
            </w:r>
          </w:p>
        </w:tc>
        <w:tc>
          <w:tcPr>
            <w:tcW w:w="646" w:type="dxa"/>
            <w:tcBorders/>
            <w:vAlign w:val="center"/>
          </w:tcPr>
          <w:p>
            <w:pPr>
              <w:pStyle w:val="TableContents"/>
              <w:bidi w:val="0"/>
              <w:jc w:val="right"/>
              <w:rPr/>
            </w:pPr>
            <w:r>
              <w:rPr/>
              <w:t>204.1</w:t>
            </w:r>
          </w:p>
        </w:tc>
        <w:tc>
          <w:tcPr>
            <w:tcW w:w="791" w:type="dxa"/>
            <w:tcBorders/>
            <w:vAlign w:val="center"/>
          </w:tcPr>
          <w:p>
            <w:pPr>
              <w:pStyle w:val="TableContents"/>
              <w:bidi w:val="0"/>
              <w:jc w:val="right"/>
              <w:rPr/>
            </w:pPr>
            <w:r>
              <w:rPr/>
              <w:t>294.7 [214.3; 1 out]</w:t>
            </w:r>
          </w:p>
        </w:tc>
        <w:tc>
          <w:tcPr>
            <w:tcW w:w="646" w:type="dxa"/>
            <w:tcBorders/>
            <w:vAlign w:val="center"/>
          </w:tcPr>
          <w:p>
            <w:pPr>
              <w:pStyle w:val="TableContents"/>
              <w:bidi w:val="0"/>
              <w:jc w:val="right"/>
              <w:rPr/>
            </w:pPr>
            <w:r>
              <w:rPr/>
              <w:t>236.1</w:t>
            </w:r>
          </w:p>
        </w:tc>
        <w:tc>
          <w:tcPr>
            <w:tcW w:w="791" w:type="dxa"/>
            <w:tcBorders/>
            <w:vAlign w:val="center"/>
          </w:tcPr>
          <w:p>
            <w:pPr>
              <w:pStyle w:val="TableContents"/>
              <w:bidi w:val="0"/>
              <w:jc w:val="right"/>
              <w:rPr/>
            </w:pPr>
            <w:r>
              <w:rPr/>
              <w:t>334.1 [276.8; 2 out]</w:t>
            </w:r>
          </w:p>
        </w:tc>
        <w:tc>
          <w:tcPr>
            <w:tcW w:w="646" w:type="dxa"/>
            <w:tcBorders/>
            <w:vAlign w:val="center"/>
          </w:tcPr>
          <w:p>
            <w:pPr>
              <w:pStyle w:val="TableContents"/>
              <w:bidi w:val="0"/>
              <w:jc w:val="right"/>
              <w:rPr/>
            </w:pPr>
            <w:r>
              <w:rPr/>
              <w:t>236.4</w:t>
            </w:r>
          </w:p>
        </w:tc>
        <w:tc>
          <w:tcPr>
            <w:tcW w:w="646" w:type="dxa"/>
            <w:tcBorders/>
            <w:vAlign w:val="center"/>
          </w:tcPr>
          <w:p>
            <w:pPr>
              <w:pStyle w:val="TableContents"/>
              <w:bidi w:val="0"/>
              <w:jc w:val="right"/>
              <w:rPr/>
            </w:pPr>
            <w:r>
              <w:rPr/>
              <w:t>230.8</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226.9</w:t>
            </w:r>
          </w:p>
        </w:tc>
        <w:tc>
          <w:tcPr>
            <w:tcW w:w="646" w:type="dxa"/>
            <w:tcBorders/>
            <w:vAlign w:val="center"/>
          </w:tcPr>
          <w:p>
            <w:pPr>
              <w:pStyle w:val="TableContents"/>
              <w:bidi w:val="0"/>
              <w:jc w:val="right"/>
              <w:rPr/>
            </w:pPr>
            <w:r>
              <w:rPr/>
              <w:t>232.7</w:t>
            </w:r>
          </w:p>
        </w:tc>
        <w:tc>
          <w:tcPr>
            <w:tcW w:w="836" w:type="dxa"/>
            <w:tcBorders/>
            <w:vAlign w:val="center"/>
          </w:tcPr>
          <w:p>
            <w:pPr>
              <w:pStyle w:val="TableContents"/>
              <w:bidi w:val="0"/>
              <w:jc w:val="right"/>
              <w:rPr/>
            </w:pPr>
            <w:r>
              <w:rPr/>
              <w:t>261.2 [237.1; 7 out]</w:t>
            </w:r>
          </w:p>
        </w:tc>
      </w:tr>
      <w:tr>
        <w:trPr/>
        <w:tc>
          <w:tcPr>
            <w:tcW w:w="2281" w:type="dxa"/>
            <w:tcBorders/>
            <w:vAlign w:val="center"/>
          </w:tcPr>
          <w:p>
            <w:pPr>
              <w:pStyle w:val="TableContents"/>
              <w:widowControl w:val="false"/>
              <w:suppressLineNumbers/>
              <w:bidi w:val="0"/>
              <w:jc w:val="left"/>
              <w:rPr/>
            </w:pPr>
            <w:r>
              <w:rPr>
                <w:rStyle w:val="SourceText"/>
              </w:rPr>
              <w:t>+ runway throughput (without plan lags)</w:t>
            </w:r>
          </w:p>
        </w:tc>
        <w:tc>
          <w:tcPr>
            <w:tcW w:w="791" w:type="dxa"/>
            <w:tcBorders/>
            <w:vAlign w:val="center"/>
          </w:tcPr>
          <w:p>
            <w:pPr>
              <w:pStyle w:val="TableContents"/>
              <w:bidi w:val="0"/>
              <w:jc w:val="right"/>
              <w:rPr/>
            </w:pPr>
            <w:r>
              <w:rPr/>
              <w:t>444.4 [362.2; 2 out]</w:t>
            </w:r>
          </w:p>
        </w:tc>
        <w:tc>
          <w:tcPr>
            <w:tcW w:w="791" w:type="dxa"/>
            <w:tcBorders/>
            <w:vAlign w:val="center"/>
          </w:tcPr>
          <w:p>
            <w:pPr>
              <w:pStyle w:val="TableContents"/>
              <w:bidi w:val="0"/>
              <w:jc w:val="right"/>
              <w:rPr/>
            </w:pPr>
            <w:r>
              <w:rPr/>
              <w:t>400.3 [397.6; 1 out]</w:t>
            </w:r>
          </w:p>
        </w:tc>
        <w:tc>
          <w:tcPr>
            <w:tcW w:w="791" w:type="dxa"/>
            <w:tcBorders/>
            <w:vAlign w:val="center"/>
          </w:tcPr>
          <w:p>
            <w:pPr>
              <w:pStyle w:val="TableContents"/>
              <w:bidi w:val="0"/>
              <w:jc w:val="right"/>
              <w:rPr/>
            </w:pPr>
            <w:r>
              <w:rPr/>
              <w:t>275.8 [271.1; 1 out]</w:t>
            </w:r>
          </w:p>
        </w:tc>
        <w:tc>
          <w:tcPr>
            <w:tcW w:w="646" w:type="dxa"/>
            <w:tcBorders/>
            <w:vAlign w:val="center"/>
          </w:tcPr>
          <w:p>
            <w:pPr>
              <w:pStyle w:val="TableContents"/>
              <w:bidi w:val="0"/>
              <w:jc w:val="right"/>
              <w:rPr/>
            </w:pPr>
            <w:r>
              <w:rPr/>
              <w:t>253.9</w:t>
            </w:r>
          </w:p>
        </w:tc>
        <w:tc>
          <w:tcPr>
            <w:tcW w:w="791" w:type="dxa"/>
            <w:tcBorders/>
            <w:vAlign w:val="center"/>
          </w:tcPr>
          <w:p>
            <w:pPr>
              <w:pStyle w:val="TableContents"/>
              <w:bidi w:val="0"/>
              <w:jc w:val="right"/>
              <w:rPr/>
            </w:pPr>
            <w:r>
              <w:rPr/>
              <w:t>333.2 [264.7; 1 out]</w:t>
            </w:r>
          </w:p>
        </w:tc>
        <w:tc>
          <w:tcPr>
            <w:tcW w:w="646" w:type="dxa"/>
            <w:tcBorders/>
            <w:vAlign w:val="center"/>
          </w:tcPr>
          <w:p>
            <w:pPr>
              <w:pStyle w:val="TableContents"/>
              <w:bidi w:val="0"/>
              <w:jc w:val="right"/>
              <w:rPr/>
            </w:pPr>
            <w:r>
              <w:rPr/>
              <w:t>287.6</w:t>
            </w:r>
          </w:p>
        </w:tc>
        <w:tc>
          <w:tcPr>
            <w:tcW w:w="791" w:type="dxa"/>
            <w:tcBorders/>
            <w:vAlign w:val="center"/>
          </w:tcPr>
          <w:p>
            <w:pPr>
              <w:pStyle w:val="TableContents"/>
              <w:bidi w:val="0"/>
              <w:jc w:val="right"/>
              <w:rPr/>
            </w:pPr>
            <w:r>
              <w:rPr/>
              <w:t>396.6 [342.6; 2 out]</w:t>
            </w:r>
          </w:p>
        </w:tc>
        <w:tc>
          <w:tcPr>
            <w:tcW w:w="646" w:type="dxa"/>
            <w:tcBorders/>
            <w:vAlign w:val="center"/>
          </w:tcPr>
          <w:p>
            <w:pPr>
              <w:pStyle w:val="TableContents"/>
              <w:bidi w:val="0"/>
              <w:jc w:val="right"/>
              <w:rPr/>
            </w:pPr>
            <w:r>
              <w:rPr/>
              <w:t>283.6</w:t>
            </w:r>
          </w:p>
        </w:tc>
        <w:tc>
          <w:tcPr>
            <w:tcW w:w="646" w:type="dxa"/>
            <w:tcBorders/>
            <w:vAlign w:val="center"/>
          </w:tcPr>
          <w:p>
            <w:pPr>
              <w:pStyle w:val="TableContents"/>
              <w:bidi w:val="0"/>
              <w:jc w:val="right"/>
              <w:rPr/>
            </w:pPr>
            <w:r>
              <w:rPr/>
              <w:t>278.3</w:t>
            </w:r>
          </w:p>
        </w:tc>
        <w:tc>
          <w:tcPr>
            <w:tcW w:w="646" w:type="dxa"/>
            <w:tcBorders/>
            <w:vAlign w:val="center"/>
          </w:tcPr>
          <w:p>
            <w:pPr>
              <w:pStyle w:val="TableContents"/>
              <w:bidi w:val="0"/>
              <w:jc w:val="right"/>
              <w:rPr/>
            </w:pPr>
            <w:r>
              <w:rPr/>
              <w:t>288.4</w:t>
            </w:r>
          </w:p>
        </w:tc>
        <w:tc>
          <w:tcPr>
            <w:tcW w:w="646" w:type="dxa"/>
            <w:tcBorders/>
            <w:vAlign w:val="center"/>
          </w:tcPr>
          <w:p>
            <w:pPr>
              <w:pStyle w:val="TableContents"/>
              <w:bidi w:val="0"/>
              <w:jc w:val="right"/>
              <w:rPr/>
            </w:pPr>
            <w:r>
              <w:rPr/>
              <w:t>296.4</w:t>
            </w:r>
          </w:p>
        </w:tc>
        <w:tc>
          <w:tcPr>
            <w:tcW w:w="646" w:type="dxa"/>
            <w:tcBorders/>
            <w:vAlign w:val="center"/>
          </w:tcPr>
          <w:p>
            <w:pPr>
              <w:pStyle w:val="TableContents"/>
              <w:bidi w:val="0"/>
              <w:jc w:val="right"/>
              <w:rPr/>
            </w:pPr>
            <w:r>
              <w:rPr/>
              <w:t>316.7</w:t>
            </w:r>
          </w:p>
        </w:tc>
        <w:tc>
          <w:tcPr>
            <w:tcW w:w="836" w:type="dxa"/>
            <w:tcBorders/>
            <w:vAlign w:val="center"/>
          </w:tcPr>
          <w:p>
            <w:pPr>
              <w:pStyle w:val="TableContents"/>
              <w:bidi w:val="0"/>
              <w:jc w:val="right"/>
              <w:rPr/>
            </w:pPr>
            <w:r>
              <w:rPr/>
              <w:t>324.0 [304.0; 7 out]</w:t>
            </w:r>
          </w:p>
        </w:tc>
      </w:tr>
      <w:tr>
        <w:trPr/>
        <w:tc>
          <w:tcPr>
            <w:tcW w:w="2281" w:type="dxa"/>
            <w:tcBorders/>
            <w:vAlign w:val="center"/>
          </w:tcPr>
          <w:p>
            <w:pPr>
              <w:pStyle w:val="TableContents"/>
              <w:widowControl w:val="false"/>
              <w:suppressLineNumbers/>
              <w:bidi w:val="0"/>
              <w:jc w:val="left"/>
              <w:rPr/>
            </w:pPr>
            <w:r>
              <w:rPr>
                <w:rStyle w:val="SourceText"/>
              </w:rPr>
              <w:t>+ arrivals (without plan lags)</w:t>
            </w:r>
          </w:p>
        </w:tc>
        <w:tc>
          <w:tcPr>
            <w:tcW w:w="791" w:type="dxa"/>
            <w:tcBorders/>
            <w:vAlign w:val="center"/>
          </w:tcPr>
          <w:p>
            <w:pPr>
              <w:pStyle w:val="TableContents"/>
              <w:bidi w:val="0"/>
              <w:jc w:val="right"/>
              <w:rPr/>
            </w:pPr>
            <w:r>
              <w:rPr/>
              <w:t>438.7 [354.9; 2 out]</w:t>
            </w:r>
          </w:p>
        </w:tc>
        <w:tc>
          <w:tcPr>
            <w:tcW w:w="791" w:type="dxa"/>
            <w:tcBorders/>
            <w:vAlign w:val="center"/>
          </w:tcPr>
          <w:p>
            <w:pPr>
              <w:pStyle w:val="TableContents"/>
              <w:bidi w:val="0"/>
              <w:jc w:val="right"/>
              <w:rPr/>
            </w:pPr>
            <w:r>
              <w:rPr/>
              <w:t>396.4 [393.7; 1 out]</w:t>
            </w:r>
          </w:p>
        </w:tc>
        <w:tc>
          <w:tcPr>
            <w:tcW w:w="791" w:type="dxa"/>
            <w:tcBorders/>
            <w:vAlign w:val="center"/>
          </w:tcPr>
          <w:p>
            <w:pPr>
              <w:pStyle w:val="TableContents"/>
              <w:bidi w:val="0"/>
              <w:jc w:val="right"/>
              <w:rPr/>
            </w:pPr>
            <w:r>
              <w:rPr/>
              <w:t>271.5 [266.7; 1 out]</w:t>
            </w:r>
          </w:p>
        </w:tc>
        <w:tc>
          <w:tcPr>
            <w:tcW w:w="646" w:type="dxa"/>
            <w:tcBorders/>
            <w:vAlign w:val="center"/>
          </w:tcPr>
          <w:p>
            <w:pPr>
              <w:pStyle w:val="TableContents"/>
              <w:bidi w:val="0"/>
              <w:jc w:val="right"/>
              <w:rPr/>
            </w:pPr>
            <w:r>
              <w:rPr/>
              <w:t>250.9</w:t>
            </w:r>
          </w:p>
        </w:tc>
        <w:tc>
          <w:tcPr>
            <w:tcW w:w="791" w:type="dxa"/>
            <w:tcBorders/>
            <w:vAlign w:val="center"/>
          </w:tcPr>
          <w:p>
            <w:pPr>
              <w:pStyle w:val="TableContents"/>
              <w:bidi w:val="0"/>
              <w:jc w:val="right"/>
              <w:rPr/>
            </w:pPr>
            <w:r>
              <w:rPr/>
              <w:t>331.3 [262.4; 1 out]</w:t>
            </w:r>
          </w:p>
        </w:tc>
        <w:tc>
          <w:tcPr>
            <w:tcW w:w="646" w:type="dxa"/>
            <w:tcBorders/>
            <w:vAlign w:val="center"/>
          </w:tcPr>
          <w:p>
            <w:pPr>
              <w:pStyle w:val="TableContents"/>
              <w:bidi w:val="0"/>
              <w:jc w:val="right"/>
              <w:rPr/>
            </w:pPr>
            <w:r>
              <w:rPr/>
              <w:t>284.1</w:t>
            </w:r>
          </w:p>
        </w:tc>
        <w:tc>
          <w:tcPr>
            <w:tcW w:w="791" w:type="dxa"/>
            <w:tcBorders/>
            <w:vAlign w:val="center"/>
          </w:tcPr>
          <w:p>
            <w:pPr>
              <w:pStyle w:val="TableContents"/>
              <w:bidi w:val="0"/>
              <w:jc w:val="right"/>
              <w:rPr/>
            </w:pPr>
            <w:r>
              <w:rPr/>
              <w:t>393.7 [339.2; 2 out]</w:t>
            </w:r>
          </w:p>
        </w:tc>
        <w:tc>
          <w:tcPr>
            <w:tcW w:w="646" w:type="dxa"/>
            <w:tcBorders/>
            <w:vAlign w:val="center"/>
          </w:tcPr>
          <w:p>
            <w:pPr>
              <w:pStyle w:val="TableContents"/>
              <w:bidi w:val="0"/>
              <w:jc w:val="right"/>
              <w:rPr/>
            </w:pPr>
            <w:r>
              <w:rPr/>
              <w:t>281.4</w:t>
            </w:r>
          </w:p>
        </w:tc>
        <w:tc>
          <w:tcPr>
            <w:tcW w:w="646" w:type="dxa"/>
            <w:tcBorders/>
            <w:vAlign w:val="center"/>
          </w:tcPr>
          <w:p>
            <w:pPr>
              <w:pStyle w:val="TableContents"/>
              <w:bidi w:val="0"/>
              <w:jc w:val="right"/>
              <w:rPr/>
            </w:pPr>
            <w:r>
              <w:rPr/>
              <w:t>276.8</w:t>
            </w:r>
          </w:p>
        </w:tc>
        <w:tc>
          <w:tcPr>
            <w:tcW w:w="646" w:type="dxa"/>
            <w:tcBorders/>
            <w:vAlign w:val="center"/>
          </w:tcPr>
          <w:p>
            <w:pPr>
              <w:pStyle w:val="TableContents"/>
              <w:bidi w:val="0"/>
              <w:jc w:val="right"/>
              <w:rPr/>
            </w:pPr>
            <w:r>
              <w:rPr/>
              <w:t>285.1</w:t>
            </w:r>
          </w:p>
        </w:tc>
        <w:tc>
          <w:tcPr>
            <w:tcW w:w="646" w:type="dxa"/>
            <w:tcBorders/>
            <w:vAlign w:val="center"/>
          </w:tcPr>
          <w:p>
            <w:pPr>
              <w:pStyle w:val="TableContents"/>
              <w:bidi w:val="0"/>
              <w:jc w:val="right"/>
              <w:rPr/>
            </w:pPr>
            <w:r>
              <w:rPr/>
              <w:t>292.7</w:t>
            </w:r>
          </w:p>
        </w:tc>
        <w:tc>
          <w:tcPr>
            <w:tcW w:w="646" w:type="dxa"/>
            <w:tcBorders/>
            <w:vAlign w:val="center"/>
          </w:tcPr>
          <w:p>
            <w:pPr>
              <w:pStyle w:val="TableContents"/>
              <w:bidi w:val="0"/>
              <w:jc w:val="right"/>
              <w:rPr/>
            </w:pPr>
            <w:r>
              <w:rPr/>
              <w:t>308.5</w:t>
            </w:r>
          </w:p>
        </w:tc>
        <w:tc>
          <w:tcPr>
            <w:tcW w:w="836" w:type="dxa"/>
            <w:tcBorders/>
            <w:vAlign w:val="center"/>
          </w:tcPr>
          <w:p>
            <w:pPr>
              <w:pStyle w:val="TableContents"/>
              <w:bidi w:val="0"/>
              <w:jc w:val="right"/>
              <w:rPr/>
            </w:pPr>
            <w:r>
              <w:rPr/>
              <w:t>320.4 [300.2; 7 out]</w:t>
            </w:r>
          </w:p>
        </w:tc>
      </w:tr>
      <w:tr>
        <w:trPr/>
        <w:tc>
          <w:tcPr>
            <w:tcW w:w="2281" w:type="dxa"/>
            <w:tcBorders/>
            <w:vAlign w:val="center"/>
          </w:tcPr>
          <w:p>
            <w:pPr>
              <w:pStyle w:val="TableContents"/>
              <w:widowControl w:val="false"/>
              <w:suppressLineNumbers/>
              <w:bidi w:val="0"/>
              <w:jc w:val="left"/>
              <w:rPr/>
            </w:pPr>
            <w:r>
              <w:rPr>
                <w:rStyle w:val="SourceText"/>
              </w:rPr>
              <w:t>+ demand (without plan lags)</w:t>
            </w:r>
          </w:p>
        </w:tc>
        <w:tc>
          <w:tcPr>
            <w:tcW w:w="791" w:type="dxa"/>
            <w:tcBorders/>
            <w:vAlign w:val="center"/>
          </w:tcPr>
          <w:p>
            <w:pPr>
              <w:pStyle w:val="TableContents"/>
              <w:bidi w:val="0"/>
              <w:jc w:val="right"/>
              <w:rPr/>
            </w:pPr>
            <w:r>
              <w:rPr/>
              <w:t>433.2 [348.2; 2 out]</w:t>
            </w:r>
          </w:p>
        </w:tc>
        <w:tc>
          <w:tcPr>
            <w:tcW w:w="791" w:type="dxa"/>
            <w:tcBorders/>
            <w:vAlign w:val="center"/>
          </w:tcPr>
          <w:p>
            <w:pPr>
              <w:pStyle w:val="TableContents"/>
              <w:bidi w:val="0"/>
              <w:jc w:val="right"/>
              <w:rPr/>
            </w:pPr>
            <w:r>
              <w:rPr/>
              <w:t>392.4 [389.6; 1 out]</w:t>
            </w:r>
          </w:p>
        </w:tc>
        <w:tc>
          <w:tcPr>
            <w:tcW w:w="791" w:type="dxa"/>
            <w:tcBorders/>
            <w:vAlign w:val="center"/>
          </w:tcPr>
          <w:p>
            <w:pPr>
              <w:pStyle w:val="TableContents"/>
              <w:bidi w:val="0"/>
              <w:jc w:val="right"/>
              <w:rPr/>
            </w:pPr>
            <w:r>
              <w:rPr/>
              <w:t>268.4 [263.6; 1 out]</w:t>
            </w:r>
          </w:p>
        </w:tc>
        <w:tc>
          <w:tcPr>
            <w:tcW w:w="646" w:type="dxa"/>
            <w:tcBorders/>
            <w:vAlign w:val="center"/>
          </w:tcPr>
          <w:p>
            <w:pPr>
              <w:pStyle w:val="TableContents"/>
              <w:bidi w:val="0"/>
              <w:jc w:val="right"/>
              <w:rPr/>
            </w:pPr>
            <w:r>
              <w:rPr/>
              <w:t>246.9</w:t>
            </w:r>
          </w:p>
        </w:tc>
        <w:tc>
          <w:tcPr>
            <w:tcW w:w="791" w:type="dxa"/>
            <w:tcBorders/>
            <w:vAlign w:val="center"/>
          </w:tcPr>
          <w:p>
            <w:pPr>
              <w:pStyle w:val="TableContents"/>
              <w:bidi w:val="0"/>
              <w:jc w:val="right"/>
              <w:rPr/>
            </w:pPr>
            <w:r>
              <w:rPr/>
              <w:t>329.0 [259.4; 1 out]</w:t>
            </w:r>
          </w:p>
        </w:tc>
        <w:tc>
          <w:tcPr>
            <w:tcW w:w="646" w:type="dxa"/>
            <w:tcBorders/>
            <w:vAlign w:val="center"/>
          </w:tcPr>
          <w:p>
            <w:pPr>
              <w:pStyle w:val="TableContents"/>
              <w:bidi w:val="0"/>
              <w:jc w:val="right"/>
              <w:rPr/>
            </w:pPr>
            <w:r>
              <w:rPr/>
              <w:t>280.2</w:t>
            </w:r>
          </w:p>
        </w:tc>
        <w:tc>
          <w:tcPr>
            <w:tcW w:w="791" w:type="dxa"/>
            <w:tcBorders/>
            <w:vAlign w:val="center"/>
          </w:tcPr>
          <w:p>
            <w:pPr>
              <w:pStyle w:val="TableContents"/>
              <w:bidi w:val="0"/>
              <w:jc w:val="right"/>
              <w:rPr/>
            </w:pPr>
            <w:r>
              <w:rPr/>
              <w:t>389.8 [334.6; 2 out]</w:t>
            </w:r>
          </w:p>
        </w:tc>
        <w:tc>
          <w:tcPr>
            <w:tcW w:w="646" w:type="dxa"/>
            <w:tcBorders/>
            <w:vAlign w:val="center"/>
          </w:tcPr>
          <w:p>
            <w:pPr>
              <w:pStyle w:val="TableContents"/>
              <w:bidi w:val="0"/>
              <w:jc w:val="right"/>
              <w:rPr/>
            </w:pPr>
            <w:r>
              <w:rPr/>
              <w:t>277.6</w:t>
            </w:r>
          </w:p>
        </w:tc>
        <w:tc>
          <w:tcPr>
            <w:tcW w:w="646" w:type="dxa"/>
            <w:tcBorders/>
            <w:vAlign w:val="center"/>
          </w:tcPr>
          <w:p>
            <w:pPr>
              <w:pStyle w:val="TableContents"/>
              <w:bidi w:val="0"/>
              <w:jc w:val="right"/>
              <w:rPr/>
            </w:pPr>
            <w:r>
              <w:rPr/>
              <w:t>272.9</w:t>
            </w:r>
          </w:p>
        </w:tc>
        <w:tc>
          <w:tcPr>
            <w:tcW w:w="646" w:type="dxa"/>
            <w:tcBorders/>
            <w:vAlign w:val="center"/>
          </w:tcPr>
          <w:p>
            <w:pPr>
              <w:pStyle w:val="TableContents"/>
              <w:bidi w:val="0"/>
              <w:jc w:val="right"/>
              <w:rPr/>
            </w:pPr>
            <w:r>
              <w:rPr/>
              <w:t>281.6</w:t>
            </w:r>
          </w:p>
        </w:tc>
        <w:tc>
          <w:tcPr>
            <w:tcW w:w="646" w:type="dxa"/>
            <w:tcBorders/>
            <w:vAlign w:val="center"/>
          </w:tcPr>
          <w:p>
            <w:pPr>
              <w:pStyle w:val="TableContents"/>
              <w:bidi w:val="0"/>
              <w:jc w:val="right"/>
              <w:rPr/>
            </w:pPr>
            <w:r>
              <w:rPr/>
              <w:t>288.3</w:t>
            </w:r>
          </w:p>
        </w:tc>
        <w:tc>
          <w:tcPr>
            <w:tcW w:w="646" w:type="dxa"/>
            <w:tcBorders/>
            <w:vAlign w:val="center"/>
          </w:tcPr>
          <w:p>
            <w:pPr>
              <w:pStyle w:val="TableContents"/>
              <w:bidi w:val="0"/>
              <w:jc w:val="right"/>
              <w:rPr/>
            </w:pPr>
            <w:r>
              <w:rPr/>
              <w:t>301.2</w:t>
            </w:r>
          </w:p>
        </w:tc>
        <w:tc>
          <w:tcPr>
            <w:tcW w:w="836" w:type="dxa"/>
            <w:tcBorders/>
            <w:vAlign w:val="center"/>
          </w:tcPr>
          <w:p>
            <w:pPr>
              <w:pStyle w:val="TableContents"/>
              <w:bidi w:val="0"/>
              <w:jc w:val="right"/>
              <w:rPr/>
            </w:pPr>
            <w:r>
              <w:rPr/>
              <w:t>316.3 [295.8; 7 out]</w:t>
            </w:r>
          </w:p>
        </w:tc>
      </w:tr>
      <w:tr>
        <w:trPr/>
        <w:tc>
          <w:tcPr>
            <w:tcW w:w="2281" w:type="dxa"/>
            <w:tcBorders/>
            <w:vAlign w:val="center"/>
          </w:tcPr>
          <w:p>
            <w:pPr>
              <w:pStyle w:val="TableContents"/>
              <w:widowControl w:val="false"/>
              <w:suppressLineNumbers/>
              <w:bidi w:val="0"/>
              <w:jc w:val="left"/>
              <w:rPr/>
            </w:pPr>
            <w:r>
              <w:rPr>
                <w:rStyle w:val="SourceText"/>
              </w:rPr>
              <w:t>+ configuration (without plan lags)</w:t>
            </w:r>
          </w:p>
        </w:tc>
        <w:tc>
          <w:tcPr>
            <w:tcW w:w="791" w:type="dxa"/>
            <w:tcBorders/>
            <w:vAlign w:val="center"/>
          </w:tcPr>
          <w:p>
            <w:pPr>
              <w:pStyle w:val="TableContents"/>
              <w:bidi w:val="0"/>
              <w:jc w:val="right"/>
              <w:rPr/>
            </w:pPr>
            <w:r>
              <w:rPr/>
              <w:t>435.1 [350.4; 2 out]</w:t>
            </w:r>
          </w:p>
        </w:tc>
        <w:tc>
          <w:tcPr>
            <w:tcW w:w="791" w:type="dxa"/>
            <w:tcBorders/>
            <w:vAlign w:val="center"/>
          </w:tcPr>
          <w:p>
            <w:pPr>
              <w:pStyle w:val="TableContents"/>
              <w:bidi w:val="0"/>
              <w:jc w:val="right"/>
              <w:rPr/>
            </w:pPr>
            <w:r>
              <w:rPr/>
              <w:t>391.4 [388.7; 1 out]</w:t>
            </w:r>
          </w:p>
        </w:tc>
        <w:tc>
          <w:tcPr>
            <w:tcW w:w="791" w:type="dxa"/>
            <w:tcBorders/>
            <w:vAlign w:val="center"/>
          </w:tcPr>
          <w:p>
            <w:pPr>
              <w:pStyle w:val="TableContents"/>
              <w:bidi w:val="0"/>
              <w:jc w:val="right"/>
              <w:rPr/>
            </w:pPr>
            <w:r>
              <w:rPr/>
              <w:t>267.8 [263.0; 1 out]</w:t>
            </w:r>
          </w:p>
        </w:tc>
        <w:tc>
          <w:tcPr>
            <w:tcW w:w="646" w:type="dxa"/>
            <w:tcBorders/>
            <w:vAlign w:val="center"/>
          </w:tcPr>
          <w:p>
            <w:pPr>
              <w:pStyle w:val="TableContents"/>
              <w:bidi w:val="0"/>
              <w:jc w:val="right"/>
              <w:rPr/>
            </w:pPr>
            <w:r>
              <w:rPr/>
              <w:t>246.7</w:t>
            </w:r>
          </w:p>
        </w:tc>
        <w:tc>
          <w:tcPr>
            <w:tcW w:w="791" w:type="dxa"/>
            <w:tcBorders/>
            <w:vAlign w:val="center"/>
          </w:tcPr>
          <w:p>
            <w:pPr>
              <w:pStyle w:val="TableContents"/>
              <w:bidi w:val="0"/>
              <w:jc w:val="right"/>
              <w:rPr/>
            </w:pPr>
            <w:r>
              <w:rPr/>
              <w:t>328.6 [259.0; 1 out]</w:t>
            </w:r>
          </w:p>
        </w:tc>
        <w:tc>
          <w:tcPr>
            <w:tcW w:w="646" w:type="dxa"/>
            <w:tcBorders/>
            <w:vAlign w:val="center"/>
          </w:tcPr>
          <w:p>
            <w:pPr>
              <w:pStyle w:val="TableContents"/>
              <w:bidi w:val="0"/>
              <w:jc w:val="right"/>
              <w:rPr/>
            </w:pPr>
            <w:r>
              <w:rPr/>
              <w:t>279.9</w:t>
            </w:r>
          </w:p>
        </w:tc>
        <w:tc>
          <w:tcPr>
            <w:tcW w:w="791" w:type="dxa"/>
            <w:tcBorders/>
            <w:vAlign w:val="center"/>
          </w:tcPr>
          <w:p>
            <w:pPr>
              <w:pStyle w:val="TableContents"/>
              <w:bidi w:val="0"/>
              <w:jc w:val="right"/>
              <w:rPr/>
            </w:pPr>
            <w:r>
              <w:rPr/>
              <w:t>389.5 [334.3; 2 out]</w:t>
            </w:r>
          </w:p>
        </w:tc>
        <w:tc>
          <w:tcPr>
            <w:tcW w:w="646" w:type="dxa"/>
            <w:tcBorders/>
            <w:vAlign w:val="center"/>
          </w:tcPr>
          <w:p>
            <w:pPr>
              <w:pStyle w:val="TableContents"/>
              <w:bidi w:val="0"/>
              <w:jc w:val="right"/>
              <w:rPr/>
            </w:pPr>
            <w:r>
              <w:rPr/>
              <w:t>277.4</w:t>
            </w:r>
          </w:p>
        </w:tc>
        <w:tc>
          <w:tcPr>
            <w:tcW w:w="646" w:type="dxa"/>
            <w:tcBorders/>
            <w:vAlign w:val="center"/>
          </w:tcPr>
          <w:p>
            <w:pPr>
              <w:pStyle w:val="TableContents"/>
              <w:bidi w:val="0"/>
              <w:jc w:val="right"/>
              <w:rPr/>
            </w:pPr>
            <w:r>
              <w:rPr/>
              <w:t>272.8</w:t>
            </w:r>
          </w:p>
        </w:tc>
        <w:tc>
          <w:tcPr>
            <w:tcW w:w="646" w:type="dxa"/>
            <w:tcBorders/>
            <w:vAlign w:val="center"/>
          </w:tcPr>
          <w:p>
            <w:pPr>
              <w:pStyle w:val="TableContents"/>
              <w:bidi w:val="0"/>
              <w:jc w:val="right"/>
              <w:rPr/>
            </w:pPr>
            <w:r>
              <w:rPr/>
              <w:t>281.4</w:t>
            </w:r>
          </w:p>
        </w:tc>
        <w:tc>
          <w:tcPr>
            <w:tcW w:w="646" w:type="dxa"/>
            <w:tcBorders/>
            <w:vAlign w:val="center"/>
          </w:tcPr>
          <w:p>
            <w:pPr>
              <w:pStyle w:val="TableContents"/>
              <w:bidi w:val="0"/>
              <w:jc w:val="right"/>
              <w:rPr/>
            </w:pPr>
            <w:r>
              <w:rPr/>
              <w:t>287.8</w:t>
            </w:r>
          </w:p>
        </w:tc>
        <w:tc>
          <w:tcPr>
            <w:tcW w:w="646" w:type="dxa"/>
            <w:tcBorders/>
            <w:vAlign w:val="center"/>
          </w:tcPr>
          <w:p>
            <w:pPr>
              <w:pStyle w:val="TableContents"/>
              <w:bidi w:val="0"/>
              <w:jc w:val="right"/>
              <w:rPr/>
            </w:pPr>
            <w:r>
              <w:rPr/>
              <w:t>300.4</w:t>
            </w:r>
          </w:p>
        </w:tc>
        <w:tc>
          <w:tcPr>
            <w:tcW w:w="836" w:type="dxa"/>
            <w:tcBorders/>
            <w:vAlign w:val="center"/>
          </w:tcPr>
          <w:p>
            <w:pPr>
              <w:pStyle w:val="TableContents"/>
              <w:bidi w:val="0"/>
              <w:jc w:val="right"/>
              <w:rPr/>
            </w:pPr>
            <w:r>
              <w:rPr/>
              <w:t>316.1 [295.6; 7 out]</w:t>
            </w:r>
          </w:p>
        </w:tc>
      </w:tr>
      <w:tr>
        <w:trPr/>
        <w:tc>
          <w:tcPr>
            <w:tcW w:w="2281" w:type="dxa"/>
            <w:tcBorders/>
            <w:vAlign w:val="center"/>
          </w:tcPr>
          <w:p>
            <w:pPr>
              <w:pStyle w:val="TableContents"/>
              <w:widowControl w:val="false"/>
              <w:suppressLineNumbers/>
              <w:bidi w:val="0"/>
              <w:jc w:val="left"/>
              <w:rPr/>
            </w:pPr>
            <w:r>
              <w:rPr>
                <w:rStyle w:val="SourceText"/>
              </w:rPr>
              <w:t>+ shared corridor (without plan lags)</w:t>
            </w:r>
          </w:p>
        </w:tc>
        <w:tc>
          <w:tcPr>
            <w:tcW w:w="791" w:type="dxa"/>
            <w:tcBorders/>
            <w:vAlign w:val="center"/>
          </w:tcPr>
          <w:p>
            <w:pPr>
              <w:pStyle w:val="TableContents"/>
              <w:bidi w:val="0"/>
              <w:jc w:val="right"/>
              <w:rPr/>
            </w:pPr>
            <w:r>
              <w:rPr/>
              <w:t>433.9 [349.0; 2 out]</w:t>
            </w:r>
          </w:p>
        </w:tc>
        <w:tc>
          <w:tcPr>
            <w:tcW w:w="791" w:type="dxa"/>
            <w:tcBorders/>
            <w:vAlign w:val="center"/>
          </w:tcPr>
          <w:p>
            <w:pPr>
              <w:pStyle w:val="TableContents"/>
              <w:bidi w:val="0"/>
              <w:jc w:val="right"/>
              <w:rPr/>
            </w:pPr>
            <w:r>
              <w:rPr/>
              <w:t>392.9 [390.2; 1 out]</w:t>
            </w:r>
          </w:p>
        </w:tc>
        <w:tc>
          <w:tcPr>
            <w:tcW w:w="791" w:type="dxa"/>
            <w:tcBorders/>
            <w:vAlign w:val="center"/>
          </w:tcPr>
          <w:p>
            <w:pPr>
              <w:pStyle w:val="TableContents"/>
              <w:bidi w:val="0"/>
              <w:jc w:val="right"/>
              <w:rPr/>
            </w:pPr>
            <w:r>
              <w:rPr/>
              <w:t>267.8 [263.0; 1 out]</w:t>
            </w:r>
          </w:p>
        </w:tc>
        <w:tc>
          <w:tcPr>
            <w:tcW w:w="646" w:type="dxa"/>
            <w:tcBorders/>
            <w:vAlign w:val="center"/>
          </w:tcPr>
          <w:p>
            <w:pPr>
              <w:pStyle w:val="TableContents"/>
              <w:bidi w:val="0"/>
              <w:jc w:val="right"/>
              <w:rPr/>
            </w:pPr>
            <w:r>
              <w:rPr/>
              <w:t>246.8</w:t>
            </w:r>
          </w:p>
        </w:tc>
        <w:tc>
          <w:tcPr>
            <w:tcW w:w="791" w:type="dxa"/>
            <w:tcBorders/>
            <w:vAlign w:val="center"/>
          </w:tcPr>
          <w:p>
            <w:pPr>
              <w:pStyle w:val="TableContents"/>
              <w:bidi w:val="0"/>
              <w:jc w:val="right"/>
              <w:rPr/>
            </w:pPr>
            <w:r>
              <w:rPr/>
              <w:t>328.9 [259.4; 1 out]</w:t>
            </w:r>
          </w:p>
        </w:tc>
        <w:tc>
          <w:tcPr>
            <w:tcW w:w="646" w:type="dxa"/>
            <w:tcBorders/>
            <w:vAlign w:val="center"/>
          </w:tcPr>
          <w:p>
            <w:pPr>
              <w:pStyle w:val="TableContents"/>
              <w:bidi w:val="0"/>
              <w:jc w:val="right"/>
              <w:rPr/>
            </w:pPr>
            <w:r>
              <w:rPr/>
              <w:t>280.0</w:t>
            </w:r>
          </w:p>
        </w:tc>
        <w:tc>
          <w:tcPr>
            <w:tcW w:w="791" w:type="dxa"/>
            <w:tcBorders/>
            <w:vAlign w:val="center"/>
          </w:tcPr>
          <w:p>
            <w:pPr>
              <w:pStyle w:val="TableContents"/>
              <w:bidi w:val="0"/>
              <w:jc w:val="right"/>
              <w:rPr/>
            </w:pPr>
            <w:r>
              <w:rPr/>
              <w:t>389.4 [334.3; 2 out]</w:t>
            </w:r>
          </w:p>
        </w:tc>
        <w:tc>
          <w:tcPr>
            <w:tcW w:w="646" w:type="dxa"/>
            <w:tcBorders/>
            <w:vAlign w:val="center"/>
          </w:tcPr>
          <w:p>
            <w:pPr>
              <w:pStyle w:val="TableContents"/>
              <w:bidi w:val="0"/>
              <w:jc w:val="right"/>
              <w:rPr/>
            </w:pPr>
            <w:r>
              <w:rPr/>
              <w:t>277.8</w:t>
            </w:r>
          </w:p>
        </w:tc>
        <w:tc>
          <w:tcPr>
            <w:tcW w:w="646" w:type="dxa"/>
            <w:tcBorders/>
            <w:vAlign w:val="center"/>
          </w:tcPr>
          <w:p>
            <w:pPr>
              <w:pStyle w:val="TableContents"/>
              <w:bidi w:val="0"/>
              <w:jc w:val="right"/>
              <w:rPr/>
            </w:pPr>
            <w:r>
              <w:rPr/>
              <w:t>273.1</w:t>
            </w:r>
          </w:p>
        </w:tc>
        <w:tc>
          <w:tcPr>
            <w:tcW w:w="646" w:type="dxa"/>
            <w:tcBorders/>
            <w:vAlign w:val="center"/>
          </w:tcPr>
          <w:p>
            <w:pPr>
              <w:pStyle w:val="TableContents"/>
              <w:bidi w:val="0"/>
              <w:jc w:val="right"/>
              <w:rPr/>
            </w:pPr>
            <w:r>
              <w:rPr/>
              <w:t>281.1</w:t>
            </w:r>
          </w:p>
        </w:tc>
        <w:tc>
          <w:tcPr>
            <w:tcW w:w="646" w:type="dxa"/>
            <w:tcBorders/>
            <w:vAlign w:val="center"/>
          </w:tcPr>
          <w:p>
            <w:pPr>
              <w:pStyle w:val="TableContents"/>
              <w:bidi w:val="0"/>
              <w:jc w:val="right"/>
              <w:rPr/>
            </w:pPr>
            <w:r>
              <w:rPr/>
              <w:t>288.0</w:t>
            </w:r>
          </w:p>
        </w:tc>
        <w:tc>
          <w:tcPr>
            <w:tcW w:w="646" w:type="dxa"/>
            <w:tcBorders/>
            <w:vAlign w:val="center"/>
          </w:tcPr>
          <w:p>
            <w:pPr>
              <w:pStyle w:val="TableContents"/>
              <w:bidi w:val="0"/>
              <w:jc w:val="right"/>
              <w:rPr/>
            </w:pPr>
            <w:r>
              <w:rPr/>
              <w:t>300.8</w:t>
            </w:r>
          </w:p>
        </w:tc>
        <w:tc>
          <w:tcPr>
            <w:tcW w:w="836" w:type="dxa"/>
            <w:tcBorders/>
            <w:vAlign w:val="center"/>
          </w:tcPr>
          <w:p>
            <w:pPr>
              <w:pStyle w:val="TableContents"/>
              <w:bidi w:val="0"/>
              <w:jc w:val="right"/>
              <w:rPr/>
            </w:pPr>
            <w:r>
              <w:rPr/>
              <w:t>316.2 [295.8; 7 out]</w:t>
            </w:r>
          </w:p>
        </w:tc>
      </w:tr>
      <w:tr>
        <w:trPr/>
        <w:tc>
          <w:tcPr>
            <w:tcW w:w="2281" w:type="dxa"/>
            <w:tcBorders/>
            <w:vAlign w:val="center"/>
          </w:tcPr>
          <w:p>
            <w:pPr>
              <w:pStyle w:val="TableContents"/>
              <w:widowControl w:val="false"/>
              <w:suppressLineNumbers/>
              <w:bidi w:val="0"/>
              <w:jc w:val="left"/>
              <w:rPr/>
            </w:pPr>
            <w:r>
              <w:rPr>
                <w:rStyle w:val="SourceText"/>
              </w:rPr>
              <w:t>+ weather (without plan lags)</w:t>
            </w:r>
          </w:p>
        </w:tc>
        <w:tc>
          <w:tcPr>
            <w:tcW w:w="791" w:type="dxa"/>
            <w:tcBorders/>
            <w:vAlign w:val="center"/>
          </w:tcPr>
          <w:p>
            <w:pPr>
              <w:pStyle w:val="TableContents"/>
              <w:bidi w:val="0"/>
              <w:jc w:val="right"/>
              <w:rPr/>
            </w:pPr>
            <w:r>
              <w:rPr/>
              <w:t>417.4 [328.8; 2 out]</w:t>
            </w:r>
          </w:p>
        </w:tc>
        <w:tc>
          <w:tcPr>
            <w:tcW w:w="791" w:type="dxa"/>
            <w:tcBorders/>
            <w:vAlign w:val="center"/>
          </w:tcPr>
          <w:p>
            <w:pPr>
              <w:pStyle w:val="TableContents"/>
              <w:bidi w:val="0"/>
              <w:jc w:val="right"/>
              <w:rPr/>
            </w:pPr>
            <w:r>
              <w:rPr/>
              <w:t>378.2 [375.4; 1 out]</w:t>
            </w:r>
          </w:p>
        </w:tc>
        <w:tc>
          <w:tcPr>
            <w:tcW w:w="791" w:type="dxa"/>
            <w:tcBorders/>
            <w:vAlign w:val="center"/>
          </w:tcPr>
          <w:p>
            <w:pPr>
              <w:pStyle w:val="TableContents"/>
              <w:bidi w:val="0"/>
              <w:jc w:val="right"/>
              <w:rPr/>
            </w:pPr>
            <w:r>
              <w:rPr/>
              <w:t>265.9 [261.1; 1 out]</w:t>
            </w:r>
          </w:p>
        </w:tc>
        <w:tc>
          <w:tcPr>
            <w:tcW w:w="646" w:type="dxa"/>
            <w:tcBorders/>
            <w:vAlign w:val="center"/>
          </w:tcPr>
          <w:p>
            <w:pPr>
              <w:pStyle w:val="TableContents"/>
              <w:bidi w:val="0"/>
              <w:jc w:val="right"/>
              <w:rPr/>
            </w:pPr>
            <w:r>
              <w:rPr/>
              <w:t>246.0</w:t>
            </w:r>
          </w:p>
        </w:tc>
        <w:tc>
          <w:tcPr>
            <w:tcW w:w="791" w:type="dxa"/>
            <w:tcBorders/>
            <w:vAlign w:val="center"/>
          </w:tcPr>
          <w:p>
            <w:pPr>
              <w:pStyle w:val="TableContents"/>
              <w:bidi w:val="0"/>
              <w:jc w:val="right"/>
              <w:rPr/>
            </w:pPr>
            <w:r>
              <w:rPr/>
              <w:t>327.8 [257.9; 1 out]</w:t>
            </w:r>
          </w:p>
        </w:tc>
        <w:tc>
          <w:tcPr>
            <w:tcW w:w="646" w:type="dxa"/>
            <w:tcBorders/>
            <w:vAlign w:val="center"/>
          </w:tcPr>
          <w:p>
            <w:pPr>
              <w:pStyle w:val="TableContents"/>
              <w:bidi w:val="0"/>
              <w:jc w:val="right"/>
              <w:rPr/>
            </w:pPr>
            <w:r>
              <w:rPr/>
              <w:t>278.1</w:t>
            </w:r>
          </w:p>
        </w:tc>
        <w:tc>
          <w:tcPr>
            <w:tcW w:w="791" w:type="dxa"/>
            <w:tcBorders/>
            <w:vAlign w:val="center"/>
          </w:tcPr>
          <w:p>
            <w:pPr>
              <w:pStyle w:val="TableContents"/>
              <w:bidi w:val="0"/>
              <w:jc w:val="right"/>
              <w:rPr/>
            </w:pPr>
            <w:r>
              <w:rPr/>
              <w:t>389.3 [334.1; 2 out]</w:t>
            </w:r>
          </w:p>
        </w:tc>
        <w:tc>
          <w:tcPr>
            <w:tcW w:w="646" w:type="dxa"/>
            <w:tcBorders/>
            <w:vAlign w:val="center"/>
          </w:tcPr>
          <w:p>
            <w:pPr>
              <w:pStyle w:val="TableContents"/>
              <w:bidi w:val="0"/>
              <w:jc w:val="right"/>
              <w:rPr/>
            </w:pPr>
            <w:r>
              <w:rPr/>
              <w:t>277.0</w:t>
            </w:r>
          </w:p>
        </w:tc>
        <w:tc>
          <w:tcPr>
            <w:tcW w:w="646" w:type="dxa"/>
            <w:tcBorders/>
            <w:vAlign w:val="center"/>
          </w:tcPr>
          <w:p>
            <w:pPr>
              <w:pStyle w:val="TableContents"/>
              <w:bidi w:val="0"/>
              <w:jc w:val="right"/>
              <w:rPr/>
            </w:pPr>
            <w:r>
              <w:rPr/>
              <w:t>272.3</w:t>
            </w:r>
          </w:p>
        </w:tc>
        <w:tc>
          <w:tcPr>
            <w:tcW w:w="646" w:type="dxa"/>
            <w:tcBorders/>
            <w:vAlign w:val="center"/>
          </w:tcPr>
          <w:p>
            <w:pPr>
              <w:pStyle w:val="TableContents"/>
              <w:bidi w:val="0"/>
              <w:jc w:val="right"/>
              <w:rPr/>
            </w:pPr>
            <w:r>
              <w:rPr/>
              <w:t>280.2</w:t>
            </w:r>
          </w:p>
        </w:tc>
        <w:tc>
          <w:tcPr>
            <w:tcW w:w="646" w:type="dxa"/>
            <w:tcBorders/>
            <w:vAlign w:val="center"/>
          </w:tcPr>
          <w:p>
            <w:pPr>
              <w:pStyle w:val="TableContents"/>
              <w:bidi w:val="0"/>
              <w:jc w:val="right"/>
              <w:rPr/>
            </w:pPr>
            <w:r>
              <w:rPr/>
              <w:t>282.3</w:t>
            </w:r>
          </w:p>
        </w:tc>
        <w:tc>
          <w:tcPr>
            <w:tcW w:w="646" w:type="dxa"/>
            <w:tcBorders/>
            <w:vAlign w:val="center"/>
          </w:tcPr>
          <w:p>
            <w:pPr>
              <w:pStyle w:val="TableContents"/>
              <w:bidi w:val="0"/>
              <w:jc w:val="right"/>
              <w:rPr/>
            </w:pPr>
            <w:r>
              <w:rPr/>
              <w:t>292.5</w:t>
            </w:r>
          </w:p>
        </w:tc>
        <w:tc>
          <w:tcPr>
            <w:tcW w:w="836" w:type="dxa"/>
            <w:tcBorders/>
            <w:vAlign w:val="center"/>
          </w:tcPr>
          <w:p>
            <w:pPr>
              <w:pStyle w:val="TableContents"/>
              <w:bidi w:val="0"/>
              <w:jc w:val="right"/>
              <w:rPr/>
            </w:pPr>
            <w:r>
              <w:rPr/>
              <w:t>311.7 [290.9; 7 out]</w:t>
            </w:r>
          </w:p>
        </w:tc>
      </w:tr>
      <w:tr>
        <w:trPr/>
        <w:tc>
          <w:tcPr>
            <w:tcW w:w="2281" w:type="dxa"/>
            <w:tcBorders/>
            <w:vAlign w:val="center"/>
          </w:tcPr>
          <w:p>
            <w:pPr>
              <w:pStyle w:val="TableContents"/>
              <w:widowControl w:val="false"/>
              <w:suppressLineNumbers/>
              <w:bidi w:val="0"/>
              <w:jc w:val="left"/>
              <w:rPr/>
            </w:pPr>
            <w:r>
              <w:rPr>
                <w:rStyle w:val="SourceText"/>
              </w:rPr>
              <w:t>+ runway saturation (without plan lags)</w:t>
            </w:r>
          </w:p>
        </w:tc>
        <w:tc>
          <w:tcPr>
            <w:tcW w:w="791" w:type="dxa"/>
            <w:tcBorders/>
            <w:vAlign w:val="center"/>
          </w:tcPr>
          <w:p>
            <w:pPr>
              <w:pStyle w:val="TableContents"/>
              <w:bidi w:val="0"/>
              <w:jc w:val="right"/>
              <w:rPr/>
            </w:pPr>
            <w:r>
              <w:rPr/>
              <w:t>417.3 [328.7; 2 out]</w:t>
            </w:r>
          </w:p>
        </w:tc>
        <w:tc>
          <w:tcPr>
            <w:tcW w:w="791" w:type="dxa"/>
            <w:tcBorders/>
            <w:vAlign w:val="center"/>
          </w:tcPr>
          <w:p>
            <w:pPr>
              <w:pStyle w:val="TableContents"/>
              <w:bidi w:val="0"/>
              <w:jc w:val="right"/>
              <w:rPr/>
            </w:pPr>
            <w:r>
              <w:rPr/>
              <w:t>378.1 [375.2; 1 out]</w:t>
            </w:r>
          </w:p>
        </w:tc>
        <w:tc>
          <w:tcPr>
            <w:tcW w:w="791" w:type="dxa"/>
            <w:tcBorders/>
            <w:vAlign w:val="center"/>
          </w:tcPr>
          <w:p>
            <w:pPr>
              <w:pStyle w:val="TableContents"/>
              <w:bidi w:val="0"/>
              <w:jc w:val="right"/>
              <w:rPr/>
            </w:pPr>
            <w:r>
              <w:rPr/>
              <w:t>265.7 [260.9; 1 out]</w:t>
            </w:r>
          </w:p>
        </w:tc>
        <w:tc>
          <w:tcPr>
            <w:tcW w:w="646" w:type="dxa"/>
            <w:tcBorders/>
            <w:vAlign w:val="center"/>
          </w:tcPr>
          <w:p>
            <w:pPr>
              <w:pStyle w:val="TableContents"/>
              <w:bidi w:val="0"/>
              <w:jc w:val="right"/>
              <w:rPr/>
            </w:pPr>
            <w:r>
              <w:rPr/>
              <w:t>245.7</w:t>
            </w:r>
          </w:p>
        </w:tc>
        <w:tc>
          <w:tcPr>
            <w:tcW w:w="791" w:type="dxa"/>
            <w:tcBorders/>
            <w:vAlign w:val="center"/>
          </w:tcPr>
          <w:p>
            <w:pPr>
              <w:pStyle w:val="TableContents"/>
              <w:bidi w:val="0"/>
              <w:jc w:val="right"/>
              <w:rPr/>
            </w:pPr>
            <w:r>
              <w:rPr/>
              <w:t>327.9 [258.1; 1 out]</w:t>
            </w:r>
          </w:p>
        </w:tc>
        <w:tc>
          <w:tcPr>
            <w:tcW w:w="646" w:type="dxa"/>
            <w:tcBorders/>
            <w:vAlign w:val="center"/>
          </w:tcPr>
          <w:p>
            <w:pPr>
              <w:pStyle w:val="TableContents"/>
              <w:bidi w:val="0"/>
              <w:jc w:val="right"/>
              <w:rPr/>
            </w:pPr>
            <w:r>
              <w:rPr/>
              <w:t>278.6</w:t>
            </w:r>
          </w:p>
        </w:tc>
        <w:tc>
          <w:tcPr>
            <w:tcW w:w="791" w:type="dxa"/>
            <w:tcBorders/>
            <w:vAlign w:val="center"/>
          </w:tcPr>
          <w:p>
            <w:pPr>
              <w:pStyle w:val="TableContents"/>
              <w:bidi w:val="0"/>
              <w:jc w:val="right"/>
              <w:rPr/>
            </w:pPr>
            <w:r>
              <w:rPr/>
              <w:t>389.2 [334.0; 2 out]</w:t>
            </w:r>
          </w:p>
        </w:tc>
        <w:tc>
          <w:tcPr>
            <w:tcW w:w="646" w:type="dxa"/>
            <w:tcBorders/>
            <w:vAlign w:val="center"/>
          </w:tcPr>
          <w:p>
            <w:pPr>
              <w:pStyle w:val="TableContents"/>
              <w:bidi w:val="0"/>
              <w:jc w:val="right"/>
              <w:rPr/>
            </w:pPr>
            <w:r>
              <w:rPr/>
              <w:t>277.1</w:t>
            </w:r>
          </w:p>
        </w:tc>
        <w:tc>
          <w:tcPr>
            <w:tcW w:w="646" w:type="dxa"/>
            <w:tcBorders/>
            <w:vAlign w:val="center"/>
          </w:tcPr>
          <w:p>
            <w:pPr>
              <w:pStyle w:val="TableContents"/>
              <w:bidi w:val="0"/>
              <w:jc w:val="right"/>
              <w:rPr/>
            </w:pPr>
            <w:r>
              <w:rPr/>
              <w:t>272.0</w:t>
            </w:r>
          </w:p>
        </w:tc>
        <w:tc>
          <w:tcPr>
            <w:tcW w:w="646" w:type="dxa"/>
            <w:tcBorders/>
            <w:vAlign w:val="center"/>
          </w:tcPr>
          <w:p>
            <w:pPr>
              <w:pStyle w:val="TableContents"/>
              <w:bidi w:val="0"/>
              <w:jc w:val="right"/>
              <w:rPr/>
            </w:pPr>
            <w:r>
              <w:rPr/>
              <w:t>280.1</w:t>
            </w:r>
          </w:p>
        </w:tc>
        <w:tc>
          <w:tcPr>
            <w:tcW w:w="646" w:type="dxa"/>
            <w:tcBorders/>
            <w:vAlign w:val="center"/>
          </w:tcPr>
          <w:p>
            <w:pPr>
              <w:pStyle w:val="TableContents"/>
              <w:bidi w:val="0"/>
              <w:jc w:val="right"/>
              <w:rPr/>
            </w:pPr>
            <w:r>
              <w:rPr/>
              <w:t>282.4</w:t>
            </w:r>
          </w:p>
        </w:tc>
        <w:tc>
          <w:tcPr>
            <w:tcW w:w="646" w:type="dxa"/>
            <w:tcBorders/>
            <w:vAlign w:val="center"/>
          </w:tcPr>
          <w:p>
            <w:pPr>
              <w:pStyle w:val="TableContents"/>
              <w:bidi w:val="0"/>
              <w:jc w:val="right"/>
              <w:rPr/>
            </w:pPr>
            <w:r>
              <w:rPr/>
              <w:t>292.0</w:t>
            </w:r>
          </w:p>
        </w:tc>
        <w:tc>
          <w:tcPr>
            <w:tcW w:w="836" w:type="dxa"/>
            <w:tcBorders/>
            <w:vAlign w:val="center"/>
          </w:tcPr>
          <w:p>
            <w:pPr>
              <w:pStyle w:val="TableContents"/>
              <w:bidi w:val="0"/>
              <w:jc w:val="right"/>
              <w:rPr/>
            </w:pPr>
            <w:r>
              <w:rPr/>
              <w:t>311.6 [290.8; 7 out]</w:t>
            </w:r>
          </w:p>
        </w:tc>
      </w:tr>
    </w:tbl>
    <w:p>
      <w:pPr>
        <w:pStyle w:val="BodyText"/>
        <w:bidi w:val="0"/>
        <w:jc w:val="left"/>
        <w:rPr/>
      </w:pPr>
      <w:r>
        <w:rPr/>
        <w:t xml:space="preserve">The base configuration's rung is </w:t>
      </w:r>
      <w:r>
        <w:rPr>
          <w:rStyle w:val="SourceText"/>
        </w:rPr>
        <w:t>+ plan differences</w:t>
      </w:r>
      <w:r>
        <w:rPr/>
        <w:t xml:space="preserve">; </w:t>
      </w:r>
      <w:r>
        <w:rPr>
          <w:rStyle w:val="SourceText"/>
        </w:rPr>
        <w:t>+ stand occupancy, schedule-anchored</w:t>
      </w:r>
      <w:r>
        <w:rPr/>
        <w:t xml:space="preserve"> is a diagnostic variant, not a step of the ladder (§6.5), and the rungs marked </w:t>
      </w:r>
      <w:r>
        <w:rPr>
          <w:rStyle w:val="Emphasis"/>
        </w:rPr>
        <w:t>without plan lags</w:t>
      </w:r>
      <w:r>
        <w:rPr/>
        <w:t xml:space="preserve"> repeat the congestion steps with the plan-lag block removed (§6.3). Each rung's change against the rung it is read against, month by month, is the next annex; the same per airport and month, every rung, is the report's own Annex A.</w:t>
      </w:r>
    </w:p>
    <w:p>
      <w:pPr>
        <w:pStyle w:val="BodyText"/>
        <w:bidi w:val="0"/>
        <w:jc w:val="left"/>
        <w:rPr/>
      </w:pPr>
      <w:r>
        <w:rPr/>
        <w:t xml:space="preserve">Sources: </w:t>
      </w:r>
      <w:r>
        <w:rPr>
          <w:rStyle w:val="SourceText"/>
        </w:rPr>
        <w:t>reports/monthly_ladder.md</w:t>
      </w:r>
      <w:r>
        <w:rPr/>
        <w:t xml:space="preserve">, </w:t>
      </w:r>
      <w:r>
        <w:rPr>
          <w:rStyle w:val="Emphasis"/>
        </w:rPr>
        <w:t>Summary: every month</w:t>
      </w:r>
      <w:r>
        <w:rPr/>
        <w:t xml:space="preserve"> and </w:t>
      </w:r>
      <w:r>
        <w:rPr>
          <w:rStyle w:val="Emphasis"/>
        </w:rPr>
        <w:t>Annex A: airport by month, every rung</w:t>
      </w:r>
      <w:r>
        <w:rPr/>
        <w:t>.</w:t>
      </w:r>
    </w:p>
    <w:p>
      <w:pPr>
        <w:pStyle w:val="Heading2"/>
        <w:bidi w:val="0"/>
        <w:jc w:val="left"/>
        <w:rPr/>
      </w:pPr>
      <w:r>
        <w:rPr/>
        <w:t>Annex B: each block's change, month by month, against the floor</w:t>
      </w:r>
    </w:p>
    <w:p>
      <w:pPr>
        <w:pStyle w:val="BodyText"/>
        <w:bidi w:val="0"/>
        <w:jc w:val="left"/>
        <w:rPr/>
      </w:pPr>
      <w:r>
        <w:rPr/>
        <w:t xml:space="preserve">Each block's change against the rung the ladder reads it against, excluding the rows the term covers, in seconds, read against the seed floor measured in that month on the base configuration's rung (§3.6; the floor is measured on one rung and applied to every block's change, the same approximation </w:t>
      </w:r>
      <w:r>
        <w:rPr>
          <w:rStyle w:val="SourceText"/>
        </w:rPr>
        <w:t>reports/baseline.md</w:t>
      </w:r>
      <w:r>
        <w:rPr/>
        <w:t xml:space="preserve"> makes). </w:t>
      </w:r>
      <w:r>
        <w:rPr>
          <w:rStyle w:val="Strong"/>
        </w:rPr>
        <w:t>A change in bold sits inside that month's floor</w:t>
      </w:r>
      <w:r>
        <w:rPr/>
        <w:t>; the year column is read against the year's floor. A negative change means the block lowered the error. A bracket is the same change over the rows of four hours or less, a diagnostic, with the count it leaves out, read against the floor measured over those rows. The floors first:</w:t>
      </w:r>
    </w:p>
    <w:tbl>
      <w:tblPr>
        <w:tblW w:w="10539" w:type="dxa"/>
        <w:jc w:val="left"/>
        <w:tblInd w:w="28" w:type="dxa"/>
        <w:tblLayout w:type="fixed"/>
        <w:tblCellMar>
          <w:top w:w="28" w:type="dxa"/>
          <w:left w:w="28" w:type="dxa"/>
          <w:bottom w:w="28" w:type="dxa"/>
          <w:right w:w="28" w:type="dxa"/>
        </w:tblCellMar>
      </w:tblPr>
      <w:tblGrid>
        <w:gridCol w:w="587"/>
        <w:gridCol w:w="762"/>
        <w:gridCol w:w="762"/>
        <w:gridCol w:w="762"/>
        <w:gridCol w:w="762"/>
        <w:gridCol w:w="762"/>
        <w:gridCol w:w="762"/>
        <w:gridCol w:w="762"/>
        <w:gridCol w:w="762"/>
        <w:gridCol w:w="762"/>
        <w:gridCol w:w="762"/>
        <w:gridCol w:w="762"/>
        <w:gridCol w:w="762"/>
        <w:gridCol w:w="808"/>
      </w:tblGrid>
      <w:tr>
        <w:trPr>
          <w:tblHeader w:val="true"/>
        </w:trPr>
        <w:tc>
          <w:tcPr>
            <w:tcW w:w="587" w:type="dxa"/>
            <w:tcBorders/>
            <w:vAlign w:val="center"/>
          </w:tcPr>
          <w:p>
            <w:pPr>
              <w:pStyle w:val="TableHeading"/>
              <w:bidi w:val="0"/>
              <w:rPr>
                <w:sz w:val="4"/>
                <w:szCs w:val="4"/>
              </w:rPr>
            </w:pPr>
            <w:r>
              <w:rPr>
                <w:sz w:val="4"/>
                <w:szCs w:val="4"/>
              </w:rPr>
            </w:r>
          </w:p>
        </w:tc>
        <w:tc>
          <w:tcPr>
            <w:tcW w:w="762" w:type="dxa"/>
            <w:tcBorders/>
            <w:vAlign w:val="center"/>
          </w:tcPr>
          <w:p>
            <w:pPr>
              <w:pStyle w:val="TableHeading"/>
              <w:bidi w:val="0"/>
              <w:jc w:val="right"/>
              <w:rPr/>
            </w:pPr>
            <w:r>
              <w:rPr/>
              <w:t>Jan</w:t>
            </w:r>
          </w:p>
        </w:tc>
        <w:tc>
          <w:tcPr>
            <w:tcW w:w="762" w:type="dxa"/>
            <w:tcBorders/>
            <w:vAlign w:val="center"/>
          </w:tcPr>
          <w:p>
            <w:pPr>
              <w:pStyle w:val="TableHeading"/>
              <w:bidi w:val="0"/>
              <w:jc w:val="right"/>
              <w:rPr/>
            </w:pPr>
            <w:r>
              <w:rPr/>
              <w:t>Feb</w:t>
            </w:r>
          </w:p>
        </w:tc>
        <w:tc>
          <w:tcPr>
            <w:tcW w:w="762" w:type="dxa"/>
            <w:tcBorders/>
            <w:vAlign w:val="center"/>
          </w:tcPr>
          <w:p>
            <w:pPr>
              <w:pStyle w:val="TableHeading"/>
              <w:bidi w:val="0"/>
              <w:jc w:val="right"/>
              <w:rPr/>
            </w:pPr>
            <w:r>
              <w:rPr/>
              <w:t>Mar</w:t>
            </w:r>
          </w:p>
        </w:tc>
        <w:tc>
          <w:tcPr>
            <w:tcW w:w="762" w:type="dxa"/>
            <w:tcBorders/>
            <w:vAlign w:val="center"/>
          </w:tcPr>
          <w:p>
            <w:pPr>
              <w:pStyle w:val="TableHeading"/>
              <w:bidi w:val="0"/>
              <w:jc w:val="right"/>
              <w:rPr/>
            </w:pPr>
            <w:r>
              <w:rPr/>
              <w:t>Apr</w:t>
            </w:r>
          </w:p>
        </w:tc>
        <w:tc>
          <w:tcPr>
            <w:tcW w:w="762" w:type="dxa"/>
            <w:tcBorders/>
            <w:vAlign w:val="center"/>
          </w:tcPr>
          <w:p>
            <w:pPr>
              <w:pStyle w:val="TableHeading"/>
              <w:bidi w:val="0"/>
              <w:jc w:val="right"/>
              <w:rPr/>
            </w:pPr>
            <w:r>
              <w:rPr/>
              <w:t>May</w:t>
            </w:r>
          </w:p>
        </w:tc>
        <w:tc>
          <w:tcPr>
            <w:tcW w:w="762" w:type="dxa"/>
            <w:tcBorders/>
            <w:vAlign w:val="center"/>
          </w:tcPr>
          <w:p>
            <w:pPr>
              <w:pStyle w:val="TableHeading"/>
              <w:bidi w:val="0"/>
              <w:jc w:val="right"/>
              <w:rPr/>
            </w:pPr>
            <w:r>
              <w:rPr/>
              <w:t>Jun</w:t>
            </w:r>
          </w:p>
        </w:tc>
        <w:tc>
          <w:tcPr>
            <w:tcW w:w="762" w:type="dxa"/>
            <w:tcBorders/>
            <w:vAlign w:val="center"/>
          </w:tcPr>
          <w:p>
            <w:pPr>
              <w:pStyle w:val="TableHeading"/>
              <w:bidi w:val="0"/>
              <w:jc w:val="right"/>
              <w:rPr/>
            </w:pPr>
            <w:r>
              <w:rPr/>
              <w:t>Jul</w:t>
            </w:r>
          </w:p>
        </w:tc>
        <w:tc>
          <w:tcPr>
            <w:tcW w:w="762" w:type="dxa"/>
            <w:tcBorders/>
            <w:vAlign w:val="center"/>
          </w:tcPr>
          <w:p>
            <w:pPr>
              <w:pStyle w:val="TableHeading"/>
              <w:bidi w:val="0"/>
              <w:jc w:val="right"/>
              <w:rPr/>
            </w:pPr>
            <w:r>
              <w:rPr/>
              <w:t>Aug</w:t>
            </w:r>
          </w:p>
        </w:tc>
        <w:tc>
          <w:tcPr>
            <w:tcW w:w="762" w:type="dxa"/>
            <w:tcBorders/>
            <w:vAlign w:val="center"/>
          </w:tcPr>
          <w:p>
            <w:pPr>
              <w:pStyle w:val="TableHeading"/>
              <w:bidi w:val="0"/>
              <w:jc w:val="right"/>
              <w:rPr/>
            </w:pPr>
            <w:r>
              <w:rPr/>
              <w:t>Sep</w:t>
            </w:r>
          </w:p>
        </w:tc>
        <w:tc>
          <w:tcPr>
            <w:tcW w:w="762" w:type="dxa"/>
            <w:tcBorders/>
            <w:vAlign w:val="center"/>
          </w:tcPr>
          <w:p>
            <w:pPr>
              <w:pStyle w:val="TableHeading"/>
              <w:bidi w:val="0"/>
              <w:jc w:val="right"/>
              <w:rPr/>
            </w:pPr>
            <w:r>
              <w:rPr/>
              <w:t>Oct</w:t>
            </w:r>
          </w:p>
        </w:tc>
        <w:tc>
          <w:tcPr>
            <w:tcW w:w="762" w:type="dxa"/>
            <w:tcBorders/>
            <w:vAlign w:val="center"/>
          </w:tcPr>
          <w:p>
            <w:pPr>
              <w:pStyle w:val="TableHeading"/>
              <w:bidi w:val="0"/>
              <w:jc w:val="right"/>
              <w:rPr/>
            </w:pPr>
            <w:r>
              <w:rPr/>
              <w:t>Nov</w:t>
            </w:r>
          </w:p>
        </w:tc>
        <w:tc>
          <w:tcPr>
            <w:tcW w:w="762" w:type="dxa"/>
            <w:tcBorders/>
            <w:vAlign w:val="center"/>
          </w:tcPr>
          <w:p>
            <w:pPr>
              <w:pStyle w:val="TableHeading"/>
              <w:bidi w:val="0"/>
              <w:jc w:val="right"/>
              <w:rPr/>
            </w:pPr>
            <w:r>
              <w:rPr/>
              <w:t>Dec</w:t>
            </w:r>
          </w:p>
        </w:tc>
        <w:tc>
          <w:tcPr>
            <w:tcW w:w="808" w:type="dxa"/>
            <w:tcBorders/>
            <w:vAlign w:val="center"/>
          </w:tcPr>
          <w:p>
            <w:pPr>
              <w:pStyle w:val="TableHeading"/>
              <w:bidi w:val="0"/>
              <w:jc w:val="right"/>
              <w:rPr/>
            </w:pPr>
            <w:r>
              <w:rPr/>
              <w:t>year</w:t>
            </w:r>
          </w:p>
        </w:tc>
      </w:tr>
      <w:tr>
        <w:trPr/>
        <w:tc>
          <w:tcPr>
            <w:tcW w:w="587" w:type="dxa"/>
            <w:tcBorders/>
            <w:vAlign w:val="center"/>
          </w:tcPr>
          <w:p>
            <w:pPr>
              <w:pStyle w:val="TableContents"/>
              <w:widowControl w:val="false"/>
              <w:suppressLineNumbers/>
              <w:bidi w:val="0"/>
              <w:jc w:val="left"/>
              <w:rPr/>
            </w:pPr>
            <w:r>
              <w:rPr/>
              <w:t>floor</w:t>
            </w:r>
          </w:p>
        </w:tc>
        <w:tc>
          <w:tcPr>
            <w:tcW w:w="762" w:type="dxa"/>
            <w:tcBorders/>
            <w:vAlign w:val="center"/>
          </w:tcPr>
          <w:p>
            <w:pPr>
              <w:pStyle w:val="TableContents"/>
              <w:bidi w:val="0"/>
              <w:jc w:val="right"/>
              <w:rPr/>
            </w:pPr>
            <w:r>
              <w:rPr/>
              <w:t>0.33 [0.47]</w:t>
            </w:r>
          </w:p>
        </w:tc>
        <w:tc>
          <w:tcPr>
            <w:tcW w:w="762" w:type="dxa"/>
            <w:tcBorders/>
            <w:vAlign w:val="center"/>
          </w:tcPr>
          <w:p>
            <w:pPr>
              <w:pStyle w:val="TableContents"/>
              <w:bidi w:val="0"/>
              <w:jc w:val="right"/>
              <w:rPr/>
            </w:pPr>
            <w:r>
              <w:rPr/>
              <w:t>1.56 [1.59]</w:t>
            </w:r>
          </w:p>
        </w:tc>
        <w:tc>
          <w:tcPr>
            <w:tcW w:w="762" w:type="dxa"/>
            <w:tcBorders/>
            <w:vAlign w:val="center"/>
          </w:tcPr>
          <w:p>
            <w:pPr>
              <w:pStyle w:val="TableContents"/>
              <w:bidi w:val="0"/>
              <w:jc w:val="right"/>
              <w:rPr/>
            </w:pPr>
            <w:r>
              <w:rPr/>
              <w:t>0.36 [0.29]</w:t>
            </w:r>
          </w:p>
        </w:tc>
        <w:tc>
          <w:tcPr>
            <w:tcW w:w="762" w:type="dxa"/>
            <w:tcBorders/>
            <w:vAlign w:val="center"/>
          </w:tcPr>
          <w:p>
            <w:pPr>
              <w:pStyle w:val="TableContents"/>
              <w:bidi w:val="0"/>
              <w:jc w:val="right"/>
              <w:rPr/>
            </w:pPr>
            <w:r>
              <w:rPr/>
              <w:t>0.07 [0.07]</w:t>
            </w:r>
          </w:p>
        </w:tc>
        <w:tc>
          <w:tcPr>
            <w:tcW w:w="762" w:type="dxa"/>
            <w:tcBorders/>
            <w:vAlign w:val="center"/>
          </w:tcPr>
          <w:p>
            <w:pPr>
              <w:pStyle w:val="TableContents"/>
              <w:bidi w:val="0"/>
              <w:jc w:val="right"/>
              <w:rPr/>
            </w:pPr>
            <w:r>
              <w:rPr/>
              <w:t>0.13 [0.17]</w:t>
            </w:r>
          </w:p>
        </w:tc>
        <w:tc>
          <w:tcPr>
            <w:tcW w:w="762" w:type="dxa"/>
            <w:tcBorders/>
            <w:vAlign w:val="center"/>
          </w:tcPr>
          <w:p>
            <w:pPr>
              <w:pStyle w:val="TableContents"/>
              <w:bidi w:val="0"/>
              <w:jc w:val="right"/>
              <w:rPr/>
            </w:pPr>
            <w:r>
              <w:rPr/>
              <w:t>0.21 [0.21]</w:t>
            </w:r>
          </w:p>
        </w:tc>
        <w:tc>
          <w:tcPr>
            <w:tcW w:w="762" w:type="dxa"/>
            <w:tcBorders/>
            <w:vAlign w:val="center"/>
          </w:tcPr>
          <w:p>
            <w:pPr>
              <w:pStyle w:val="TableContents"/>
              <w:bidi w:val="0"/>
              <w:jc w:val="right"/>
              <w:rPr/>
            </w:pPr>
            <w:r>
              <w:rPr/>
              <w:t>0.58 [0.42]</w:t>
            </w:r>
          </w:p>
        </w:tc>
        <w:tc>
          <w:tcPr>
            <w:tcW w:w="762" w:type="dxa"/>
            <w:tcBorders/>
            <w:vAlign w:val="center"/>
          </w:tcPr>
          <w:p>
            <w:pPr>
              <w:pStyle w:val="TableContents"/>
              <w:bidi w:val="0"/>
              <w:jc w:val="right"/>
              <w:rPr/>
            </w:pPr>
            <w:r>
              <w:rPr/>
              <w:t>0.26 [0.26]</w:t>
            </w:r>
          </w:p>
        </w:tc>
        <w:tc>
          <w:tcPr>
            <w:tcW w:w="762" w:type="dxa"/>
            <w:tcBorders/>
            <w:vAlign w:val="center"/>
          </w:tcPr>
          <w:p>
            <w:pPr>
              <w:pStyle w:val="TableContents"/>
              <w:bidi w:val="0"/>
              <w:jc w:val="right"/>
              <w:rPr/>
            </w:pPr>
            <w:r>
              <w:rPr/>
              <w:t>0.21 [0.21]</w:t>
            </w:r>
          </w:p>
        </w:tc>
        <w:tc>
          <w:tcPr>
            <w:tcW w:w="762" w:type="dxa"/>
            <w:tcBorders/>
            <w:vAlign w:val="center"/>
          </w:tcPr>
          <w:p>
            <w:pPr>
              <w:pStyle w:val="TableContents"/>
              <w:bidi w:val="0"/>
              <w:jc w:val="right"/>
              <w:rPr/>
            </w:pPr>
            <w:r>
              <w:rPr/>
              <w:t>0.29 [0.29]</w:t>
            </w:r>
          </w:p>
        </w:tc>
        <w:tc>
          <w:tcPr>
            <w:tcW w:w="762" w:type="dxa"/>
            <w:tcBorders/>
            <w:vAlign w:val="center"/>
          </w:tcPr>
          <w:p>
            <w:pPr>
              <w:pStyle w:val="TableContents"/>
              <w:bidi w:val="0"/>
              <w:jc w:val="right"/>
              <w:rPr/>
            </w:pPr>
            <w:r>
              <w:rPr/>
              <w:t>0.39 [0.39]</w:t>
            </w:r>
          </w:p>
        </w:tc>
        <w:tc>
          <w:tcPr>
            <w:tcW w:w="762" w:type="dxa"/>
            <w:tcBorders/>
            <w:vAlign w:val="center"/>
          </w:tcPr>
          <w:p>
            <w:pPr>
              <w:pStyle w:val="TableContents"/>
              <w:bidi w:val="0"/>
              <w:jc w:val="right"/>
              <w:rPr/>
            </w:pPr>
            <w:r>
              <w:rPr/>
              <w:t>0.23 [0.23]</w:t>
            </w:r>
          </w:p>
        </w:tc>
        <w:tc>
          <w:tcPr>
            <w:tcW w:w="808" w:type="dxa"/>
            <w:tcBorders/>
            <w:vAlign w:val="center"/>
          </w:tcPr>
          <w:p>
            <w:pPr>
              <w:pStyle w:val="TableContents"/>
              <w:bidi w:val="0"/>
              <w:jc w:val="right"/>
              <w:rPr/>
            </w:pPr>
            <w:r>
              <w:rPr/>
              <w:t>0.16 [0.15]</w:t>
            </w:r>
          </w:p>
        </w:tc>
      </w:tr>
    </w:tbl>
    <w:tbl>
      <w:tblPr>
        <w:tblW w:w="12627" w:type="dxa"/>
        <w:jc w:val="left"/>
        <w:tblInd w:w="28" w:type="dxa"/>
        <w:tblLayout w:type="fixed"/>
        <w:tblCellMar>
          <w:top w:w="28" w:type="dxa"/>
          <w:left w:w="28" w:type="dxa"/>
          <w:bottom w:w="28" w:type="dxa"/>
          <w:right w:w="28" w:type="dxa"/>
        </w:tblCellMar>
      </w:tblPr>
      <w:tblGrid>
        <w:gridCol w:w="2281"/>
        <w:gridCol w:w="871"/>
        <w:gridCol w:w="871"/>
        <w:gridCol w:w="871"/>
        <w:gridCol w:w="725"/>
        <w:gridCol w:w="871"/>
        <w:gridCol w:w="725"/>
        <w:gridCol w:w="871"/>
        <w:gridCol w:w="725"/>
        <w:gridCol w:w="725"/>
        <w:gridCol w:w="725"/>
        <w:gridCol w:w="725"/>
        <w:gridCol w:w="725"/>
        <w:gridCol w:w="916"/>
      </w:tblGrid>
      <w:tr>
        <w:trPr>
          <w:tblHeader w:val="true"/>
        </w:trPr>
        <w:tc>
          <w:tcPr>
            <w:tcW w:w="2281" w:type="dxa"/>
            <w:tcBorders/>
            <w:vAlign w:val="center"/>
          </w:tcPr>
          <w:p>
            <w:pPr>
              <w:pStyle w:val="TableHeading"/>
              <w:suppressLineNumbers/>
              <w:bidi w:val="0"/>
              <w:jc w:val="center"/>
              <w:rPr/>
            </w:pPr>
            <w:r>
              <w:rPr/>
              <w:t>block</w:t>
            </w:r>
          </w:p>
        </w:tc>
        <w:tc>
          <w:tcPr>
            <w:tcW w:w="871" w:type="dxa"/>
            <w:tcBorders/>
            <w:vAlign w:val="center"/>
          </w:tcPr>
          <w:p>
            <w:pPr>
              <w:pStyle w:val="TableHeading"/>
              <w:bidi w:val="0"/>
              <w:jc w:val="right"/>
              <w:rPr/>
            </w:pPr>
            <w:r>
              <w:rPr/>
              <w:t>Jan</w:t>
            </w:r>
          </w:p>
        </w:tc>
        <w:tc>
          <w:tcPr>
            <w:tcW w:w="871" w:type="dxa"/>
            <w:tcBorders/>
            <w:vAlign w:val="center"/>
          </w:tcPr>
          <w:p>
            <w:pPr>
              <w:pStyle w:val="TableHeading"/>
              <w:bidi w:val="0"/>
              <w:jc w:val="right"/>
              <w:rPr/>
            </w:pPr>
            <w:r>
              <w:rPr/>
              <w:t>Feb</w:t>
            </w:r>
          </w:p>
        </w:tc>
        <w:tc>
          <w:tcPr>
            <w:tcW w:w="871" w:type="dxa"/>
            <w:tcBorders/>
            <w:vAlign w:val="center"/>
          </w:tcPr>
          <w:p>
            <w:pPr>
              <w:pStyle w:val="TableHeading"/>
              <w:bidi w:val="0"/>
              <w:jc w:val="right"/>
              <w:rPr/>
            </w:pPr>
            <w:r>
              <w:rPr/>
              <w:t>Mar</w:t>
            </w:r>
          </w:p>
        </w:tc>
        <w:tc>
          <w:tcPr>
            <w:tcW w:w="725" w:type="dxa"/>
            <w:tcBorders/>
            <w:vAlign w:val="center"/>
          </w:tcPr>
          <w:p>
            <w:pPr>
              <w:pStyle w:val="TableHeading"/>
              <w:bidi w:val="0"/>
              <w:jc w:val="right"/>
              <w:rPr/>
            </w:pPr>
            <w:r>
              <w:rPr/>
              <w:t>Apr</w:t>
            </w:r>
          </w:p>
        </w:tc>
        <w:tc>
          <w:tcPr>
            <w:tcW w:w="871" w:type="dxa"/>
            <w:tcBorders/>
            <w:vAlign w:val="center"/>
          </w:tcPr>
          <w:p>
            <w:pPr>
              <w:pStyle w:val="TableHeading"/>
              <w:bidi w:val="0"/>
              <w:jc w:val="right"/>
              <w:rPr/>
            </w:pPr>
            <w:r>
              <w:rPr/>
              <w:t>May</w:t>
            </w:r>
          </w:p>
        </w:tc>
        <w:tc>
          <w:tcPr>
            <w:tcW w:w="725" w:type="dxa"/>
            <w:tcBorders/>
            <w:vAlign w:val="center"/>
          </w:tcPr>
          <w:p>
            <w:pPr>
              <w:pStyle w:val="TableHeading"/>
              <w:bidi w:val="0"/>
              <w:jc w:val="right"/>
              <w:rPr/>
            </w:pPr>
            <w:r>
              <w:rPr/>
              <w:t>Jun</w:t>
            </w:r>
          </w:p>
        </w:tc>
        <w:tc>
          <w:tcPr>
            <w:tcW w:w="871" w:type="dxa"/>
            <w:tcBorders/>
            <w:vAlign w:val="center"/>
          </w:tcPr>
          <w:p>
            <w:pPr>
              <w:pStyle w:val="TableHeading"/>
              <w:bidi w:val="0"/>
              <w:jc w:val="right"/>
              <w:rPr/>
            </w:pPr>
            <w:r>
              <w:rPr/>
              <w:t>Jul</w:t>
            </w:r>
          </w:p>
        </w:tc>
        <w:tc>
          <w:tcPr>
            <w:tcW w:w="725" w:type="dxa"/>
            <w:tcBorders/>
            <w:vAlign w:val="center"/>
          </w:tcPr>
          <w:p>
            <w:pPr>
              <w:pStyle w:val="TableHeading"/>
              <w:bidi w:val="0"/>
              <w:jc w:val="right"/>
              <w:rPr/>
            </w:pPr>
            <w:r>
              <w:rPr/>
              <w:t>Aug</w:t>
            </w:r>
          </w:p>
        </w:tc>
        <w:tc>
          <w:tcPr>
            <w:tcW w:w="725" w:type="dxa"/>
            <w:tcBorders/>
            <w:vAlign w:val="center"/>
          </w:tcPr>
          <w:p>
            <w:pPr>
              <w:pStyle w:val="TableHeading"/>
              <w:bidi w:val="0"/>
              <w:jc w:val="right"/>
              <w:rPr/>
            </w:pPr>
            <w:r>
              <w:rPr/>
              <w:t>Sep</w:t>
            </w:r>
          </w:p>
        </w:tc>
        <w:tc>
          <w:tcPr>
            <w:tcW w:w="725" w:type="dxa"/>
            <w:tcBorders/>
            <w:vAlign w:val="center"/>
          </w:tcPr>
          <w:p>
            <w:pPr>
              <w:pStyle w:val="TableHeading"/>
              <w:bidi w:val="0"/>
              <w:jc w:val="right"/>
              <w:rPr/>
            </w:pPr>
            <w:r>
              <w:rPr/>
              <w:t>Oct</w:t>
            </w:r>
          </w:p>
        </w:tc>
        <w:tc>
          <w:tcPr>
            <w:tcW w:w="725" w:type="dxa"/>
            <w:tcBorders/>
            <w:vAlign w:val="center"/>
          </w:tcPr>
          <w:p>
            <w:pPr>
              <w:pStyle w:val="TableHeading"/>
              <w:bidi w:val="0"/>
              <w:jc w:val="right"/>
              <w:rPr/>
            </w:pPr>
            <w:r>
              <w:rPr/>
              <w:t>Nov</w:t>
            </w:r>
          </w:p>
        </w:tc>
        <w:tc>
          <w:tcPr>
            <w:tcW w:w="725" w:type="dxa"/>
            <w:tcBorders/>
            <w:vAlign w:val="center"/>
          </w:tcPr>
          <w:p>
            <w:pPr>
              <w:pStyle w:val="TableHeading"/>
              <w:bidi w:val="0"/>
              <w:jc w:val="right"/>
              <w:rPr/>
            </w:pPr>
            <w:r>
              <w:rPr/>
              <w:t>Dec</w:t>
            </w:r>
          </w:p>
        </w:tc>
        <w:tc>
          <w:tcPr>
            <w:tcW w:w="916" w:type="dxa"/>
            <w:tcBorders/>
            <w:vAlign w:val="center"/>
          </w:tcPr>
          <w:p>
            <w:pPr>
              <w:pStyle w:val="TableHeading"/>
              <w:bidi w:val="0"/>
              <w:jc w:val="right"/>
              <w:rPr/>
            </w:pPr>
            <w:r>
              <w:rPr/>
              <w:t>year</w:t>
            </w:r>
          </w:p>
        </w:tc>
      </w:tr>
      <w:tr>
        <w:trPr/>
        <w:tc>
          <w:tcPr>
            <w:tcW w:w="2281" w:type="dxa"/>
            <w:tcBorders/>
            <w:vAlign w:val="center"/>
          </w:tcPr>
          <w:p>
            <w:pPr>
              <w:pStyle w:val="TableContents"/>
              <w:widowControl w:val="false"/>
              <w:suppressLineNumbers/>
              <w:bidi w:val="0"/>
              <w:jc w:val="left"/>
              <w:rPr/>
            </w:pPr>
            <w:r>
              <w:rPr>
                <w:rStyle w:val="SourceText"/>
              </w:rPr>
              <w:t>PRU reference</w:t>
            </w:r>
            <w:r>
              <w:rPr/>
              <w:t xml:space="preserve"> against </w:t>
            </w:r>
            <w:r>
              <w:rPr>
                <w:rStyle w:val="SourceText"/>
              </w:rPr>
              <w:t>airport mean</w:t>
            </w:r>
          </w:p>
        </w:tc>
        <w:tc>
          <w:tcPr>
            <w:tcW w:w="871" w:type="dxa"/>
            <w:tcBorders/>
            <w:vAlign w:val="center"/>
          </w:tcPr>
          <w:p>
            <w:pPr>
              <w:pStyle w:val="TableContents"/>
              <w:bidi w:val="0"/>
              <w:jc w:val="right"/>
              <w:rPr/>
            </w:pPr>
            <w:r>
              <w:rPr/>
              <w:t>+41.1 [+46.9; 2 out]</w:t>
            </w:r>
          </w:p>
        </w:tc>
        <w:tc>
          <w:tcPr>
            <w:tcW w:w="871" w:type="dxa"/>
            <w:tcBorders/>
            <w:vAlign w:val="center"/>
          </w:tcPr>
          <w:p>
            <w:pPr>
              <w:pStyle w:val="TableContents"/>
              <w:bidi w:val="0"/>
              <w:jc w:val="right"/>
              <w:rPr/>
            </w:pPr>
            <w:r>
              <w:rPr/>
              <w:t>+43.8 [+43.8; 1 out]</w:t>
            </w:r>
          </w:p>
        </w:tc>
        <w:tc>
          <w:tcPr>
            <w:tcW w:w="871" w:type="dxa"/>
            <w:tcBorders/>
            <w:vAlign w:val="center"/>
          </w:tcPr>
          <w:p>
            <w:pPr>
              <w:pStyle w:val="TableContents"/>
              <w:bidi w:val="0"/>
              <w:jc w:val="right"/>
              <w:rPr/>
            </w:pPr>
            <w:r>
              <w:rPr/>
              <w:t>+45.2 [+45.4; 1 out]</w:t>
            </w:r>
          </w:p>
        </w:tc>
        <w:tc>
          <w:tcPr>
            <w:tcW w:w="725" w:type="dxa"/>
            <w:tcBorders/>
            <w:vAlign w:val="center"/>
          </w:tcPr>
          <w:p>
            <w:pPr>
              <w:pStyle w:val="TableContents"/>
              <w:bidi w:val="0"/>
              <w:jc w:val="right"/>
              <w:rPr/>
            </w:pPr>
            <w:r>
              <w:rPr/>
              <w:t>+46.5</w:t>
            </w:r>
          </w:p>
        </w:tc>
        <w:tc>
          <w:tcPr>
            <w:tcW w:w="871" w:type="dxa"/>
            <w:tcBorders/>
            <w:vAlign w:val="center"/>
          </w:tcPr>
          <w:p>
            <w:pPr>
              <w:pStyle w:val="TableContents"/>
              <w:bidi w:val="0"/>
              <w:jc w:val="right"/>
              <w:rPr/>
            </w:pPr>
            <w:r>
              <w:rPr/>
              <w:t>+47.1 [+52.9; 1 out]</w:t>
            </w:r>
          </w:p>
        </w:tc>
        <w:tc>
          <w:tcPr>
            <w:tcW w:w="725" w:type="dxa"/>
            <w:tcBorders/>
            <w:vAlign w:val="center"/>
          </w:tcPr>
          <w:p>
            <w:pPr>
              <w:pStyle w:val="TableContents"/>
              <w:bidi w:val="0"/>
              <w:jc w:val="right"/>
              <w:rPr/>
            </w:pPr>
            <w:r>
              <w:rPr/>
              <w:t>+55.3</w:t>
            </w:r>
          </w:p>
        </w:tc>
        <w:tc>
          <w:tcPr>
            <w:tcW w:w="871" w:type="dxa"/>
            <w:tcBorders/>
            <w:vAlign w:val="center"/>
          </w:tcPr>
          <w:p>
            <w:pPr>
              <w:pStyle w:val="TableContents"/>
              <w:bidi w:val="0"/>
              <w:jc w:val="right"/>
              <w:rPr/>
            </w:pPr>
            <w:r>
              <w:rPr/>
              <w:t>+65.0 [+70.4; 2 out]</w:t>
            </w:r>
          </w:p>
        </w:tc>
        <w:tc>
          <w:tcPr>
            <w:tcW w:w="725" w:type="dxa"/>
            <w:tcBorders/>
            <w:vAlign w:val="center"/>
          </w:tcPr>
          <w:p>
            <w:pPr>
              <w:pStyle w:val="TableContents"/>
              <w:bidi w:val="0"/>
              <w:jc w:val="right"/>
              <w:rPr/>
            </w:pPr>
            <w:r>
              <w:rPr/>
              <w:t>+61.7</w:t>
            </w:r>
          </w:p>
        </w:tc>
        <w:tc>
          <w:tcPr>
            <w:tcW w:w="725" w:type="dxa"/>
            <w:tcBorders/>
            <w:vAlign w:val="center"/>
          </w:tcPr>
          <w:p>
            <w:pPr>
              <w:pStyle w:val="TableContents"/>
              <w:bidi w:val="0"/>
              <w:jc w:val="right"/>
              <w:rPr/>
            </w:pPr>
            <w:r>
              <w:rPr/>
              <w:t>+66.8</w:t>
            </w:r>
          </w:p>
        </w:tc>
        <w:tc>
          <w:tcPr>
            <w:tcW w:w="725" w:type="dxa"/>
            <w:tcBorders/>
            <w:vAlign w:val="center"/>
          </w:tcPr>
          <w:p>
            <w:pPr>
              <w:pStyle w:val="TableContents"/>
              <w:bidi w:val="0"/>
              <w:jc w:val="right"/>
              <w:rPr/>
            </w:pPr>
            <w:r>
              <w:rPr/>
              <w:t>+61.3</w:t>
            </w:r>
          </w:p>
        </w:tc>
        <w:tc>
          <w:tcPr>
            <w:tcW w:w="725" w:type="dxa"/>
            <w:tcBorders/>
            <w:vAlign w:val="center"/>
          </w:tcPr>
          <w:p>
            <w:pPr>
              <w:pStyle w:val="TableContents"/>
              <w:bidi w:val="0"/>
              <w:jc w:val="right"/>
              <w:rPr/>
            </w:pPr>
            <w:r>
              <w:rPr/>
              <w:t>+49.8</w:t>
            </w:r>
          </w:p>
        </w:tc>
        <w:tc>
          <w:tcPr>
            <w:tcW w:w="725" w:type="dxa"/>
            <w:tcBorders/>
            <w:vAlign w:val="center"/>
          </w:tcPr>
          <w:p>
            <w:pPr>
              <w:pStyle w:val="TableContents"/>
              <w:bidi w:val="0"/>
              <w:jc w:val="right"/>
              <w:rPr/>
            </w:pPr>
            <w:r>
              <w:rPr/>
              <w:t>+55.8</w:t>
            </w:r>
          </w:p>
        </w:tc>
        <w:tc>
          <w:tcPr>
            <w:tcW w:w="916" w:type="dxa"/>
            <w:tcBorders/>
            <w:vAlign w:val="center"/>
          </w:tcPr>
          <w:p>
            <w:pPr>
              <w:pStyle w:val="TableContents"/>
              <w:bidi w:val="0"/>
              <w:jc w:val="right"/>
              <w:rPr/>
            </w:pPr>
            <w:r>
              <w:rPr/>
              <w:t>+53.3 [+55.1; 7 out]</w:t>
            </w:r>
          </w:p>
        </w:tc>
      </w:tr>
      <w:tr>
        <w:trPr/>
        <w:tc>
          <w:tcPr>
            <w:tcW w:w="2281" w:type="dxa"/>
            <w:tcBorders/>
            <w:vAlign w:val="center"/>
          </w:tcPr>
          <w:p>
            <w:pPr>
              <w:pStyle w:val="TableContents"/>
              <w:widowControl w:val="false"/>
              <w:suppressLineNumbers/>
              <w:bidi w:val="0"/>
              <w:jc w:val="left"/>
              <w:rPr/>
            </w:pPr>
            <w:r>
              <w:rPr>
                <w:rStyle w:val="SourceText"/>
              </w:rPr>
              <w:t>geometric unimpeded</w:t>
            </w:r>
            <w:r>
              <w:rPr/>
              <w:t xml:space="preserve"> against </w:t>
            </w:r>
            <w:r>
              <w:rPr>
                <w:rStyle w:val="SourceText"/>
              </w:rPr>
              <w:t>PRU reference</w:t>
            </w:r>
          </w:p>
        </w:tc>
        <w:tc>
          <w:tcPr>
            <w:tcW w:w="871" w:type="dxa"/>
            <w:tcBorders/>
            <w:vAlign w:val="center"/>
          </w:tcPr>
          <w:p>
            <w:pPr>
              <w:pStyle w:val="TableContents"/>
              <w:bidi w:val="0"/>
              <w:jc w:val="right"/>
              <w:rPr/>
            </w:pPr>
            <w:r>
              <w:rPr/>
              <w:t>+7.9 [+9.0; 2 out]</w:t>
            </w:r>
          </w:p>
        </w:tc>
        <w:tc>
          <w:tcPr>
            <w:tcW w:w="871" w:type="dxa"/>
            <w:tcBorders/>
            <w:vAlign w:val="center"/>
          </w:tcPr>
          <w:p>
            <w:pPr>
              <w:pStyle w:val="TableContents"/>
              <w:bidi w:val="0"/>
              <w:jc w:val="right"/>
              <w:rPr/>
            </w:pPr>
            <w:r>
              <w:rPr/>
              <w:t>+10.9 [+11.1; 1 out]</w:t>
            </w:r>
          </w:p>
        </w:tc>
        <w:tc>
          <w:tcPr>
            <w:tcW w:w="871" w:type="dxa"/>
            <w:tcBorders/>
            <w:vAlign w:val="center"/>
          </w:tcPr>
          <w:p>
            <w:pPr>
              <w:pStyle w:val="TableContents"/>
              <w:bidi w:val="0"/>
              <w:jc w:val="right"/>
              <w:rPr/>
            </w:pPr>
            <w:r>
              <w:rPr/>
              <w:t>+8.9 [+9.1; 1 out]</w:t>
            </w:r>
          </w:p>
        </w:tc>
        <w:tc>
          <w:tcPr>
            <w:tcW w:w="725" w:type="dxa"/>
            <w:tcBorders/>
            <w:vAlign w:val="center"/>
          </w:tcPr>
          <w:p>
            <w:pPr>
              <w:pStyle w:val="TableContents"/>
              <w:bidi w:val="0"/>
              <w:jc w:val="right"/>
              <w:rPr/>
            </w:pPr>
            <w:r>
              <w:rPr/>
              <w:t>+13.9</w:t>
            </w:r>
          </w:p>
        </w:tc>
        <w:tc>
          <w:tcPr>
            <w:tcW w:w="871" w:type="dxa"/>
            <w:tcBorders/>
            <w:vAlign w:val="center"/>
          </w:tcPr>
          <w:p>
            <w:pPr>
              <w:pStyle w:val="TableContents"/>
              <w:bidi w:val="0"/>
              <w:jc w:val="right"/>
              <w:rPr/>
            </w:pPr>
            <w:r>
              <w:rPr/>
              <w:t>+10.0 [+11.3; 1 out]</w:t>
            </w:r>
          </w:p>
        </w:tc>
        <w:tc>
          <w:tcPr>
            <w:tcW w:w="725" w:type="dxa"/>
            <w:tcBorders/>
            <w:vAlign w:val="center"/>
          </w:tcPr>
          <w:p>
            <w:pPr>
              <w:pStyle w:val="TableContents"/>
              <w:bidi w:val="0"/>
              <w:jc w:val="right"/>
              <w:rPr/>
            </w:pPr>
            <w:r>
              <w:rPr/>
              <w:t>+12.6</w:t>
            </w:r>
          </w:p>
        </w:tc>
        <w:tc>
          <w:tcPr>
            <w:tcW w:w="871" w:type="dxa"/>
            <w:tcBorders/>
            <w:vAlign w:val="center"/>
          </w:tcPr>
          <w:p>
            <w:pPr>
              <w:pStyle w:val="TableContents"/>
              <w:bidi w:val="0"/>
              <w:jc w:val="right"/>
              <w:rPr/>
            </w:pPr>
            <w:r>
              <w:rPr/>
              <w:t>+10.5 [+11.4; 2 out]</w:t>
            </w:r>
          </w:p>
        </w:tc>
        <w:tc>
          <w:tcPr>
            <w:tcW w:w="725" w:type="dxa"/>
            <w:tcBorders/>
            <w:vAlign w:val="center"/>
          </w:tcPr>
          <w:p>
            <w:pPr>
              <w:pStyle w:val="TableContents"/>
              <w:bidi w:val="0"/>
              <w:jc w:val="right"/>
              <w:rPr/>
            </w:pPr>
            <w:r>
              <w:rPr/>
              <w:t>+16.0</w:t>
            </w:r>
          </w:p>
        </w:tc>
        <w:tc>
          <w:tcPr>
            <w:tcW w:w="725" w:type="dxa"/>
            <w:tcBorders/>
            <w:vAlign w:val="center"/>
          </w:tcPr>
          <w:p>
            <w:pPr>
              <w:pStyle w:val="TableContents"/>
              <w:bidi w:val="0"/>
              <w:jc w:val="right"/>
              <w:rPr/>
            </w:pPr>
            <w:r>
              <w:rPr/>
              <w:t>+14.0</w:t>
            </w:r>
          </w:p>
        </w:tc>
        <w:tc>
          <w:tcPr>
            <w:tcW w:w="725" w:type="dxa"/>
            <w:tcBorders/>
            <w:vAlign w:val="center"/>
          </w:tcPr>
          <w:p>
            <w:pPr>
              <w:pStyle w:val="TableContents"/>
              <w:bidi w:val="0"/>
              <w:jc w:val="right"/>
              <w:rPr/>
            </w:pPr>
            <w:r>
              <w:rPr/>
              <w:t>+14.0</w:t>
            </w:r>
          </w:p>
        </w:tc>
        <w:tc>
          <w:tcPr>
            <w:tcW w:w="725" w:type="dxa"/>
            <w:tcBorders/>
            <w:vAlign w:val="center"/>
          </w:tcPr>
          <w:p>
            <w:pPr>
              <w:pStyle w:val="TableContents"/>
              <w:bidi w:val="0"/>
              <w:jc w:val="right"/>
              <w:rPr/>
            </w:pPr>
            <w:r>
              <w:rPr/>
              <w:t>+13.9</w:t>
            </w:r>
          </w:p>
        </w:tc>
        <w:tc>
          <w:tcPr>
            <w:tcW w:w="725" w:type="dxa"/>
            <w:tcBorders/>
            <w:vAlign w:val="center"/>
          </w:tcPr>
          <w:p>
            <w:pPr>
              <w:pStyle w:val="TableContents"/>
              <w:bidi w:val="0"/>
              <w:jc w:val="right"/>
              <w:rPr/>
            </w:pPr>
            <w:r>
              <w:rPr/>
              <w:t>+12.5</w:t>
            </w:r>
          </w:p>
        </w:tc>
        <w:tc>
          <w:tcPr>
            <w:tcW w:w="916" w:type="dxa"/>
            <w:tcBorders/>
            <w:vAlign w:val="center"/>
          </w:tcPr>
          <w:p>
            <w:pPr>
              <w:pStyle w:val="TableContents"/>
              <w:bidi w:val="0"/>
              <w:jc w:val="right"/>
              <w:rPr/>
            </w:pPr>
            <w:r>
              <w:rPr/>
              <w:t>+12.0 [+12.4; 7 out]</w:t>
            </w:r>
          </w:p>
        </w:tc>
      </w:tr>
      <w:tr>
        <w:trPr/>
        <w:tc>
          <w:tcPr>
            <w:tcW w:w="2281" w:type="dxa"/>
            <w:tcBorders/>
            <w:vAlign w:val="center"/>
          </w:tcPr>
          <w:p>
            <w:pPr>
              <w:pStyle w:val="TableContents"/>
              <w:widowControl w:val="false"/>
              <w:suppressLineNumbers/>
              <w:bidi w:val="0"/>
              <w:jc w:val="left"/>
              <w:rPr/>
            </w:pPr>
            <w:r>
              <w:rPr>
                <w:rStyle w:val="SourceText"/>
              </w:rPr>
              <w:t>geometric unimpeded + wake class</w:t>
            </w:r>
            <w:r>
              <w:rPr/>
              <w:t xml:space="preserve"> against </w:t>
            </w:r>
            <w:r>
              <w:rPr>
                <w:rStyle w:val="SourceText"/>
              </w:rPr>
              <w:t>geometric unimpeded</w:t>
            </w:r>
          </w:p>
        </w:tc>
        <w:tc>
          <w:tcPr>
            <w:tcW w:w="871" w:type="dxa"/>
            <w:tcBorders/>
            <w:vAlign w:val="center"/>
          </w:tcPr>
          <w:p>
            <w:pPr>
              <w:pStyle w:val="TableContents"/>
              <w:bidi w:val="0"/>
              <w:jc w:val="right"/>
              <w:rPr/>
            </w:pPr>
            <w:r>
              <w:rPr/>
              <w:t>-9.6 [-11.0; 2 out]</w:t>
            </w:r>
          </w:p>
        </w:tc>
        <w:tc>
          <w:tcPr>
            <w:tcW w:w="871" w:type="dxa"/>
            <w:tcBorders/>
            <w:vAlign w:val="center"/>
          </w:tcPr>
          <w:p>
            <w:pPr>
              <w:pStyle w:val="TableContents"/>
              <w:bidi w:val="0"/>
              <w:jc w:val="right"/>
              <w:rPr/>
            </w:pPr>
            <w:r>
              <w:rPr/>
              <w:t>-9.1 [-9.1; 1 out]</w:t>
            </w:r>
          </w:p>
        </w:tc>
        <w:tc>
          <w:tcPr>
            <w:tcW w:w="871" w:type="dxa"/>
            <w:tcBorders/>
            <w:vAlign w:val="center"/>
          </w:tcPr>
          <w:p>
            <w:pPr>
              <w:pStyle w:val="TableContents"/>
              <w:bidi w:val="0"/>
              <w:jc w:val="right"/>
              <w:rPr/>
            </w:pPr>
            <w:r>
              <w:rPr/>
              <w:t>-9.6 [-9.7; 1 out]</w:t>
            </w:r>
          </w:p>
        </w:tc>
        <w:tc>
          <w:tcPr>
            <w:tcW w:w="725" w:type="dxa"/>
            <w:tcBorders/>
            <w:vAlign w:val="center"/>
          </w:tcPr>
          <w:p>
            <w:pPr>
              <w:pStyle w:val="TableContents"/>
              <w:bidi w:val="0"/>
              <w:jc w:val="right"/>
              <w:rPr/>
            </w:pPr>
            <w:r>
              <w:rPr/>
              <w:t>-10.7</w:t>
            </w:r>
          </w:p>
        </w:tc>
        <w:tc>
          <w:tcPr>
            <w:tcW w:w="871" w:type="dxa"/>
            <w:tcBorders/>
            <w:vAlign w:val="center"/>
          </w:tcPr>
          <w:p>
            <w:pPr>
              <w:pStyle w:val="TableContents"/>
              <w:bidi w:val="0"/>
              <w:jc w:val="right"/>
              <w:rPr/>
            </w:pPr>
            <w:r>
              <w:rPr/>
              <w:t>-9.5 [-10.6; 1 out]</w:t>
            </w:r>
          </w:p>
        </w:tc>
        <w:tc>
          <w:tcPr>
            <w:tcW w:w="725" w:type="dxa"/>
            <w:tcBorders/>
            <w:vAlign w:val="center"/>
          </w:tcPr>
          <w:p>
            <w:pPr>
              <w:pStyle w:val="TableContents"/>
              <w:bidi w:val="0"/>
              <w:jc w:val="right"/>
              <w:rPr/>
            </w:pPr>
            <w:r>
              <w:rPr/>
              <w:t>-10.3</w:t>
            </w:r>
          </w:p>
        </w:tc>
        <w:tc>
          <w:tcPr>
            <w:tcW w:w="871" w:type="dxa"/>
            <w:tcBorders/>
            <w:vAlign w:val="center"/>
          </w:tcPr>
          <w:p>
            <w:pPr>
              <w:pStyle w:val="TableContents"/>
              <w:bidi w:val="0"/>
              <w:jc w:val="right"/>
              <w:rPr/>
            </w:pPr>
            <w:r>
              <w:rPr/>
              <w:t>-9.7 [-10.5; 2 out]</w:t>
            </w:r>
          </w:p>
        </w:tc>
        <w:tc>
          <w:tcPr>
            <w:tcW w:w="725" w:type="dxa"/>
            <w:tcBorders/>
            <w:vAlign w:val="center"/>
          </w:tcPr>
          <w:p>
            <w:pPr>
              <w:pStyle w:val="TableContents"/>
              <w:bidi w:val="0"/>
              <w:jc w:val="right"/>
              <w:rPr/>
            </w:pPr>
            <w:r>
              <w:rPr/>
              <w:t>-11.0</w:t>
            </w:r>
          </w:p>
        </w:tc>
        <w:tc>
          <w:tcPr>
            <w:tcW w:w="725" w:type="dxa"/>
            <w:tcBorders/>
            <w:vAlign w:val="center"/>
          </w:tcPr>
          <w:p>
            <w:pPr>
              <w:pStyle w:val="TableContents"/>
              <w:bidi w:val="0"/>
              <w:jc w:val="right"/>
              <w:rPr/>
            </w:pPr>
            <w:r>
              <w:rPr/>
              <w:t>-11.2</w:t>
            </w:r>
          </w:p>
        </w:tc>
        <w:tc>
          <w:tcPr>
            <w:tcW w:w="725" w:type="dxa"/>
            <w:tcBorders/>
            <w:vAlign w:val="center"/>
          </w:tcPr>
          <w:p>
            <w:pPr>
              <w:pStyle w:val="TableContents"/>
              <w:bidi w:val="0"/>
              <w:jc w:val="right"/>
              <w:rPr/>
            </w:pPr>
            <w:r>
              <w:rPr/>
              <w:t>-10.0</w:t>
            </w:r>
          </w:p>
        </w:tc>
        <w:tc>
          <w:tcPr>
            <w:tcW w:w="725" w:type="dxa"/>
            <w:tcBorders/>
            <w:vAlign w:val="center"/>
          </w:tcPr>
          <w:p>
            <w:pPr>
              <w:pStyle w:val="TableContents"/>
              <w:bidi w:val="0"/>
              <w:jc w:val="right"/>
              <w:rPr/>
            </w:pPr>
            <w:r>
              <w:rPr/>
              <w:t>-11.1</w:t>
            </w:r>
          </w:p>
        </w:tc>
        <w:tc>
          <w:tcPr>
            <w:tcW w:w="725" w:type="dxa"/>
            <w:tcBorders/>
            <w:vAlign w:val="center"/>
          </w:tcPr>
          <w:p>
            <w:pPr>
              <w:pStyle w:val="TableContents"/>
              <w:bidi w:val="0"/>
              <w:jc w:val="right"/>
              <w:rPr/>
            </w:pPr>
            <w:r>
              <w:rPr/>
              <w:t>-11.7</w:t>
            </w:r>
          </w:p>
        </w:tc>
        <w:tc>
          <w:tcPr>
            <w:tcW w:w="916" w:type="dxa"/>
            <w:tcBorders/>
            <w:vAlign w:val="center"/>
          </w:tcPr>
          <w:p>
            <w:pPr>
              <w:pStyle w:val="TableContents"/>
              <w:bidi w:val="0"/>
              <w:jc w:val="right"/>
              <w:rPr/>
            </w:pPr>
            <w:r>
              <w:rPr/>
              <w:t>-10.2 [-10.5; 7 out]</w:t>
            </w:r>
          </w:p>
        </w:tc>
      </w:tr>
      <w:tr>
        <w:trPr/>
        <w:tc>
          <w:tcPr>
            <w:tcW w:w="2281" w:type="dxa"/>
            <w:tcBorders/>
            <w:vAlign w:val="center"/>
          </w:tcPr>
          <w:p>
            <w:pPr>
              <w:pStyle w:val="TableContents"/>
              <w:widowControl w:val="false"/>
              <w:suppressLineNumbers/>
              <w:bidi w:val="0"/>
              <w:jc w:val="left"/>
              <w:rPr/>
            </w:pPr>
            <w:r>
              <w:rPr>
                <w:rStyle w:val="SourceText"/>
              </w:rPr>
              <w:t>identifiers + time</w:t>
            </w:r>
            <w:r>
              <w:rPr/>
              <w:t xml:space="preserve"> against </w:t>
            </w:r>
            <w:r>
              <w:rPr>
                <w:rStyle w:val="SourceText"/>
              </w:rPr>
              <w:t>geometric unimpeded + wake class</w:t>
            </w:r>
          </w:p>
        </w:tc>
        <w:tc>
          <w:tcPr>
            <w:tcW w:w="871" w:type="dxa"/>
            <w:tcBorders/>
            <w:vAlign w:val="center"/>
          </w:tcPr>
          <w:p>
            <w:pPr>
              <w:pStyle w:val="TableContents"/>
              <w:bidi w:val="0"/>
              <w:jc w:val="right"/>
              <w:rPr/>
            </w:pPr>
            <w:r>
              <w:rPr/>
              <w:t>-75.8 [-88.3; 2 out]</w:t>
            </w:r>
          </w:p>
        </w:tc>
        <w:tc>
          <w:tcPr>
            <w:tcW w:w="871" w:type="dxa"/>
            <w:tcBorders/>
            <w:vAlign w:val="center"/>
          </w:tcPr>
          <w:p>
            <w:pPr>
              <w:pStyle w:val="TableContents"/>
              <w:bidi w:val="0"/>
              <w:jc w:val="right"/>
              <w:rPr/>
            </w:pPr>
            <w:r>
              <w:rPr/>
              <w:t>-108.6 [-109.1; 1 out]</w:t>
            </w:r>
          </w:p>
        </w:tc>
        <w:tc>
          <w:tcPr>
            <w:tcW w:w="871" w:type="dxa"/>
            <w:tcBorders/>
            <w:vAlign w:val="center"/>
          </w:tcPr>
          <w:p>
            <w:pPr>
              <w:pStyle w:val="TableContents"/>
              <w:bidi w:val="0"/>
              <w:jc w:val="right"/>
              <w:rPr/>
            </w:pPr>
            <w:r>
              <w:rPr/>
              <w:t>-105.0 [-106.2; 1 out]</w:t>
            </w:r>
          </w:p>
        </w:tc>
        <w:tc>
          <w:tcPr>
            <w:tcW w:w="725" w:type="dxa"/>
            <w:tcBorders/>
            <w:vAlign w:val="center"/>
          </w:tcPr>
          <w:p>
            <w:pPr>
              <w:pStyle w:val="TableContents"/>
              <w:bidi w:val="0"/>
              <w:jc w:val="right"/>
              <w:rPr/>
            </w:pPr>
            <w:r>
              <w:rPr/>
              <w:t>-120.6</w:t>
            </w:r>
          </w:p>
        </w:tc>
        <w:tc>
          <w:tcPr>
            <w:tcW w:w="871" w:type="dxa"/>
            <w:tcBorders/>
            <w:vAlign w:val="center"/>
          </w:tcPr>
          <w:p>
            <w:pPr>
              <w:pStyle w:val="TableContents"/>
              <w:bidi w:val="0"/>
              <w:jc w:val="right"/>
              <w:rPr/>
            </w:pPr>
            <w:r>
              <w:rPr/>
              <w:t>-109.3 [-127.8; 1 out]</w:t>
            </w:r>
          </w:p>
        </w:tc>
        <w:tc>
          <w:tcPr>
            <w:tcW w:w="725" w:type="dxa"/>
            <w:tcBorders/>
            <w:vAlign w:val="center"/>
          </w:tcPr>
          <w:p>
            <w:pPr>
              <w:pStyle w:val="TableContents"/>
              <w:bidi w:val="0"/>
              <w:jc w:val="right"/>
              <w:rPr/>
            </w:pPr>
            <w:r>
              <w:rPr/>
              <w:t>-123.0</w:t>
            </w:r>
          </w:p>
        </w:tc>
        <w:tc>
          <w:tcPr>
            <w:tcW w:w="871" w:type="dxa"/>
            <w:tcBorders/>
            <w:vAlign w:val="center"/>
          </w:tcPr>
          <w:p>
            <w:pPr>
              <w:pStyle w:val="TableContents"/>
              <w:bidi w:val="0"/>
              <w:jc w:val="right"/>
              <w:rPr/>
            </w:pPr>
            <w:r>
              <w:rPr/>
              <w:t>-126.8 [-140.3; 2 out]</w:t>
            </w:r>
          </w:p>
        </w:tc>
        <w:tc>
          <w:tcPr>
            <w:tcW w:w="725" w:type="dxa"/>
            <w:tcBorders/>
            <w:vAlign w:val="center"/>
          </w:tcPr>
          <w:p>
            <w:pPr>
              <w:pStyle w:val="TableContents"/>
              <w:bidi w:val="0"/>
              <w:jc w:val="right"/>
              <w:rPr/>
            </w:pPr>
            <w:r>
              <w:rPr/>
              <w:t>-134.5</w:t>
            </w:r>
          </w:p>
        </w:tc>
        <w:tc>
          <w:tcPr>
            <w:tcW w:w="725" w:type="dxa"/>
            <w:tcBorders/>
            <w:vAlign w:val="center"/>
          </w:tcPr>
          <w:p>
            <w:pPr>
              <w:pStyle w:val="TableContents"/>
              <w:bidi w:val="0"/>
              <w:jc w:val="right"/>
              <w:rPr/>
            </w:pPr>
            <w:r>
              <w:rPr/>
              <w:t>-139.1</w:t>
            </w:r>
          </w:p>
        </w:tc>
        <w:tc>
          <w:tcPr>
            <w:tcW w:w="725" w:type="dxa"/>
            <w:tcBorders/>
            <w:vAlign w:val="center"/>
          </w:tcPr>
          <w:p>
            <w:pPr>
              <w:pStyle w:val="TableContents"/>
              <w:bidi w:val="0"/>
              <w:jc w:val="right"/>
              <w:rPr/>
            </w:pPr>
            <w:r>
              <w:rPr/>
              <w:t>-129.1</w:t>
            </w:r>
          </w:p>
        </w:tc>
        <w:tc>
          <w:tcPr>
            <w:tcW w:w="725" w:type="dxa"/>
            <w:tcBorders/>
            <w:vAlign w:val="center"/>
          </w:tcPr>
          <w:p>
            <w:pPr>
              <w:pStyle w:val="TableContents"/>
              <w:bidi w:val="0"/>
              <w:jc w:val="right"/>
              <w:rPr/>
            </w:pPr>
            <w:r>
              <w:rPr/>
              <w:t>-122.1</w:t>
            </w:r>
          </w:p>
        </w:tc>
        <w:tc>
          <w:tcPr>
            <w:tcW w:w="725" w:type="dxa"/>
            <w:tcBorders/>
            <w:vAlign w:val="center"/>
          </w:tcPr>
          <w:p>
            <w:pPr>
              <w:pStyle w:val="TableContents"/>
              <w:bidi w:val="0"/>
              <w:jc w:val="right"/>
              <w:rPr/>
            </w:pPr>
            <w:r>
              <w:rPr/>
              <w:t>-112.6</w:t>
            </w:r>
          </w:p>
        </w:tc>
        <w:tc>
          <w:tcPr>
            <w:tcW w:w="916" w:type="dxa"/>
            <w:tcBorders/>
            <w:vAlign w:val="center"/>
          </w:tcPr>
          <w:p>
            <w:pPr>
              <w:pStyle w:val="TableContents"/>
              <w:bidi w:val="0"/>
              <w:jc w:val="right"/>
              <w:rPr/>
            </w:pPr>
            <w:r>
              <w:rPr/>
              <w:t>-116.0 [-121.1; 7 out]</w:t>
            </w:r>
          </w:p>
        </w:tc>
      </w:tr>
      <w:tr>
        <w:trPr/>
        <w:tc>
          <w:tcPr>
            <w:tcW w:w="2281" w:type="dxa"/>
            <w:tcBorders/>
            <w:vAlign w:val="center"/>
          </w:tcPr>
          <w:p>
            <w:pPr>
              <w:pStyle w:val="TableContents"/>
              <w:widowControl w:val="false"/>
              <w:suppressLineNumbers/>
              <w:bidi w:val="0"/>
              <w:jc w:val="left"/>
              <w:rPr/>
            </w:pPr>
            <w:r>
              <w:rPr>
                <w:rStyle w:val="SourceText"/>
              </w:rPr>
              <w:t>identifiers + time + geometry</w:t>
            </w:r>
            <w:r>
              <w:rPr/>
              <w:t xml:space="preserve"> against </w:t>
            </w:r>
            <w:r>
              <w:rPr>
                <w:rStyle w:val="SourceText"/>
              </w:rPr>
              <w:t>identifiers + time</w:t>
            </w:r>
          </w:p>
        </w:tc>
        <w:tc>
          <w:tcPr>
            <w:tcW w:w="871" w:type="dxa"/>
            <w:tcBorders/>
            <w:vAlign w:val="center"/>
          </w:tcPr>
          <w:p>
            <w:pPr>
              <w:pStyle w:val="TableContents"/>
              <w:bidi w:val="0"/>
              <w:jc w:val="right"/>
              <w:rPr/>
            </w:pPr>
            <w:r>
              <w:rPr/>
              <w:t>-1.7 [-2.0; 2 out]</w:t>
            </w:r>
          </w:p>
        </w:tc>
        <w:tc>
          <w:tcPr>
            <w:tcW w:w="871" w:type="dxa"/>
            <w:tcBorders/>
            <w:vAlign w:val="center"/>
          </w:tcPr>
          <w:p>
            <w:pPr>
              <w:pStyle w:val="TableContents"/>
              <w:bidi w:val="0"/>
              <w:jc w:val="right"/>
              <w:rPr/>
            </w:pPr>
            <w:r>
              <w:rPr/>
              <w:t>-5.0 [-5.0; 1 out]</w:t>
            </w:r>
          </w:p>
        </w:tc>
        <w:tc>
          <w:tcPr>
            <w:tcW w:w="871" w:type="dxa"/>
            <w:tcBorders/>
            <w:vAlign w:val="center"/>
          </w:tcPr>
          <w:p>
            <w:pPr>
              <w:pStyle w:val="TableContents"/>
              <w:bidi w:val="0"/>
              <w:jc w:val="right"/>
              <w:rPr/>
            </w:pPr>
            <w:r>
              <w:rPr/>
              <w:t>-2.8 [-2.8;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t>-0.7 [-1.0;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725" w:type="dxa"/>
            <w:tcBorders/>
            <w:vAlign w:val="center"/>
          </w:tcPr>
          <w:p>
            <w:pPr>
              <w:pStyle w:val="TableContents"/>
              <w:bidi w:val="0"/>
              <w:jc w:val="right"/>
              <w:rPr/>
            </w:pPr>
            <w:r>
              <w:rPr/>
              <w:t>-1.8</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t>-1.2</w:t>
            </w:r>
          </w:p>
        </w:tc>
        <w:tc>
          <w:tcPr>
            <w:tcW w:w="725" w:type="dxa"/>
            <w:tcBorders/>
            <w:vAlign w:val="center"/>
          </w:tcPr>
          <w:p>
            <w:pPr>
              <w:pStyle w:val="TableContents"/>
              <w:bidi w:val="0"/>
              <w:jc w:val="right"/>
              <w:rPr/>
            </w:pPr>
            <w:r>
              <w:rPr/>
              <w:t>-1.1</w:t>
            </w:r>
          </w:p>
        </w:tc>
        <w:tc>
          <w:tcPr>
            <w:tcW w:w="725" w:type="dxa"/>
            <w:tcBorders/>
            <w:vAlign w:val="center"/>
          </w:tcPr>
          <w:p>
            <w:pPr>
              <w:pStyle w:val="TableContents"/>
              <w:bidi w:val="0"/>
              <w:jc w:val="right"/>
              <w:rPr/>
            </w:pPr>
            <w:r>
              <w:rPr/>
              <w:t>-2.3</w:t>
            </w:r>
          </w:p>
        </w:tc>
        <w:tc>
          <w:tcPr>
            <w:tcW w:w="916" w:type="dxa"/>
            <w:tcBorders/>
            <w:vAlign w:val="center"/>
          </w:tcPr>
          <w:p>
            <w:pPr>
              <w:pStyle w:val="TableContents"/>
              <w:bidi w:val="0"/>
              <w:jc w:val="right"/>
              <w:rPr/>
            </w:pPr>
            <w:r>
              <w:rPr/>
              <w:t>-1.4 [-1.5; 7 out]</w:t>
            </w:r>
          </w:p>
        </w:tc>
      </w:tr>
      <w:tr>
        <w:trPr/>
        <w:tc>
          <w:tcPr>
            <w:tcW w:w="2281" w:type="dxa"/>
            <w:tcBorders/>
            <w:vAlign w:val="center"/>
          </w:tcPr>
          <w:p>
            <w:pPr>
              <w:pStyle w:val="TableContents"/>
              <w:widowControl w:val="false"/>
              <w:suppressLineNumbers/>
              <w:bidi w:val="0"/>
              <w:jc w:val="left"/>
              <w:rPr/>
            </w:pPr>
            <w:r>
              <w:rPr>
                <w:rStyle w:val="SourceText"/>
              </w:rPr>
              <w:t>identifiers + time + geometry + aircraft</w:t>
            </w:r>
            <w:r>
              <w:rPr/>
              <w:t xml:space="preserve"> against </w:t>
            </w:r>
            <w:r>
              <w:rPr>
                <w:rStyle w:val="SourceText"/>
              </w:rPr>
              <w:t>identifiers + time + geometry</w:t>
            </w:r>
          </w:p>
        </w:tc>
        <w:tc>
          <w:tcPr>
            <w:tcW w:w="871" w:type="dxa"/>
            <w:tcBorders/>
            <w:vAlign w:val="center"/>
          </w:tcPr>
          <w:p>
            <w:pPr>
              <w:pStyle w:val="TableContents"/>
              <w:bidi w:val="0"/>
              <w:jc w:val="right"/>
              <w:rPr/>
            </w:pPr>
            <w:r>
              <w:rPr/>
              <w:t>-5.3 [-6.6; 2 out]</w:t>
            </w:r>
          </w:p>
        </w:tc>
        <w:tc>
          <w:tcPr>
            <w:tcW w:w="871" w:type="dxa"/>
            <w:tcBorders/>
            <w:vAlign w:val="center"/>
          </w:tcPr>
          <w:p>
            <w:pPr>
              <w:pStyle w:val="TableContents"/>
              <w:bidi w:val="0"/>
              <w:jc w:val="right"/>
              <w:rPr/>
            </w:pPr>
            <w:r>
              <w:rPr>
                <w:rStyle w:val="Strong"/>
              </w:rPr>
              <w:t>-1.1</w:t>
            </w:r>
            <w:r>
              <w:rPr/>
              <w:t xml:space="preserve"> [</w:t>
            </w:r>
            <w:r>
              <w:rPr>
                <w:rStyle w:val="Strong"/>
              </w:rPr>
              <w:t>-1.1</w:t>
            </w:r>
            <w:r>
              <w:rPr/>
              <w:t>; 1 out]</w:t>
            </w:r>
          </w:p>
        </w:tc>
        <w:tc>
          <w:tcPr>
            <w:tcW w:w="871" w:type="dxa"/>
            <w:tcBorders/>
            <w:vAlign w:val="center"/>
          </w:tcPr>
          <w:p>
            <w:pPr>
              <w:pStyle w:val="TableContents"/>
              <w:bidi w:val="0"/>
              <w:jc w:val="right"/>
              <w:rPr/>
            </w:pPr>
            <w:r>
              <w:rPr/>
              <w:t>-2.6 [-2.6; 1 out]</w:t>
            </w:r>
          </w:p>
        </w:tc>
        <w:tc>
          <w:tcPr>
            <w:tcW w:w="725" w:type="dxa"/>
            <w:tcBorders/>
            <w:vAlign w:val="center"/>
          </w:tcPr>
          <w:p>
            <w:pPr>
              <w:pStyle w:val="TableContents"/>
              <w:bidi w:val="0"/>
              <w:jc w:val="right"/>
              <w:rPr/>
            </w:pPr>
            <w:r>
              <w:rPr/>
              <w:t>-4.3</w:t>
            </w:r>
          </w:p>
        </w:tc>
        <w:tc>
          <w:tcPr>
            <w:tcW w:w="871" w:type="dxa"/>
            <w:tcBorders/>
            <w:vAlign w:val="center"/>
          </w:tcPr>
          <w:p>
            <w:pPr>
              <w:pStyle w:val="TableContents"/>
              <w:bidi w:val="0"/>
              <w:jc w:val="right"/>
              <w:rPr/>
            </w:pPr>
            <w:r>
              <w:rPr/>
              <w:t>-2.3 [-2.9; 1 out]</w:t>
            </w:r>
          </w:p>
        </w:tc>
        <w:tc>
          <w:tcPr>
            <w:tcW w:w="725" w:type="dxa"/>
            <w:tcBorders/>
            <w:vAlign w:val="center"/>
          </w:tcPr>
          <w:p>
            <w:pPr>
              <w:pStyle w:val="TableContents"/>
              <w:bidi w:val="0"/>
              <w:jc w:val="right"/>
              <w:rPr/>
            </w:pPr>
            <w:r>
              <w:rPr/>
              <w:t>-3.9</w:t>
            </w:r>
          </w:p>
        </w:tc>
        <w:tc>
          <w:tcPr>
            <w:tcW w:w="871" w:type="dxa"/>
            <w:tcBorders/>
            <w:vAlign w:val="center"/>
          </w:tcPr>
          <w:p>
            <w:pPr>
              <w:pStyle w:val="TableContents"/>
              <w:bidi w:val="0"/>
              <w:jc w:val="right"/>
              <w:rPr/>
            </w:pPr>
            <w:r>
              <w:rPr/>
              <w:t>-3.6 [-4.1; 2 out]</w:t>
            </w:r>
          </w:p>
        </w:tc>
        <w:tc>
          <w:tcPr>
            <w:tcW w:w="725" w:type="dxa"/>
            <w:tcBorders/>
            <w:vAlign w:val="center"/>
          </w:tcPr>
          <w:p>
            <w:pPr>
              <w:pStyle w:val="TableContents"/>
              <w:bidi w:val="0"/>
              <w:jc w:val="right"/>
              <w:rPr/>
            </w:pPr>
            <w:r>
              <w:rPr/>
              <w:t>-4.4</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-2.4</w:t>
            </w:r>
          </w:p>
        </w:tc>
        <w:tc>
          <w:tcPr>
            <w:tcW w:w="725" w:type="dxa"/>
            <w:tcBorders/>
            <w:vAlign w:val="center"/>
          </w:tcPr>
          <w:p>
            <w:pPr>
              <w:pStyle w:val="TableContents"/>
              <w:bidi w:val="0"/>
              <w:jc w:val="right"/>
              <w:rPr/>
            </w:pPr>
            <w:r>
              <w:rPr/>
              <w:t>-1.5</w:t>
            </w:r>
          </w:p>
        </w:tc>
        <w:tc>
          <w:tcPr>
            <w:tcW w:w="916" w:type="dxa"/>
            <w:tcBorders/>
            <w:vAlign w:val="center"/>
          </w:tcPr>
          <w:p>
            <w:pPr>
              <w:pStyle w:val="TableContents"/>
              <w:bidi w:val="0"/>
              <w:jc w:val="right"/>
              <w:rPr/>
            </w:pPr>
            <w:r>
              <w:rPr/>
              <w:t>-3.2 [-3.4; 7 out]</w:t>
            </w:r>
          </w:p>
        </w:tc>
      </w:tr>
      <w:tr>
        <w:trPr/>
        <w:tc>
          <w:tcPr>
            <w:tcW w:w="2281" w:type="dxa"/>
            <w:tcBorders/>
            <w:vAlign w:val="center"/>
          </w:tcPr>
          <w:p>
            <w:pPr>
              <w:pStyle w:val="TableContents"/>
              <w:widowControl w:val="false"/>
              <w:suppressLineNumbers/>
              <w:bidi w:val="0"/>
              <w:jc w:val="left"/>
              <w:rPr/>
            </w:pPr>
            <w:r>
              <w:rPr>
                <w:rStyle w:val="SourceText"/>
              </w:rPr>
              <w:t>+ plan lags</w:t>
            </w:r>
            <w:r>
              <w:rPr/>
              <w:t xml:space="preserve"> against </w:t>
            </w:r>
            <w:r>
              <w:rPr>
                <w:rStyle w:val="SourceText"/>
              </w:rPr>
              <w:t>identifiers + time + geometry + aircraft</w:t>
            </w:r>
          </w:p>
        </w:tc>
        <w:tc>
          <w:tcPr>
            <w:tcW w:w="871" w:type="dxa"/>
            <w:tcBorders/>
            <w:vAlign w:val="center"/>
          </w:tcPr>
          <w:p>
            <w:pPr>
              <w:pStyle w:val="TableContents"/>
              <w:bidi w:val="0"/>
              <w:jc w:val="right"/>
              <w:rPr/>
            </w:pPr>
            <w:r>
              <w:rPr/>
              <w:t>-82.7 [-107.8; 2 out]</w:t>
            </w:r>
          </w:p>
        </w:tc>
        <w:tc>
          <w:tcPr>
            <w:tcW w:w="871" w:type="dxa"/>
            <w:tcBorders/>
            <w:vAlign w:val="center"/>
          </w:tcPr>
          <w:p>
            <w:pPr>
              <w:pStyle w:val="TableContents"/>
              <w:bidi w:val="0"/>
              <w:jc w:val="right"/>
              <w:rPr/>
            </w:pPr>
            <w:r>
              <w:rPr/>
              <w:t>-109.8 [-110.7; 1 out]</w:t>
            </w:r>
          </w:p>
        </w:tc>
        <w:tc>
          <w:tcPr>
            <w:tcW w:w="871" w:type="dxa"/>
            <w:tcBorders/>
            <w:vAlign w:val="center"/>
          </w:tcPr>
          <w:p>
            <w:pPr>
              <w:pStyle w:val="TableContents"/>
              <w:bidi w:val="0"/>
              <w:jc w:val="right"/>
              <w:rPr/>
            </w:pPr>
            <w:r>
              <w:rPr/>
              <w:t>-60.9 [-61.0; 1 out]</w:t>
            </w:r>
          </w:p>
        </w:tc>
        <w:tc>
          <w:tcPr>
            <w:tcW w:w="725" w:type="dxa"/>
            <w:tcBorders/>
            <w:vAlign w:val="center"/>
          </w:tcPr>
          <w:p>
            <w:pPr>
              <w:pStyle w:val="TableContents"/>
              <w:bidi w:val="0"/>
              <w:jc w:val="right"/>
              <w:rPr/>
            </w:pPr>
            <w:r>
              <w:rPr/>
              <w:t>-52.1</w:t>
            </w:r>
          </w:p>
        </w:tc>
        <w:tc>
          <w:tcPr>
            <w:tcW w:w="871" w:type="dxa"/>
            <w:tcBorders/>
            <w:vAlign w:val="center"/>
          </w:tcPr>
          <w:p>
            <w:pPr>
              <w:pStyle w:val="TableContents"/>
              <w:bidi w:val="0"/>
              <w:jc w:val="right"/>
              <w:rPr/>
            </w:pPr>
            <w:r>
              <w:rPr/>
              <w:t>-40.0 [-52.1; 1 out]</w:t>
            </w:r>
          </w:p>
        </w:tc>
        <w:tc>
          <w:tcPr>
            <w:tcW w:w="725" w:type="dxa"/>
            <w:tcBorders/>
            <w:vAlign w:val="center"/>
          </w:tcPr>
          <w:p>
            <w:pPr>
              <w:pStyle w:val="TableContents"/>
              <w:bidi w:val="0"/>
              <w:jc w:val="right"/>
              <w:rPr/>
            </w:pPr>
            <w:r>
              <w:rPr/>
              <w:t>-52.3</w:t>
            </w:r>
          </w:p>
        </w:tc>
        <w:tc>
          <w:tcPr>
            <w:tcW w:w="871" w:type="dxa"/>
            <w:tcBorders/>
            <w:vAlign w:val="center"/>
          </w:tcPr>
          <w:p>
            <w:pPr>
              <w:pStyle w:val="TableContents"/>
              <w:bidi w:val="0"/>
              <w:jc w:val="right"/>
              <w:rPr/>
            </w:pPr>
            <w:r>
              <w:rPr/>
              <w:t>-62.1 [-64.5; 2 out]</w:t>
            </w:r>
          </w:p>
        </w:tc>
        <w:tc>
          <w:tcPr>
            <w:tcW w:w="725" w:type="dxa"/>
            <w:tcBorders/>
            <w:vAlign w:val="center"/>
          </w:tcPr>
          <w:p>
            <w:pPr>
              <w:pStyle w:val="TableContents"/>
              <w:bidi w:val="0"/>
              <w:jc w:val="right"/>
              <w:rPr/>
            </w:pPr>
            <w:r>
              <w:rPr/>
              <w:t>-49.3</w:t>
            </w:r>
          </w:p>
        </w:tc>
        <w:tc>
          <w:tcPr>
            <w:tcW w:w="725" w:type="dxa"/>
            <w:tcBorders/>
            <w:vAlign w:val="center"/>
          </w:tcPr>
          <w:p>
            <w:pPr>
              <w:pStyle w:val="TableContents"/>
              <w:bidi w:val="0"/>
              <w:jc w:val="right"/>
              <w:rPr/>
            </w:pPr>
            <w:r>
              <w:rPr/>
              <w:t>-48.2</w:t>
            </w:r>
          </w:p>
        </w:tc>
        <w:tc>
          <w:tcPr>
            <w:tcW w:w="725" w:type="dxa"/>
            <w:tcBorders/>
            <w:vAlign w:val="center"/>
          </w:tcPr>
          <w:p>
            <w:pPr>
              <w:pStyle w:val="TableContents"/>
              <w:bidi w:val="0"/>
              <w:jc w:val="right"/>
              <w:rPr/>
            </w:pPr>
            <w:r>
              <w:rPr/>
              <w:t>-57.8</w:t>
            </w:r>
          </w:p>
        </w:tc>
        <w:tc>
          <w:tcPr>
            <w:tcW w:w="725" w:type="dxa"/>
            <w:tcBorders/>
            <w:vAlign w:val="center"/>
          </w:tcPr>
          <w:p>
            <w:pPr>
              <w:pStyle w:val="TableContents"/>
              <w:bidi w:val="0"/>
              <w:jc w:val="right"/>
              <w:rPr/>
            </w:pPr>
            <w:r>
              <w:rPr/>
              <w:t>-70.1</w:t>
            </w:r>
          </w:p>
        </w:tc>
        <w:tc>
          <w:tcPr>
            <w:tcW w:w="725" w:type="dxa"/>
            <w:tcBorders/>
            <w:vAlign w:val="center"/>
          </w:tcPr>
          <w:p>
            <w:pPr>
              <w:pStyle w:val="TableContents"/>
              <w:bidi w:val="0"/>
              <w:jc w:val="right"/>
              <w:rPr/>
            </w:pPr>
            <w:r>
              <w:rPr/>
              <w:t>-79.3</w:t>
            </w:r>
          </w:p>
        </w:tc>
        <w:tc>
          <w:tcPr>
            <w:tcW w:w="916" w:type="dxa"/>
            <w:tcBorders/>
            <w:vAlign w:val="center"/>
          </w:tcPr>
          <w:p>
            <w:pPr>
              <w:pStyle w:val="TableContents"/>
              <w:bidi w:val="0"/>
              <w:jc w:val="right"/>
              <w:rPr/>
            </w:pPr>
            <w:r>
              <w:rPr/>
              <w:t>-62.9 [-66.9; 7 out]</w:t>
            </w:r>
          </w:p>
        </w:tc>
      </w:tr>
      <w:tr>
        <w:trPr/>
        <w:tc>
          <w:tcPr>
            <w:tcW w:w="2281" w:type="dxa"/>
            <w:tcBorders/>
            <w:vAlign w:val="center"/>
          </w:tcPr>
          <w:p>
            <w:pPr>
              <w:pStyle w:val="TableContents"/>
              <w:widowControl w:val="false"/>
              <w:suppressLineNumbers/>
              <w:bidi w:val="0"/>
              <w:jc w:val="left"/>
              <w:rPr/>
            </w:pPr>
            <w:r>
              <w:rPr>
                <w:rStyle w:val="SourceText"/>
              </w:rPr>
              <w:t>+ runway throughput</w:t>
            </w:r>
            <w:r>
              <w:rPr/>
              <w:t xml:space="preserve"> against </w:t>
            </w:r>
            <w:r>
              <w:rPr>
                <w:rStyle w:val="SourceText"/>
              </w:rPr>
              <w:t>+ plan lags</w:t>
            </w:r>
          </w:p>
        </w:tc>
        <w:tc>
          <w:tcPr>
            <w:tcW w:w="871" w:type="dxa"/>
            <w:tcBorders/>
            <w:vAlign w:val="center"/>
          </w:tcPr>
          <w:p>
            <w:pPr>
              <w:pStyle w:val="TableContents"/>
              <w:bidi w:val="0"/>
              <w:jc w:val="right"/>
              <w:rPr/>
            </w:pPr>
            <w:r>
              <w:rPr/>
              <w:t>-1.0 [-1.3; 2 out]</w:t>
            </w:r>
          </w:p>
        </w:tc>
        <w:tc>
          <w:tcPr>
            <w:tcW w:w="871" w:type="dxa"/>
            <w:tcBorders/>
            <w:vAlign w:val="center"/>
          </w:tcPr>
          <w:p>
            <w:pPr>
              <w:pStyle w:val="TableContents"/>
              <w:bidi w:val="0"/>
              <w:jc w:val="right"/>
              <w:rPr/>
            </w:pPr>
            <w:r>
              <w:rPr/>
              <w:t>-5.0 [-5.1; 1 out]</w:t>
            </w:r>
          </w:p>
        </w:tc>
        <w:tc>
          <w:tcPr>
            <w:tcW w:w="871" w:type="dxa"/>
            <w:tcBorders/>
            <w:vAlign w:val="center"/>
          </w:tcPr>
          <w:p>
            <w:pPr>
              <w:pStyle w:val="TableContents"/>
              <w:bidi w:val="0"/>
              <w:jc w:val="right"/>
              <w:rPr/>
            </w:pPr>
            <w:r>
              <w:rPr/>
              <w:t>-3.4 [-3.7; 1 out]</w:t>
            </w:r>
          </w:p>
        </w:tc>
        <w:tc>
          <w:tcPr>
            <w:tcW w:w="725" w:type="dxa"/>
            <w:tcBorders/>
            <w:vAlign w:val="center"/>
          </w:tcPr>
          <w:p>
            <w:pPr>
              <w:pStyle w:val="TableContents"/>
              <w:bidi w:val="0"/>
              <w:jc w:val="right"/>
              <w:rPr/>
            </w:pPr>
            <w:r>
              <w:rPr/>
              <w:t>-1.7</w:t>
            </w:r>
          </w:p>
        </w:tc>
        <w:tc>
          <w:tcPr>
            <w:tcW w:w="871" w:type="dxa"/>
            <w:tcBorders/>
            <w:vAlign w:val="center"/>
          </w:tcPr>
          <w:p>
            <w:pPr>
              <w:pStyle w:val="TableContents"/>
              <w:bidi w:val="0"/>
              <w:jc w:val="right"/>
              <w:rPr/>
            </w:pPr>
            <w:r>
              <w:rPr/>
              <w:t>-1.4 [-1.9; 1 out]</w:t>
            </w:r>
          </w:p>
        </w:tc>
        <w:tc>
          <w:tcPr>
            <w:tcW w:w="725" w:type="dxa"/>
            <w:tcBorders/>
            <w:vAlign w:val="center"/>
          </w:tcPr>
          <w:p>
            <w:pPr>
              <w:pStyle w:val="TableContents"/>
              <w:bidi w:val="0"/>
              <w:jc w:val="right"/>
              <w:rPr/>
            </w:pPr>
            <w:r>
              <w:rPr/>
              <w:t>-2.3</w:t>
            </w:r>
          </w:p>
        </w:tc>
        <w:tc>
          <w:tcPr>
            <w:tcW w:w="871" w:type="dxa"/>
            <w:tcBorders/>
            <w:vAlign w:val="center"/>
          </w:tcPr>
          <w:p>
            <w:pPr>
              <w:pStyle w:val="TableContents"/>
              <w:bidi w:val="0"/>
              <w:jc w:val="right"/>
              <w:rPr/>
            </w:pPr>
            <w:r>
              <w:rPr/>
              <w:t>-3.6 [-4.5; 2 out]</w:t>
            </w:r>
          </w:p>
        </w:tc>
        <w:tc>
          <w:tcPr>
            <w:tcW w:w="725" w:type="dxa"/>
            <w:tcBorders/>
            <w:vAlign w:val="center"/>
          </w:tcPr>
          <w:p>
            <w:pPr>
              <w:pStyle w:val="TableContents"/>
              <w:bidi w:val="0"/>
              <w:jc w:val="right"/>
              <w:rPr/>
            </w:pPr>
            <w:r>
              <w:rPr/>
              <w:t>-2.1</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-2.5</w:t>
            </w:r>
          </w:p>
        </w:tc>
        <w:tc>
          <w:tcPr>
            <w:tcW w:w="725" w:type="dxa"/>
            <w:tcBorders/>
            <w:vAlign w:val="center"/>
          </w:tcPr>
          <w:p>
            <w:pPr>
              <w:pStyle w:val="TableContents"/>
              <w:bidi w:val="0"/>
              <w:jc w:val="right"/>
              <w:rPr/>
            </w:pPr>
            <w:r>
              <w:rPr/>
              <w:t>-4.1</w:t>
            </w:r>
          </w:p>
        </w:tc>
        <w:tc>
          <w:tcPr>
            <w:tcW w:w="916" w:type="dxa"/>
            <w:tcBorders/>
            <w:vAlign w:val="center"/>
          </w:tcPr>
          <w:p>
            <w:pPr>
              <w:pStyle w:val="TableContents"/>
              <w:bidi w:val="0"/>
              <w:jc w:val="right"/>
              <w:rPr/>
            </w:pPr>
            <w:r>
              <w:rPr/>
              <w:t>-2.7 [-3.0; 7 out]</w:t>
            </w:r>
          </w:p>
        </w:tc>
      </w:tr>
      <w:tr>
        <w:trPr/>
        <w:tc>
          <w:tcPr>
            <w:tcW w:w="2281" w:type="dxa"/>
            <w:tcBorders/>
            <w:vAlign w:val="center"/>
          </w:tcPr>
          <w:p>
            <w:pPr>
              <w:pStyle w:val="TableContents"/>
              <w:widowControl w:val="false"/>
              <w:suppressLineNumbers/>
              <w:bidi w:val="0"/>
              <w:jc w:val="left"/>
              <w:rPr/>
            </w:pPr>
            <w:r>
              <w:rPr>
                <w:rStyle w:val="SourceText"/>
              </w:rPr>
              <w:t>+ arrivals</w:t>
            </w:r>
            <w:r>
              <w:rPr/>
              <w:t xml:space="preserve"> against </w:t>
            </w:r>
            <w:r>
              <w:rPr>
                <w:rStyle w:val="SourceText"/>
              </w:rPr>
              <w:t>+ runway throughput</w:t>
            </w:r>
          </w:p>
        </w:tc>
        <w:tc>
          <w:tcPr>
            <w:tcW w:w="871" w:type="dxa"/>
            <w:tcBorders/>
            <w:vAlign w:val="center"/>
          </w:tcPr>
          <w:p>
            <w:pPr>
              <w:pStyle w:val="TableContents"/>
              <w:bidi w:val="0"/>
              <w:jc w:val="right"/>
              <w:rPr/>
            </w:pPr>
            <w:r>
              <w:rPr/>
              <w:t>-0.8 [-1.2; 2 out]</w:t>
            </w:r>
          </w:p>
        </w:tc>
        <w:tc>
          <w:tcPr>
            <w:tcW w:w="871" w:type="dxa"/>
            <w:tcBorders/>
            <w:vAlign w:val="center"/>
          </w:tcPr>
          <w:p>
            <w:pPr>
              <w:pStyle w:val="TableContents"/>
              <w:bidi w:val="0"/>
              <w:jc w:val="right"/>
              <w:rPr/>
            </w:pPr>
            <w:r>
              <w:rPr/>
              <w:t>+2.7 [+2.7; 1 out]</w:t>
            </w:r>
          </w:p>
        </w:tc>
        <w:tc>
          <w:tcPr>
            <w:tcW w:w="871" w:type="dxa"/>
            <w:tcBorders/>
            <w:vAlign w:val="center"/>
          </w:tcPr>
          <w:p>
            <w:pPr>
              <w:pStyle w:val="TableContents"/>
              <w:bidi w:val="0"/>
              <w:jc w:val="right"/>
              <w:rPr/>
            </w:pPr>
            <w:r>
              <w:rPr/>
              <w:t>-1.0 [-0.8; 1 out]</w:t>
            </w:r>
          </w:p>
        </w:tc>
        <w:tc>
          <w:tcPr>
            <w:tcW w:w="725" w:type="dxa"/>
            <w:tcBorders/>
            <w:vAlign w:val="center"/>
          </w:tcPr>
          <w:p>
            <w:pPr>
              <w:pStyle w:val="TableContents"/>
              <w:bidi w:val="0"/>
              <w:jc w:val="right"/>
              <w:rPr/>
            </w:pPr>
            <w:r>
              <w:rPr/>
              <w:t>-1.0</w:t>
            </w:r>
          </w:p>
        </w:tc>
        <w:tc>
          <w:tcPr>
            <w:tcW w:w="871" w:type="dxa"/>
            <w:tcBorders/>
            <w:vAlign w:val="center"/>
          </w:tcPr>
          <w:p>
            <w:pPr>
              <w:pStyle w:val="TableContents"/>
              <w:bidi w:val="0"/>
              <w:jc w:val="right"/>
              <w:rPr/>
            </w:pPr>
            <w:r>
              <w:rPr/>
              <w:t>-0.4 [-0.6; 1 out]</w:t>
            </w:r>
          </w:p>
        </w:tc>
        <w:tc>
          <w:tcPr>
            <w:tcW w:w="725" w:type="dxa"/>
            <w:tcBorders/>
            <w:vAlign w:val="center"/>
          </w:tcPr>
          <w:p>
            <w:pPr>
              <w:pStyle w:val="TableContents"/>
              <w:bidi w:val="0"/>
              <w:jc w:val="right"/>
              <w:rPr/>
            </w:pPr>
            <w:r>
              <w:rPr/>
              <w:t>-0.8</w:t>
            </w:r>
          </w:p>
        </w:tc>
        <w:tc>
          <w:tcPr>
            <w:tcW w:w="871" w:type="dxa"/>
            <w:tcBorders/>
            <w:vAlign w:val="center"/>
          </w:tcPr>
          <w:p>
            <w:pPr>
              <w:pStyle w:val="TableContents"/>
              <w:bidi w:val="0"/>
              <w:jc w:val="right"/>
              <w:rPr/>
            </w:pPr>
            <w:r>
              <w:rPr>
                <w:rStyle w:val="Strong"/>
              </w:rPr>
              <w:t>-0.5</w:t>
            </w:r>
            <w:r>
              <w:rPr/>
              <w:t xml:space="preserve"> [-0.9; 2 out]</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t>-1.0</w:t>
            </w:r>
          </w:p>
        </w:tc>
        <w:tc>
          <w:tcPr>
            <w:tcW w:w="916" w:type="dxa"/>
            <w:tcBorders/>
            <w:vAlign w:val="center"/>
          </w:tcPr>
          <w:p>
            <w:pPr>
              <w:pStyle w:val="TableContents"/>
              <w:bidi w:val="0"/>
              <w:jc w:val="right"/>
              <w:rPr/>
            </w:pPr>
            <w:r>
              <w:rPr/>
              <w:t>-0.3 [-0.4; 7 out]</w:t>
            </w:r>
          </w:p>
        </w:tc>
      </w:tr>
      <w:tr>
        <w:trPr/>
        <w:tc>
          <w:tcPr>
            <w:tcW w:w="2281" w:type="dxa"/>
            <w:tcBorders/>
            <w:vAlign w:val="center"/>
          </w:tcPr>
          <w:p>
            <w:pPr>
              <w:pStyle w:val="TableContents"/>
              <w:widowControl w:val="false"/>
              <w:suppressLineNumbers/>
              <w:bidi w:val="0"/>
              <w:jc w:val="left"/>
              <w:rPr/>
            </w:pPr>
            <w:r>
              <w:rPr>
                <w:rStyle w:val="SourceText"/>
              </w:rPr>
              <w:t>+ demand</w:t>
            </w:r>
            <w:r>
              <w:rPr/>
              <w:t xml:space="preserve"> against </w:t>
            </w:r>
            <w:r>
              <w:rPr>
                <w:rStyle w:val="SourceText"/>
              </w:rPr>
              <w:t>+ arrivals</w:t>
            </w:r>
          </w:p>
        </w:tc>
        <w:tc>
          <w:tcPr>
            <w:tcW w:w="871" w:type="dxa"/>
            <w:tcBorders/>
            <w:vAlign w:val="center"/>
          </w:tcPr>
          <w:p>
            <w:pPr>
              <w:pStyle w:val="TableContents"/>
              <w:bidi w:val="0"/>
              <w:jc w:val="right"/>
              <w:rPr/>
            </w:pPr>
            <w:r>
              <w:rPr/>
              <w:t>-0.4 [-0.6; 2 out]</w:t>
            </w:r>
          </w:p>
        </w:tc>
        <w:tc>
          <w:tcPr>
            <w:tcW w:w="871" w:type="dxa"/>
            <w:tcBorders/>
            <w:vAlign w:val="center"/>
          </w:tcPr>
          <w:p>
            <w:pPr>
              <w:pStyle w:val="TableContents"/>
              <w:bidi w:val="0"/>
              <w:jc w:val="right"/>
              <w:rPr/>
            </w:pPr>
            <w:r>
              <w:rPr>
                <w:rStyle w:val="Strong"/>
              </w:rPr>
              <w:t>-0.1</w:t>
            </w:r>
            <w:r>
              <w:rPr/>
              <w:t xml:space="preserve"> [</w:t>
            </w:r>
            <w:r>
              <w:rPr>
                <w:rStyle w:val="Strong"/>
              </w:rPr>
              <w:t>-0.1</w:t>
            </w:r>
            <w:r>
              <w:rPr/>
              <w:t>; 1 out]</w:t>
            </w:r>
          </w:p>
        </w:tc>
        <w:tc>
          <w:tcPr>
            <w:tcW w:w="871" w:type="dxa"/>
            <w:tcBorders/>
            <w:vAlign w:val="center"/>
          </w:tcPr>
          <w:p>
            <w:pPr>
              <w:pStyle w:val="TableContents"/>
              <w:bidi w:val="0"/>
              <w:jc w:val="right"/>
              <w:rPr/>
            </w:pPr>
            <w:r>
              <w:rPr/>
              <w:t>-0.7 [-0.5;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-0.5 [-0.6; 1 out]</w:t>
            </w:r>
          </w:p>
        </w:tc>
        <w:tc>
          <w:tcPr>
            <w:tcW w:w="725" w:type="dxa"/>
            <w:tcBorders/>
            <w:vAlign w:val="center"/>
          </w:tcPr>
          <w:p>
            <w:pPr>
              <w:pStyle w:val="TableContents"/>
              <w:bidi w:val="0"/>
              <w:jc w:val="right"/>
              <w:rPr/>
            </w:pPr>
            <w:r>
              <w:rPr/>
              <w:t>-0.5</w:t>
            </w:r>
          </w:p>
        </w:tc>
        <w:tc>
          <w:tcPr>
            <w:tcW w:w="871" w:type="dxa"/>
            <w:tcBorders/>
            <w:vAlign w:val="center"/>
          </w:tcPr>
          <w:p>
            <w:pPr>
              <w:pStyle w:val="TableContents"/>
              <w:bidi w:val="0"/>
              <w:jc w:val="right"/>
              <w:rPr/>
            </w:pPr>
            <w:r>
              <w:rPr>
                <w:rStyle w:val="Strong"/>
              </w:rPr>
              <w:t>+0.1</w:t>
            </w:r>
            <w:r>
              <w:rPr/>
              <w:t xml:space="preserve"> [-0.6; 2 out]</w:t>
            </w:r>
          </w:p>
        </w:tc>
        <w:tc>
          <w:tcPr>
            <w:tcW w:w="725" w:type="dxa"/>
            <w:tcBorders/>
            <w:vAlign w:val="center"/>
          </w:tcPr>
          <w:p>
            <w:pPr>
              <w:pStyle w:val="TableContents"/>
              <w:bidi w:val="0"/>
              <w:jc w:val="right"/>
              <w:rPr/>
            </w:pPr>
            <w:r>
              <w:rPr/>
              <w:t>-0.6</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t>-0.4</w:t>
            </w:r>
          </w:p>
        </w:tc>
        <w:tc>
          <w:tcPr>
            <w:tcW w:w="916" w:type="dxa"/>
            <w:tcBorders/>
            <w:vAlign w:val="center"/>
          </w:tcPr>
          <w:p>
            <w:pPr>
              <w:pStyle w:val="TableContents"/>
              <w:bidi w:val="0"/>
              <w:jc w:val="right"/>
              <w:rPr/>
            </w:pPr>
            <w:r>
              <w:rPr/>
              <w:t>-0.3 [-0.4; 7 out]</w:t>
            </w:r>
          </w:p>
        </w:tc>
      </w:tr>
      <w:tr>
        <w:trPr/>
        <w:tc>
          <w:tcPr>
            <w:tcW w:w="2281" w:type="dxa"/>
            <w:tcBorders/>
            <w:vAlign w:val="center"/>
          </w:tcPr>
          <w:p>
            <w:pPr>
              <w:pStyle w:val="TableContents"/>
              <w:widowControl w:val="false"/>
              <w:suppressLineNumbers/>
              <w:bidi w:val="0"/>
              <w:jc w:val="left"/>
              <w:rPr/>
            </w:pPr>
            <w:r>
              <w:rPr>
                <w:rStyle w:val="SourceText"/>
              </w:rPr>
              <w:t>+ configuration</w:t>
            </w:r>
            <w:r>
              <w:rPr/>
              <w:t xml:space="preserve"> against </w:t>
            </w:r>
            <w:r>
              <w:rPr>
                <w:rStyle w:val="SourceText"/>
              </w:rPr>
              <w:t>+ demand</w:t>
            </w:r>
          </w:p>
        </w:tc>
        <w:tc>
          <w:tcPr>
            <w:tcW w:w="871" w:type="dxa"/>
            <w:tcBorders/>
            <w:vAlign w:val="center"/>
          </w:tcPr>
          <w:p>
            <w:pPr>
              <w:pStyle w:val="TableContents"/>
              <w:bidi w:val="0"/>
              <w:jc w:val="right"/>
              <w:rPr/>
            </w:pPr>
            <w:r>
              <w:rPr>
                <w:rStyle w:val="Strong"/>
              </w:rPr>
              <w:t>+0.3</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+0.8</w:t>
            </w:r>
            <w:r>
              <w:rPr/>
              <w:t xml:space="preserve"> [</w:t>
            </w:r>
            <w:r>
              <w:rPr>
                <w:rStyle w:val="Strong"/>
              </w:rPr>
              <w:t>+0.8</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+0.0</w:t>
            </w:r>
            <w:r>
              <w:rPr/>
              <w:t>; 1 out]</w:t>
            </w:r>
          </w:p>
        </w:tc>
        <w:tc>
          <w:tcPr>
            <w:tcW w:w="725" w:type="dxa"/>
            <w:tcBorders/>
            <w:vAlign w:val="center"/>
          </w:tcPr>
          <w:p>
            <w:pPr>
              <w:pStyle w:val="TableContents"/>
              <w:bidi w:val="0"/>
              <w:jc w:val="right"/>
              <w:rPr/>
            </w:pPr>
            <w:r>
              <w:rPr/>
              <w:t>-0.1</w:t>
            </w:r>
          </w:p>
        </w:tc>
        <w:tc>
          <w:tcPr>
            <w:tcW w:w="871" w:type="dxa"/>
            <w:tcBorders/>
            <w:vAlign w:val="center"/>
          </w:tcPr>
          <w:p>
            <w:pPr>
              <w:pStyle w:val="TableContents"/>
              <w:bidi w:val="0"/>
              <w:jc w:val="right"/>
              <w:rPr/>
            </w:pPr>
            <w:r>
              <w:rPr>
                <w:rStyle w:val="Strong"/>
              </w:rPr>
              <w:t>+0.1</w:t>
            </w:r>
            <w:r>
              <w:rPr/>
              <w:t xml:space="preserve"> [+0.2; 1 out]</w:t>
            </w:r>
          </w:p>
        </w:tc>
        <w:tc>
          <w:tcPr>
            <w:tcW w:w="725" w:type="dxa"/>
            <w:tcBorders/>
            <w:vAlign w:val="center"/>
          </w:tcPr>
          <w:p>
            <w:pPr>
              <w:pStyle w:val="TableContents"/>
              <w:bidi w:val="0"/>
              <w:jc w:val="right"/>
              <w:rPr/>
            </w:pPr>
            <w:r>
              <w:rPr>
                <w:rStyle w:val="Strong"/>
              </w:rPr>
              <w:t>+0.0</w:t>
            </w:r>
          </w:p>
        </w:tc>
        <w:tc>
          <w:tcPr>
            <w:tcW w:w="871" w:type="dxa"/>
            <w:tcBorders/>
            <w:vAlign w:val="center"/>
          </w:tcPr>
          <w:p>
            <w:pPr>
              <w:pStyle w:val="TableContents"/>
              <w:bidi w:val="0"/>
              <w:jc w:val="right"/>
              <w:rPr/>
            </w:pPr>
            <w:r>
              <w:rPr/>
              <w:t>-0.6 [</w:t>
            </w:r>
            <w:r>
              <w:rPr>
                <w:rStyle w:val="Strong"/>
              </w:rPr>
              <w:t>-0.4</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shared corridor</w:t>
            </w:r>
            <w:r>
              <w:rPr/>
              <w:t xml:space="preserve"> against </w:t>
            </w:r>
            <w:r>
              <w:rPr>
                <w:rStyle w:val="SourceText"/>
              </w:rPr>
              <w:t>+ configuration</w:t>
            </w:r>
          </w:p>
        </w:tc>
        <w:tc>
          <w:tcPr>
            <w:tcW w:w="871" w:type="dxa"/>
            <w:tcBorders/>
            <w:vAlign w:val="center"/>
          </w:tcPr>
          <w:p>
            <w:pPr>
              <w:pStyle w:val="TableContents"/>
              <w:bidi w:val="0"/>
              <w:jc w:val="right"/>
              <w:rPr/>
            </w:pPr>
            <w:r>
              <w:rPr>
                <w:rStyle w:val="Strong"/>
              </w:rPr>
              <w:t>+0.1</w:t>
            </w:r>
            <w:r>
              <w:rPr/>
              <w:t xml:space="preserve"> [</w:t>
            </w:r>
            <w:r>
              <w:rPr>
                <w:rStyle w:val="Strong"/>
              </w:rPr>
              <w:t>-0.1</w:t>
            </w:r>
            <w:r>
              <w:rPr/>
              <w:t>; 2 out]</w:t>
            </w:r>
          </w:p>
        </w:tc>
        <w:tc>
          <w:tcPr>
            <w:tcW w:w="871" w:type="dxa"/>
            <w:tcBorders/>
            <w:vAlign w:val="center"/>
          </w:tcPr>
          <w:p>
            <w:pPr>
              <w:pStyle w:val="TableContents"/>
              <w:bidi w:val="0"/>
              <w:jc w:val="right"/>
              <w:rPr/>
            </w:pPr>
            <w:r>
              <w:rPr>
                <w:rStyle w:val="Strong"/>
              </w:rPr>
              <w:t>+1.5</w:t>
            </w:r>
            <w:r>
              <w:rPr/>
              <w:t xml:space="preserve"> [</w:t>
            </w:r>
            <w:r>
              <w:rPr>
                <w:rStyle w:val="Strong"/>
              </w:rPr>
              <w:t>+1.4</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-0.3</w:t>
            </w:r>
            <w:r>
              <w:rPr/>
              <w:t>; 1 out]</w:t>
            </w:r>
          </w:p>
        </w:tc>
        <w:tc>
          <w:tcPr>
            <w:tcW w:w="725" w:type="dxa"/>
            <w:tcBorders/>
            <w:vAlign w:val="center"/>
          </w:tcPr>
          <w:p>
            <w:pPr>
              <w:pStyle w:val="TableContents"/>
              <w:bidi w:val="0"/>
              <w:jc w:val="right"/>
              <w:rPr/>
            </w:pPr>
            <w:r>
              <w:rPr>
                <w:rStyle w:val="Strong"/>
              </w:rPr>
              <w:t>+0.0</w:t>
            </w:r>
          </w:p>
        </w:tc>
        <w:tc>
          <w:tcPr>
            <w:tcW w:w="871" w:type="dxa"/>
            <w:tcBorders/>
            <w:vAlign w:val="center"/>
          </w:tcPr>
          <w:p>
            <w:pPr>
              <w:pStyle w:val="TableContents"/>
              <w:bidi w:val="0"/>
              <w:jc w:val="right"/>
              <w:rPr/>
            </w:pPr>
            <w:r>
              <w:rPr/>
              <w:t>-0.4 [-0.6;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+0.2</w:t>
            </w:r>
            <w:r>
              <w:rPr/>
              <w:t xml:space="preserve"> [</w:t>
            </w:r>
            <w:r>
              <w:rPr>
                <w:rStyle w:val="Strong"/>
              </w:rPr>
              <w:t>+0.1</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+0.1</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weather</w:t>
            </w:r>
            <w:r>
              <w:rPr/>
              <w:t xml:space="preserve"> against </w:t>
            </w:r>
            <w:r>
              <w:rPr>
                <w:rStyle w:val="SourceText"/>
              </w:rPr>
              <w:t>+ shared corridor</w:t>
            </w:r>
          </w:p>
        </w:tc>
        <w:tc>
          <w:tcPr>
            <w:tcW w:w="871" w:type="dxa"/>
            <w:tcBorders/>
            <w:vAlign w:val="center"/>
          </w:tcPr>
          <w:p>
            <w:pPr>
              <w:pStyle w:val="TableContents"/>
              <w:bidi w:val="0"/>
              <w:jc w:val="right"/>
              <w:rPr/>
            </w:pPr>
            <w:r>
              <w:rPr/>
              <w:t>-3.2 [-4.2; 2 out]</w:t>
            </w:r>
          </w:p>
        </w:tc>
        <w:tc>
          <w:tcPr>
            <w:tcW w:w="871" w:type="dxa"/>
            <w:tcBorders/>
            <w:vAlign w:val="center"/>
          </w:tcPr>
          <w:p>
            <w:pPr>
              <w:pStyle w:val="TableContents"/>
              <w:bidi w:val="0"/>
              <w:jc w:val="right"/>
              <w:rPr/>
            </w:pPr>
            <w:r>
              <w:rPr/>
              <w:t>-2.9 [-2.9; 1 out]</w:t>
            </w:r>
          </w:p>
        </w:tc>
        <w:tc>
          <w:tcPr>
            <w:tcW w:w="871" w:type="dxa"/>
            <w:tcBorders/>
            <w:vAlign w:val="center"/>
          </w:tcPr>
          <w:p>
            <w:pPr>
              <w:pStyle w:val="TableContents"/>
              <w:bidi w:val="0"/>
              <w:jc w:val="right"/>
              <w:rPr/>
            </w:pPr>
            <w:r>
              <w:rPr/>
              <w:t>-0.5 [-0.6; 1 out]</w:t>
            </w:r>
          </w:p>
        </w:tc>
        <w:tc>
          <w:tcPr>
            <w:tcW w:w="725" w:type="dxa"/>
            <w:tcBorders/>
            <w:vAlign w:val="center"/>
          </w:tcPr>
          <w:p>
            <w:pPr>
              <w:pStyle w:val="TableContents"/>
              <w:bidi w:val="0"/>
              <w:jc w:val="right"/>
              <w:rPr/>
            </w:pPr>
            <w:r>
              <w:rPr/>
              <w:t>-0.4</w:t>
            </w:r>
          </w:p>
        </w:tc>
        <w:tc>
          <w:tcPr>
            <w:tcW w:w="871" w:type="dxa"/>
            <w:tcBorders/>
            <w:vAlign w:val="center"/>
          </w:tcPr>
          <w:p>
            <w:pPr>
              <w:pStyle w:val="TableContents"/>
              <w:bidi w:val="0"/>
              <w:jc w:val="right"/>
              <w:rPr/>
            </w:pPr>
            <w:r>
              <w:rPr>
                <w:rStyle w:val="Strong"/>
              </w:rPr>
              <w:t>+0.0</w:t>
            </w:r>
            <w:r>
              <w:rPr/>
              <w:t xml:space="preserve"> [</w:t>
            </w:r>
            <w:r>
              <w:rPr>
                <w:rStyle w:val="Strong"/>
              </w:rPr>
              <w:t>+0.1</w:t>
            </w:r>
            <w:r>
              <w:rPr/>
              <w:t>;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rStyle w:val="Strong"/>
              </w:rPr>
              <w:t>+0.4</w:t>
            </w:r>
            <w:r>
              <w:rPr/>
              <w:t xml:space="preserve"> [</w:t>
            </w:r>
            <w:r>
              <w:rPr>
                <w:rStyle w:val="Strong"/>
              </w:rPr>
              <w:t>-0.2</w:t>
            </w:r>
            <w:r>
              <w:rPr/>
              <w:t>; 2 out]</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-1.9</w:t>
            </w:r>
          </w:p>
        </w:tc>
        <w:tc>
          <w:tcPr>
            <w:tcW w:w="916" w:type="dxa"/>
            <w:tcBorders/>
            <w:vAlign w:val="center"/>
          </w:tcPr>
          <w:p>
            <w:pPr>
              <w:pStyle w:val="TableContents"/>
              <w:bidi w:val="0"/>
              <w:jc w:val="right"/>
              <w:rPr/>
            </w:pPr>
            <w:r>
              <w:rPr/>
              <w:t>-0.9 [-1.0; 7 out]</w:t>
            </w:r>
          </w:p>
        </w:tc>
      </w:tr>
      <w:tr>
        <w:trPr/>
        <w:tc>
          <w:tcPr>
            <w:tcW w:w="2281" w:type="dxa"/>
            <w:tcBorders/>
            <w:vAlign w:val="center"/>
          </w:tcPr>
          <w:p>
            <w:pPr>
              <w:pStyle w:val="TableContents"/>
              <w:widowControl w:val="false"/>
              <w:suppressLineNumbers/>
              <w:bidi w:val="0"/>
              <w:jc w:val="left"/>
              <w:rPr/>
            </w:pPr>
            <w:r>
              <w:rPr>
                <w:rStyle w:val="SourceText"/>
              </w:rPr>
              <w:t>+ shrunk encoding</w:t>
            </w:r>
            <w:r>
              <w:rPr/>
              <w:t xml:space="preserve"> against </w:t>
            </w:r>
            <w:r>
              <w:rPr>
                <w:rStyle w:val="SourceText"/>
              </w:rPr>
              <w:t>+ weather</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-0.3</w:t>
            </w:r>
            <w:r>
              <w:rPr/>
              <w:t xml:space="preserve"> [</w:t>
            </w:r>
            <w:r>
              <w:rPr>
                <w:rStyle w:val="Strong"/>
              </w:rPr>
              <w:t>-0.4</w:t>
            </w:r>
            <w:r>
              <w:rPr/>
              <w:t>; 1 out]</w:t>
            </w:r>
          </w:p>
        </w:tc>
        <w:tc>
          <w:tcPr>
            <w:tcW w:w="871" w:type="dxa"/>
            <w:tcBorders/>
            <w:vAlign w:val="center"/>
          </w:tcPr>
          <w:p>
            <w:pPr>
              <w:pStyle w:val="TableContents"/>
              <w:bidi w:val="0"/>
              <w:jc w:val="right"/>
              <w:rPr/>
            </w:pPr>
            <w:r>
              <w:rPr/>
              <w:t>-1.0 [-0.9; 1 out]</w:t>
            </w:r>
          </w:p>
        </w:tc>
        <w:tc>
          <w:tcPr>
            <w:tcW w:w="725" w:type="dxa"/>
            <w:tcBorders/>
            <w:vAlign w:val="center"/>
          </w:tcPr>
          <w:p>
            <w:pPr>
              <w:pStyle w:val="TableContents"/>
              <w:bidi w:val="0"/>
              <w:jc w:val="right"/>
              <w:rPr/>
            </w:pPr>
            <w:r>
              <w:rPr/>
              <w:t>-0.7</w:t>
            </w:r>
          </w:p>
        </w:tc>
        <w:tc>
          <w:tcPr>
            <w:tcW w:w="871" w:type="dxa"/>
            <w:tcBorders/>
            <w:vAlign w:val="center"/>
          </w:tcPr>
          <w:p>
            <w:pPr>
              <w:pStyle w:val="TableContents"/>
              <w:bidi w:val="0"/>
              <w:jc w:val="right"/>
              <w:rPr/>
            </w:pPr>
            <w:r>
              <w:rPr/>
              <w:t>-0.3 [-0.7;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+1.9 [</w:t>
            </w:r>
            <w:r>
              <w:rPr>
                <w:rStyle w:val="Strong"/>
              </w:rPr>
              <w:t>+0.1</w:t>
            </w:r>
            <w:r>
              <w:rPr/>
              <w:t>; 2 out]</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-0.5</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t>-1.8</w:t>
            </w:r>
          </w:p>
        </w:tc>
        <w:tc>
          <w:tcPr>
            <w:tcW w:w="916" w:type="dxa"/>
            <w:tcBorders/>
            <w:vAlign w:val="center"/>
          </w:tcPr>
          <w:p>
            <w:pPr>
              <w:pStyle w:val="TableContents"/>
              <w:bidi w:val="0"/>
              <w:jc w:val="right"/>
              <w:rPr/>
            </w:pPr>
            <w:r>
              <w:rPr/>
              <w:t>-0.2 [-0.4; 7 out]</w:t>
            </w:r>
          </w:p>
        </w:tc>
      </w:tr>
      <w:tr>
        <w:trPr/>
        <w:tc>
          <w:tcPr>
            <w:tcW w:w="2281" w:type="dxa"/>
            <w:tcBorders/>
            <w:vAlign w:val="center"/>
          </w:tcPr>
          <w:p>
            <w:pPr>
              <w:pStyle w:val="TableContents"/>
              <w:widowControl w:val="false"/>
              <w:suppressLineNumbers/>
              <w:bidi w:val="0"/>
              <w:jc w:val="left"/>
              <w:rPr/>
            </w:pPr>
            <w:r>
              <w:rPr>
                <w:rStyle w:val="SourceText"/>
              </w:rPr>
              <w:t>+ shrunk encoding, replacing the stand</w:t>
            </w:r>
            <w:r>
              <w:rPr/>
              <w:t xml:space="preserve"> against </w:t>
            </w:r>
            <w:r>
              <w:rPr>
                <w:rStyle w:val="SourceText"/>
              </w:rPr>
              <w:t>+ weather</w:t>
            </w:r>
          </w:p>
        </w:tc>
        <w:tc>
          <w:tcPr>
            <w:tcW w:w="871" w:type="dxa"/>
            <w:tcBorders/>
            <w:vAlign w:val="center"/>
          </w:tcPr>
          <w:p>
            <w:pPr>
              <w:pStyle w:val="TableContents"/>
              <w:bidi w:val="0"/>
              <w:jc w:val="right"/>
              <w:rPr/>
            </w:pPr>
            <w:r>
              <w:rPr/>
              <w:t>-2.1 [-3.2; 2 out]</w:t>
            </w:r>
          </w:p>
        </w:tc>
        <w:tc>
          <w:tcPr>
            <w:tcW w:w="871" w:type="dxa"/>
            <w:tcBorders/>
            <w:vAlign w:val="center"/>
          </w:tcPr>
          <w:p>
            <w:pPr>
              <w:pStyle w:val="TableContents"/>
              <w:bidi w:val="0"/>
              <w:jc w:val="right"/>
              <w:rPr/>
            </w:pPr>
            <w:r>
              <w:rPr/>
              <w:t>-4.9 [-4.9; 1 out]</w:t>
            </w:r>
          </w:p>
        </w:tc>
        <w:tc>
          <w:tcPr>
            <w:tcW w:w="871" w:type="dxa"/>
            <w:tcBorders/>
            <w:vAlign w:val="center"/>
          </w:tcPr>
          <w:p>
            <w:pPr>
              <w:pStyle w:val="TableContents"/>
              <w:bidi w:val="0"/>
              <w:jc w:val="right"/>
              <w:rPr/>
            </w:pPr>
            <w:r>
              <w:rPr/>
              <w:t>-3.5 [-3.5; 1 out]</w:t>
            </w:r>
          </w:p>
        </w:tc>
        <w:tc>
          <w:tcPr>
            <w:tcW w:w="725" w:type="dxa"/>
            <w:tcBorders/>
            <w:vAlign w:val="center"/>
          </w:tcPr>
          <w:p>
            <w:pPr>
              <w:pStyle w:val="TableContents"/>
              <w:bidi w:val="0"/>
              <w:jc w:val="right"/>
              <w:rPr/>
            </w:pPr>
            <w:r>
              <w:rPr/>
              <w:t>-3.3</w:t>
            </w:r>
          </w:p>
        </w:tc>
        <w:tc>
          <w:tcPr>
            <w:tcW w:w="871" w:type="dxa"/>
            <w:tcBorders/>
            <w:vAlign w:val="center"/>
          </w:tcPr>
          <w:p>
            <w:pPr>
              <w:pStyle w:val="TableContents"/>
              <w:bidi w:val="0"/>
              <w:jc w:val="right"/>
              <w:rPr/>
            </w:pPr>
            <w:r>
              <w:rPr/>
              <w:t>-2.7 [-3.9; 1 out]</w:t>
            </w:r>
          </w:p>
        </w:tc>
        <w:tc>
          <w:tcPr>
            <w:tcW w:w="725" w:type="dxa"/>
            <w:tcBorders/>
            <w:vAlign w:val="center"/>
          </w:tcPr>
          <w:p>
            <w:pPr>
              <w:pStyle w:val="TableContents"/>
              <w:bidi w:val="0"/>
              <w:jc w:val="right"/>
              <w:rPr/>
            </w:pPr>
            <w:r>
              <w:rPr/>
              <w:t>-2.7</w:t>
            </w:r>
          </w:p>
        </w:tc>
        <w:tc>
          <w:tcPr>
            <w:tcW w:w="871" w:type="dxa"/>
            <w:tcBorders/>
            <w:vAlign w:val="center"/>
          </w:tcPr>
          <w:p>
            <w:pPr>
              <w:pStyle w:val="TableContents"/>
              <w:bidi w:val="0"/>
              <w:jc w:val="right"/>
              <w:rPr/>
            </w:pPr>
            <w:r>
              <w:rPr/>
              <w:t>-1.5 [-4.1; 2 out]</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-3.3</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-4.9</w:t>
            </w:r>
          </w:p>
        </w:tc>
        <w:tc>
          <w:tcPr>
            <w:tcW w:w="916" w:type="dxa"/>
            <w:tcBorders/>
            <w:vAlign w:val="center"/>
          </w:tcPr>
          <w:p>
            <w:pPr>
              <w:pStyle w:val="TableContents"/>
              <w:bidi w:val="0"/>
              <w:jc w:val="right"/>
              <w:rPr/>
            </w:pPr>
            <w:r>
              <w:rPr/>
              <w:t>-3.0 [-3.6; 7 out]</w:t>
            </w:r>
          </w:p>
        </w:tc>
      </w:tr>
      <w:tr>
        <w:trPr/>
        <w:tc>
          <w:tcPr>
            <w:tcW w:w="2281" w:type="dxa"/>
            <w:tcBorders/>
            <w:vAlign w:val="center"/>
          </w:tcPr>
          <w:p>
            <w:pPr>
              <w:pStyle w:val="TableContents"/>
              <w:widowControl w:val="false"/>
              <w:suppressLineNumbers/>
              <w:bidi w:val="0"/>
              <w:jc w:val="left"/>
              <w:rPr/>
            </w:pPr>
            <w:r>
              <w:rPr>
                <w:rStyle w:val="SourceText"/>
              </w:rPr>
              <w:t>+ shrunk encoding, replacing stand and runway</w:t>
            </w:r>
            <w:r>
              <w:rPr/>
              <w:t xml:space="preserve"> against </w:t>
            </w:r>
            <w:r>
              <w:rPr>
                <w:rStyle w:val="SourceText"/>
              </w:rPr>
              <w:t>+ weather</w:t>
            </w:r>
          </w:p>
        </w:tc>
        <w:tc>
          <w:tcPr>
            <w:tcW w:w="871" w:type="dxa"/>
            <w:tcBorders/>
            <w:vAlign w:val="center"/>
          </w:tcPr>
          <w:p>
            <w:pPr>
              <w:pStyle w:val="TableContents"/>
              <w:bidi w:val="0"/>
              <w:jc w:val="right"/>
              <w:rPr/>
            </w:pPr>
            <w:r>
              <w:rPr/>
              <w:t>-1.8 [-2.9; 2 out]</w:t>
            </w:r>
          </w:p>
        </w:tc>
        <w:tc>
          <w:tcPr>
            <w:tcW w:w="871" w:type="dxa"/>
            <w:tcBorders/>
            <w:vAlign w:val="center"/>
          </w:tcPr>
          <w:p>
            <w:pPr>
              <w:pStyle w:val="TableContents"/>
              <w:bidi w:val="0"/>
              <w:jc w:val="right"/>
              <w:rPr/>
            </w:pPr>
            <w:r>
              <w:rPr/>
              <w:t>-2.9 [-3.0; 1 out]</w:t>
            </w:r>
          </w:p>
        </w:tc>
        <w:tc>
          <w:tcPr>
            <w:tcW w:w="871" w:type="dxa"/>
            <w:tcBorders/>
            <w:vAlign w:val="center"/>
          </w:tcPr>
          <w:p>
            <w:pPr>
              <w:pStyle w:val="TableContents"/>
              <w:bidi w:val="0"/>
              <w:jc w:val="right"/>
              <w:rPr/>
            </w:pPr>
            <w:r>
              <w:rPr/>
              <w:t>-3.0 [-3.0; 1 out]</w:t>
            </w:r>
          </w:p>
        </w:tc>
        <w:tc>
          <w:tcPr>
            <w:tcW w:w="725" w:type="dxa"/>
            <w:tcBorders/>
            <w:vAlign w:val="center"/>
          </w:tcPr>
          <w:p>
            <w:pPr>
              <w:pStyle w:val="TableContents"/>
              <w:bidi w:val="0"/>
              <w:jc w:val="right"/>
              <w:rPr/>
            </w:pPr>
            <w:r>
              <w:rPr/>
              <w:t>-3.0</w:t>
            </w:r>
          </w:p>
        </w:tc>
        <w:tc>
          <w:tcPr>
            <w:tcW w:w="871" w:type="dxa"/>
            <w:tcBorders/>
            <w:vAlign w:val="center"/>
          </w:tcPr>
          <w:p>
            <w:pPr>
              <w:pStyle w:val="TableContents"/>
              <w:bidi w:val="0"/>
              <w:jc w:val="right"/>
              <w:rPr/>
            </w:pPr>
            <w:r>
              <w:rPr/>
              <w:t>-2.4 [-3.5; 1 out]</w:t>
            </w:r>
          </w:p>
        </w:tc>
        <w:tc>
          <w:tcPr>
            <w:tcW w:w="725" w:type="dxa"/>
            <w:tcBorders/>
            <w:vAlign w:val="center"/>
          </w:tcPr>
          <w:p>
            <w:pPr>
              <w:pStyle w:val="TableContents"/>
              <w:bidi w:val="0"/>
              <w:jc w:val="right"/>
              <w:rPr/>
            </w:pPr>
            <w:r>
              <w:rPr/>
              <w:t>-2.9</w:t>
            </w:r>
          </w:p>
        </w:tc>
        <w:tc>
          <w:tcPr>
            <w:tcW w:w="871" w:type="dxa"/>
            <w:tcBorders/>
            <w:vAlign w:val="center"/>
          </w:tcPr>
          <w:p>
            <w:pPr>
              <w:pStyle w:val="TableContents"/>
              <w:bidi w:val="0"/>
              <w:jc w:val="right"/>
              <w:rPr/>
            </w:pPr>
            <w:r>
              <w:rPr/>
              <w:t>-1.8 [-4.2; 2 out]</w:t>
            </w:r>
          </w:p>
        </w:tc>
        <w:tc>
          <w:tcPr>
            <w:tcW w:w="725" w:type="dxa"/>
            <w:tcBorders/>
            <w:vAlign w:val="center"/>
          </w:tcPr>
          <w:p>
            <w:pPr>
              <w:pStyle w:val="TableContents"/>
              <w:bidi w:val="0"/>
              <w:jc w:val="right"/>
              <w:rPr/>
            </w:pPr>
            <w:r>
              <w:rPr/>
              <w:t>-3.0</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-3.9</w:t>
            </w:r>
          </w:p>
        </w:tc>
        <w:tc>
          <w:tcPr>
            <w:tcW w:w="725" w:type="dxa"/>
            <w:tcBorders/>
            <w:vAlign w:val="center"/>
          </w:tcPr>
          <w:p>
            <w:pPr>
              <w:pStyle w:val="TableContents"/>
              <w:bidi w:val="0"/>
              <w:jc w:val="right"/>
              <w:rPr/>
            </w:pPr>
            <w:r>
              <w:rPr/>
              <w:t>-2.1</w:t>
            </w:r>
          </w:p>
        </w:tc>
        <w:tc>
          <w:tcPr>
            <w:tcW w:w="725" w:type="dxa"/>
            <w:tcBorders/>
            <w:vAlign w:val="center"/>
          </w:tcPr>
          <w:p>
            <w:pPr>
              <w:pStyle w:val="TableContents"/>
              <w:bidi w:val="0"/>
              <w:jc w:val="right"/>
              <w:rPr/>
            </w:pPr>
            <w:r>
              <w:rPr/>
              <w:t>-5.2</w:t>
            </w:r>
          </w:p>
        </w:tc>
        <w:tc>
          <w:tcPr>
            <w:tcW w:w="916" w:type="dxa"/>
            <w:tcBorders/>
            <w:vAlign w:val="center"/>
          </w:tcPr>
          <w:p>
            <w:pPr>
              <w:pStyle w:val="TableContents"/>
              <w:bidi w:val="0"/>
              <w:jc w:val="right"/>
              <w:rPr/>
            </w:pPr>
            <w:r>
              <w:rPr/>
              <w:t>-2.8 [-3.3; 7 out]</w:t>
            </w:r>
          </w:p>
        </w:tc>
      </w:tr>
      <w:tr>
        <w:trPr/>
        <w:tc>
          <w:tcPr>
            <w:tcW w:w="2281" w:type="dxa"/>
            <w:tcBorders/>
            <w:vAlign w:val="center"/>
          </w:tcPr>
          <w:p>
            <w:pPr>
              <w:pStyle w:val="TableContents"/>
              <w:widowControl w:val="false"/>
              <w:suppressLineNumbers/>
              <w:bidi w:val="0"/>
              <w:jc w:val="left"/>
              <w:rPr/>
            </w:pPr>
            <w:r>
              <w:rPr>
                <w:rStyle w:val="SourceText"/>
              </w:rPr>
              <w:t>+ stand occupancy</w:t>
            </w:r>
            <w:r>
              <w:rPr/>
              <w:t xml:space="preserve"> against </w:t>
            </w:r>
            <w:r>
              <w:rPr>
                <w:rStyle w:val="SourceText"/>
              </w:rPr>
              <w:t>+ shrunk encoding, replacing the stand</w:t>
            </w:r>
          </w:p>
        </w:tc>
        <w:tc>
          <w:tcPr>
            <w:tcW w:w="871" w:type="dxa"/>
            <w:tcBorders/>
            <w:vAlign w:val="center"/>
          </w:tcPr>
          <w:p>
            <w:pPr>
              <w:pStyle w:val="TableContents"/>
              <w:bidi w:val="0"/>
              <w:jc w:val="right"/>
              <w:rPr/>
            </w:pPr>
            <w:r>
              <w:rPr/>
              <w:t>-6.7 [-9.3; 2 out]</w:t>
            </w:r>
          </w:p>
        </w:tc>
        <w:tc>
          <w:tcPr>
            <w:tcW w:w="871" w:type="dxa"/>
            <w:tcBorders/>
            <w:vAlign w:val="center"/>
          </w:tcPr>
          <w:p>
            <w:pPr>
              <w:pStyle w:val="TableContents"/>
              <w:bidi w:val="0"/>
              <w:jc w:val="right"/>
              <w:rPr/>
            </w:pPr>
            <w:r>
              <w:rPr/>
              <w:t>-12.1 [-12.3; 1 out]</w:t>
            </w:r>
          </w:p>
        </w:tc>
        <w:tc>
          <w:tcPr>
            <w:tcW w:w="871" w:type="dxa"/>
            <w:tcBorders/>
            <w:vAlign w:val="center"/>
          </w:tcPr>
          <w:p>
            <w:pPr>
              <w:pStyle w:val="TableContents"/>
              <w:bidi w:val="0"/>
              <w:jc w:val="right"/>
              <w:rPr/>
            </w:pPr>
            <w:r>
              <w:rPr/>
              <w:t>-6.5 [-6.3; 1 out]</w:t>
            </w:r>
          </w:p>
        </w:tc>
        <w:tc>
          <w:tcPr>
            <w:tcW w:w="725" w:type="dxa"/>
            <w:tcBorders/>
            <w:vAlign w:val="center"/>
          </w:tcPr>
          <w:p>
            <w:pPr>
              <w:pStyle w:val="TableContents"/>
              <w:bidi w:val="0"/>
              <w:jc w:val="right"/>
              <w:rPr/>
            </w:pPr>
            <w:r>
              <w:rPr/>
              <w:t>-6.0</w:t>
            </w:r>
          </w:p>
        </w:tc>
        <w:tc>
          <w:tcPr>
            <w:tcW w:w="871" w:type="dxa"/>
            <w:tcBorders/>
            <w:vAlign w:val="center"/>
          </w:tcPr>
          <w:p>
            <w:pPr>
              <w:pStyle w:val="TableContents"/>
              <w:bidi w:val="0"/>
              <w:jc w:val="right"/>
              <w:rPr/>
            </w:pPr>
            <w:r>
              <w:rPr/>
              <w:t>-4.6 [-6.5; 1 out]</w:t>
            </w:r>
          </w:p>
        </w:tc>
        <w:tc>
          <w:tcPr>
            <w:tcW w:w="725" w:type="dxa"/>
            <w:tcBorders/>
            <w:vAlign w:val="center"/>
          </w:tcPr>
          <w:p>
            <w:pPr>
              <w:pStyle w:val="TableContents"/>
              <w:bidi w:val="0"/>
              <w:jc w:val="right"/>
              <w:rPr/>
            </w:pPr>
            <w:r>
              <w:rPr/>
              <w:t>-7.1</w:t>
            </w:r>
          </w:p>
        </w:tc>
        <w:tc>
          <w:tcPr>
            <w:tcW w:w="871" w:type="dxa"/>
            <w:tcBorders/>
            <w:vAlign w:val="center"/>
          </w:tcPr>
          <w:p>
            <w:pPr>
              <w:pStyle w:val="TableContents"/>
              <w:bidi w:val="0"/>
              <w:jc w:val="right"/>
              <w:rPr/>
            </w:pPr>
            <w:r>
              <w:rPr/>
              <w:t>-8.4 [-10.0; 2 out]</w:t>
            </w:r>
          </w:p>
        </w:tc>
        <w:tc>
          <w:tcPr>
            <w:tcW w:w="725" w:type="dxa"/>
            <w:tcBorders/>
            <w:vAlign w:val="center"/>
          </w:tcPr>
          <w:p>
            <w:pPr>
              <w:pStyle w:val="TableContents"/>
              <w:bidi w:val="0"/>
              <w:jc w:val="right"/>
              <w:rPr/>
            </w:pPr>
            <w:r>
              <w:rPr/>
              <w:t>-7.3</w:t>
            </w:r>
          </w:p>
        </w:tc>
        <w:tc>
          <w:tcPr>
            <w:tcW w:w="725" w:type="dxa"/>
            <w:tcBorders/>
            <w:vAlign w:val="center"/>
          </w:tcPr>
          <w:p>
            <w:pPr>
              <w:pStyle w:val="TableContents"/>
              <w:bidi w:val="0"/>
              <w:jc w:val="right"/>
              <w:rPr/>
            </w:pPr>
            <w:r>
              <w:rPr/>
              <w:t>-6.5</w:t>
            </w:r>
          </w:p>
        </w:tc>
        <w:tc>
          <w:tcPr>
            <w:tcW w:w="725" w:type="dxa"/>
            <w:tcBorders/>
            <w:vAlign w:val="center"/>
          </w:tcPr>
          <w:p>
            <w:pPr>
              <w:pStyle w:val="TableContents"/>
              <w:bidi w:val="0"/>
              <w:jc w:val="right"/>
              <w:rPr/>
            </w:pPr>
            <w:r>
              <w:rPr/>
              <w:t>-7.1</w:t>
            </w:r>
          </w:p>
        </w:tc>
        <w:tc>
          <w:tcPr>
            <w:tcW w:w="725" w:type="dxa"/>
            <w:tcBorders/>
            <w:vAlign w:val="center"/>
          </w:tcPr>
          <w:p>
            <w:pPr>
              <w:pStyle w:val="TableContents"/>
              <w:bidi w:val="0"/>
              <w:jc w:val="right"/>
              <w:rPr/>
            </w:pPr>
            <w:r>
              <w:rPr/>
              <w:t>-7.7</w:t>
            </w:r>
          </w:p>
        </w:tc>
        <w:tc>
          <w:tcPr>
            <w:tcW w:w="725" w:type="dxa"/>
            <w:tcBorders/>
            <w:vAlign w:val="center"/>
          </w:tcPr>
          <w:p>
            <w:pPr>
              <w:pStyle w:val="TableContents"/>
              <w:bidi w:val="0"/>
              <w:jc w:val="right"/>
              <w:rPr/>
            </w:pPr>
            <w:r>
              <w:rPr/>
              <w:t>-8.6</w:t>
            </w:r>
          </w:p>
        </w:tc>
        <w:tc>
          <w:tcPr>
            <w:tcW w:w="916" w:type="dxa"/>
            <w:tcBorders/>
            <w:vAlign w:val="center"/>
          </w:tcPr>
          <w:p>
            <w:pPr>
              <w:pStyle w:val="TableContents"/>
              <w:bidi w:val="0"/>
              <w:jc w:val="right"/>
              <w:rPr/>
            </w:pPr>
            <w:r>
              <w:rPr/>
              <w:t>-7.2 [-7.9; 7 out]</w:t>
            </w:r>
          </w:p>
        </w:tc>
      </w:tr>
      <w:tr>
        <w:trPr/>
        <w:tc>
          <w:tcPr>
            <w:tcW w:w="2281" w:type="dxa"/>
            <w:tcBorders/>
            <w:vAlign w:val="center"/>
          </w:tcPr>
          <w:p>
            <w:pPr>
              <w:pStyle w:val="TableContents"/>
              <w:widowControl w:val="false"/>
              <w:suppressLineNumbers/>
              <w:bidi w:val="0"/>
              <w:jc w:val="left"/>
              <w:rPr/>
            </w:pPr>
            <w:r>
              <w:rPr>
                <w:rStyle w:val="SourceText"/>
              </w:rPr>
              <w:t>+ stand occupancy, schedule-anchored</w:t>
            </w:r>
            <w:r>
              <w:rPr/>
              <w:t xml:space="preserve"> (diagnostic) against </w:t>
            </w:r>
            <w:r>
              <w:rPr>
                <w:rStyle w:val="SourceText"/>
              </w:rPr>
              <w:t>+ shrunk encoding, replacing the stand</w:t>
            </w:r>
          </w:p>
        </w:tc>
        <w:tc>
          <w:tcPr>
            <w:tcW w:w="871" w:type="dxa"/>
            <w:tcBorders/>
            <w:vAlign w:val="center"/>
          </w:tcPr>
          <w:p>
            <w:pPr>
              <w:pStyle w:val="TableContents"/>
              <w:bidi w:val="0"/>
              <w:jc w:val="right"/>
              <w:rPr/>
            </w:pPr>
            <w:r>
              <w:rPr/>
              <w:t>-2.5 [-3.3; 2 out]</w:t>
            </w:r>
          </w:p>
        </w:tc>
        <w:tc>
          <w:tcPr>
            <w:tcW w:w="871" w:type="dxa"/>
            <w:tcBorders/>
            <w:vAlign w:val="center"/>
          </w:tcPr>
          <w:p>
            <w:pPr>
              <w:pStyle w:val="TableContents"/>
              <w:bidi w:val="0"/>
              <w:jc w:val="right"/>
              <w:rPr/>
            </w:pPr>
            <w:r>
              <w:rPr/>
              <w:t>-3.6 [-3.7; 1 out]</w:t>
            </w:r>
          </w:p>
        </w:tc>
        <w:tc>
          <w:tcPr>
            <w:tcW w:w="871" w:type="dxa"/>
            <w:tcBorders/>
            <w:vAlign w:val="center"/>
          </w:tcPr>
          <w:p>
            <w:pPr>
              <w:pStyle w:val="TableContents"/>
              <w:bidi w:val="0"/>
              <w:jc w:val="right"/>
              <w:rPr/>
            </w:pPr>
            <w:r>
              <w:rPr/>
              <w:t>-2.5 [-2.4; 1 out]</w:t>
            </w:r>
          </w:p>
        </w:tc>
        <w:tc>
          <w:tcPr>
            <w:tcW w:w="725" w:type="dxa"/>
            <w:tcBorders/>
            <w:vAlign w:val="center"/>
          </w:tcPr>
          <w:p>
            <w:pPr>
              <w:pStyle w:val="TableContents"/>
              <w:bidi w:val="0"/>
              <w:jc w:val="right"/>
              <w:rPr/>
            </w:pPr>
            <w:r>
              <w:rPr/>
              <w:t>-3.1</w:t>
            </w:r>
          </w:p>
        </w:tc>
        <w:tc>
          <w:tcPr>
            <w:tcW w:w="871" w:type="dxa"/>
            <w:tcBorders/>
            <w:vAlign w:val="center"/>
          </w:tcPr>
          <w:p>
            <w:pPr>
              <w:pStyle w:val="TableContents"/>
              <w:bidi w:val="0"/>
              <w:jc w:val="right"/>
              <w:rPr/>
            </w:pPr>
            <w:r>
              <w:rPr/>
              <w:t>-1.7 [-2.4; 1 out]</w:t>
            </w:r>
          </w:p>
        </w:tc>
        <w:tc>
          <w:tcPr>
            <w:tcW w:w="725" w:type="dxa"/>
            <w:tcBorders/>
            <w:vAlign w:val="center"/>
          </w:tcPr>
          <w:p>
            <w:pPr>
              <w:pStyle w:val="TableContents"/>
              <w:bidi w:val="0"/>
              <w:jc w:val="right"/>
              <w:rPr/>
            </w:pPr>
            <w:r>
              <w:rPr/>
              <w:t>-2.3</w:t>
            </w:r>
          </w:p>
        </w:tc>
        <w:tc>
          <w:tcPr>
            <w:tcW w:w="871" w:type="dxa"/>
            <w:tcBorders/>
            <w:vAlign w:val="center"/>
          </w:tcPr>
          <w:p>
            <w:pPr>
              <w:pStyle w:val="TableContents"/>
              <w:bidi w:val="0"/>
              <w:jc w:val="right"/>
              <w:rPr/>
            </w:pPr>
            <w:r>
              <w:rPr/>
              <w:t>-3.2 [-2.9; 2 out]</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-2.7</w:t>
            </w:r>
          </w:p>
        </w:tc>
        <w:tc>
          <w:tcPr>
            <w:tcW w:w="725" w:type="dxa"/>
            <w:tcBorders/>
            <w:vAlign w:val="center"/>
          </w:tcPr>
          <w:p>
            <w:pPr>
              <w:pStyle w:val="TableContents"/>
              <w:bidi w:val="0"/>
              <w:jc w:val="right"/>
              <w:rPr/>
            </w:pPr>
            <w:r>
              <w:rPr/>
              <w:t>-2.7</w:t>
            </w:r>
          </w:p>
        </w:tc>
        <w:tc>
          <w:tcPr>
            <w:tcW w:w="725" w:type="dxa"/>
            <w:tcBorders/>
            <w:vAlign w:val="center"/>
          </w:tcPr>
          <w:p>
            <w:pPr>
              <w:pStyle w:val="TableContents"/>
              <w:bidi w:val="0"/>
              <w:jc w:val="right"/>
              <w:rPr/>
            </w:pPr>
            <w:r>
              <w:rPr/>
              <w:t>-3.6</w:t>
            </w:r>
          </w:p>
        </w:tc>
        <w:tc>
          <w:tcPr>
            <w:tcW w:w="916" w:type="dxa"/>
            <w:tcBorders/>
            <w:vAlign w:val="center"/>
          </w:tcPr>
          <w:p>
            <w:pPr>
              <w:pStyle w:val="TableContents"/>
              <w:bidi w:val="0"/>
              <w:jc w:val="right"/>
              <w:rPr/>
            </w:pPr>
            <w:r>
              <w:rPr/>
              <w:t>-2.7 [-2.9; 7 out]</w:t>
            </w:r>
          </w:p>
        </w:tc>
      </w:tr>
      <w:tr>
        <w:trPr/>
        <w:tc>
          <w:tcPr>
            <w:tcW w:w="2281"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871" w:type="dxa"/>
            <w:tcBorders/>
            <w:vAlign w:val="center"/>
          </w:tcPr>
          <w:p>
            <w:pPr>
              <w:pStyle w:val="TableContents"/>
              <w:bidi w:val="0"/>
              <w:jc w:val="right"/>
              <w:rPr/>
            </w:pPr>
            <w:r>
              <w:rPr/>
              <w:t>-2.3 [-3.6; 2 out]</w:t>
            </w:r>
          </w:p>
        </w:tc>
        <w:tc>
          <w:tcPr>
            <w:tcW w:w="871" w:type="dxa"/>
            <w:tcBorders/>
            <w:vAlign w:val="center"/>
          </w:tcPr>
          <w:p>
            <w:pPr>
              <w:pStyle w:val="TableContents"/>
              <w:bidi w:val="0"/>
              <w:jc w:val="right"/>
              <w:rPr/>
            </w:pPr>
            <w:r>
              <w:rPr>
                <w:rStyle w:val="Strong"/>
              </w:rPr>
              <w:t>+0.1</w:t>
            </w:r>
            <w:r>
              <w:rPr/>
              <w:t xml:space="preserve"> [</w:t>
            </w:r>
            <w:r>
              <w:rPr>
                <w:rStyle w:val="Strong"/>
              </w:rPr>
              <w:t>+0.1</w:t>
            </w:r>
            <w:r>
              <w:rPr/>
              <w:t>; 1 out]</w:t>
            </w:r>
          </w:p>
        </w:tc>
        <w:tc>
          <w:tcPr>
            <w:tcW w:w="871" w:type="dxa"/>
            <w:tcBorders/>
            <w:vAlign w:val="center"/>
          </w:tcPr>
          <w:p>
            <w:pPr>
              <w:pStyle w:val="TableContents"/>
              <w:bidi w:val="0"/>
              <w:jc w:val="right"/>
              <w:rPr/>
            </w:pPr>
            <w:r>
              <w:rPr/>
              <w:t>-2.6 [-2.8; 1 out]</w:t>
            </w:r>
          </w:p>
        </w:tc>
        <w:tc>
          <w:tcPr>
            <w:tcW w:w="725" w:type="dxa"/>
            <w:tcBorders/>
            <w:vAlign w:val="center"/>
          </w:tcPr>
          <w:p>
            <w:pPr>
              <w:pStyle w:val="TableContents"/>
              <w:bidi w:val="0"/>
              <w:jc w:val="right"/>
              <w:rPr/>
            </w:pPr>
            <w:r>
              <w:rPr/>
              <w:t>-3.6</w:t>
            </w:r>
          </w:p>
        </w:tc>
        <w:tc>
          <w:tcPr>
            <w:tcW w:w="871" w:type="dxa"/>
            <w:tcBorders/>
            <w:vAlign w:val="center"/>
          </w:tcPr>
          <w:p>
            <w:pPr>
              <w:pStyle w:val="TableContents"/>
              <w:bidi w:val="0"/>
              <w:jc w:val="right"/>
              <w:rPr/>
            </w:pPr>
            <w:r>
              <w:rPr/>
              <w:t>-3.1 [-4.3; 1 out]</w:t>
            </w:r>
          </w:p>
        </w:tc>
        <w:tc>
          <w:tcPr>
            <w:tcW w:w="725" w:type="dxa"/>
            <w:tcBorders/>
            <w:vAlign w:val="center"/>
          </w:tcPr>
          <w:p>
            <w:pPr>
              <w:pStyle w:val="TableContents"/>
              <w:bidi w:val="0"/>
              <w:jc w:val="right"/>
              <w:rPr/>
            </w:pPr>
            <w:r>
              <w:rPr/>
              <w:t>-4.0</w:t>
            </w:r>
          </w:p>
        </w:tc>
        <w:tc>
          <w:tcPr>
            <w:tcW w:w="871" w:type="dxa"/>
            <w:tcBorders/>
            <w:vAlign w:val="center"/>
          </w:tcPr>
          <w:p>
            <w:pPr>
              <w:pStyle w:val="TableContents"/>
              <w:bidi w:val="0"/>
              <w:jc w:val="right"/>
              <w:rPr/>
            </w:pPr>
            <w:r>
              <w:rPr/>
              <w:t>-5.6 [-4.5; 2 out]</w:t>
            </w:r>
          </w:p>
        </w:tc>
        <w:tc>
          <w:tcPr>
            <w:tcW w:w="725" w:type="dxa"/>
            <w:tcBorders/>
            <w:vAlign w:val="center"/>
          </w:tcPr>
          <w:p>
            <w:pPr>
              <w:pStyle w:val="TableContents"/>
              <w:bidi w:val="0"/>
              <w:jc w:val="right"/>
              <w:rPr/>
            </w:pPr>
            <w:r>
              <w:rPr/>
              <w:t>-4.9</w:t>
            </w:r>
          </w:p>
        </w:tc>
        <w:tc>
          <w:tcPr>
            <w:tcW w:w="725" w:type="dxa"/>
            <w:tcBorders/>
            <w:vAlign w:val="center"/>
          </w:tcPr>
          <w:p>
            <w:pPr>
              <w:pStyle w:val="TableContents"/>
              <w:bidi w:val="0"/>
              <w:jc w:val="right"/>
              <w:rPr/>
            </w:pPr>
            <w:r>
              <w:rPr/>
              <w:t>-4.0</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-3.2</w:t>
            </w:r>
          </w:p>
        </w:tc>
        <w:tc>
          <w:tcPr>
            <w:tcW w:w="725" w:type="dxa"/>
            <w:tcBorders/>
            <w:vAlign w:val="center"/>
          </w:tcPr>
          <w:p>
            <w:pPr>
              <w:pStyle w:val="TableContents"/>
              <w:bidi w:val="0"/>
              <w:jc w:val="right"/>
              <w:rPr/>
            </w:pPr>
            <w:r>
              <w:rPr/>
              <w:t>-2.1</w:t>
            </w:r>
          </w:p>
        </w:tc>
        <w:tc>
          <w:tcPr>
            <w:tcW w:w="916" w:type="dxa"/>
            <w:tcBorders/>
            <w:vAlign w:val="center"/>
          </w:tcPr>
          <w:p>
            <w:pPr>
              <w:pStyle w:val="TableContents"/>
              <w:bidi w:val="0"/>
              <w:jc w:val="right"/>
              <w:rPr/>
            </w:pPr>
            <w:r>
              <w:rPr/>
              <w:t>-3.3 [-3.4; 7 out]</w:t>
            </w:r>
          </w:p>
        </w:tc>
      </w:tr>
      <w:tr>
        <w:trPr/>
        <w:tc>
          <w:tcPr>
            <w:tcW w:w="2281"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871" w:type="dxa"/>
            <w:tcBorders/>
            <w:vAlign w:val="center"/>
          </w:tcPr>
          <w:p>
            <w:pPr>
              <w:pStyle w:val="TableContents"/>
              <w:bidi w:val="0"/>
              <w:jc w:val="right"/>
              <w:rPr/>
            </w:pPr>
            <w:r>
              <w:rPr/>
              <w:t>-0.5 [-0.7; 2 out]</w:t>
            </w:r>
          </w:p>
        </w:tc>
        <w:tc>
          <w:tcPr>
            <w:tcW w:w="871" w:type="dxa"/>
            <w:tcBorders/>
            <w:vAlign w:val="center"/>
          </w:tcPr>
          <w:p>
            <w:pPr>
              <w:pStyle w:val="TableContents"/>
              <w:bidi w:val="0"/>
              <w:jc w:val="right"/>
              <w:rPr/>
            </w:pPr>
            <w:r>
              <w:rPr/>
              <w:t>-3.0 [-3.1; 1 out]</w:t>
            </w:r>
          </w:p>
        </w:tc>
        <w:tc>
          <w:tcPr>
            <w:tcW w:w="871" w:type="dxa"/>
            <w:tcBorders/>
            <w:vAlign w:val="center"/>
          </w:tcPr>
          <w:p>
            <w:pPr>
              <w:pStyle w:val="TableContents"/>
              <w:bidi w:val="0"/>
              <w:jc w:val="right"/>
              <w:rPr/>
            </w:pPr>
            <w:r>
              <w:rPr/>
              <w:t>-0.9 [-0.7; 1 out]</w:t>
            </w:r>
          </w:p>
        </w:tc>
        <w:tc>
          <w:tcPr>
            <w:tcW w:w="725" w:type="dxa"/>
            <w:tcBorders/>
            <w:vAlign w:val="center"/>
          </w:tcPr>
          <w:p>
            <w:pPr>
              <w:pStyle w:val="TableContents"/>
              <w:bidi w:val="0"/>
              <w:jc w:val="right"/>
              <w:rPr/>
            </w:pPr>
            <w:r>
              <w:rPr/>
              <w:t>-1.6</w:t>
            </w:r>
          </w:p>
        </w:tc>
        <w:tc>
          <w:tcPr>
            <w:tcW w:w="871" w:type="dxa"/>
            <w:tcBorders/>
            <w:vAlign w:val="center"/>
          </w:tcPr>
          <w:p>
            <w:pPr>
              <w:pStyle w:val="TableContents"/>
              <w:bidi w:val="0"/>
              <w:jc w:val="right"/>
              <w:rPr/>
            </w:pPr>
            <w:r>
              <w:rPr/>
              <w:t>-0.9 [-1.4; 1 out]</w:t>
            </w:r>
          </w:p>
        </w:tc>
        <w:tc>
          <w:tcPr>
            <w:tcW w:w="725" w:type="dxa"/>
            <w:tcBorders/>
            <w:vAlign w:val="center"/>
          </w:tcPr>
          <w:p>
            <w:pPr>
              <w:pStyle w:val="TableContents"/>
              <w:bidi w:val="0"/>
              <w:jc w:val="right"/>
              <w:rPr/>
            </w:pPr>
            <w:r>
              <w:rPr/>
              <w:t>-1.3</w:t>
            </w:r>
          </w:p>
        </w:tc>
        <w:tc>
          <w:tcPr>
            <w:tcW w:w="871" w:type="dxa"/>
            <w:tcBorders/>
            <w:vAlign w:val="center"/>
          </w:tcPr>
          <w:p>
            <w:pPr>
              <w:pStyle w:val="TableContents"/>
              <w:bidi w:val="0"/>
              <w:jc w:val="right"/>
              <w:rPr/>
            </w:pPr>
            <w:r>
              <w:rPr/>
              <w:t>-1.0 [-2.5; 2 out]</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-1.7</w:t>
            </w:r>
          </w:p>
        </w:tc>
        <w:tc>
          <w:tcPr>
            <w:tcW w:w="725" w:type="dxa"/>
            <w:tcBorders/>
            <w:vAlign w:val="center"/>
          </w:tcPr>
          <w:p>
            <w:pPr>
              <w:pStyle w:val="TableContents"/>
              <w:bidi w:val="0"/>
              <w:jc w:val="right"/>
              <w:rPr/>
            </w:pPr>
            <w:r>
              <w:rPr/>
              <w:t>-1.8</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-1.8</w:t>
            </w:r>
          </w:p>
        </w:tc>
        <w:tc>
          <w:tcPr>
            <w:tcW w:w="916" w:type="dxa"/>
            <w:tcBorders/>
            <w:vAlign w:val="center"/>
          </w:tcPr>
          <w:p>
            <w:pPr>
              <w:pStyle w:val="TableContents"/>
              <w:bidi w:val="0"/>
              <w:jc w:val="right"/>
              <w:rPr/>
            </w:pPr>
            <w:r>
              <w:rPr/>
              <w:t>-1.4 [-1.7; 7 out]</w:t>
            </w:r>
          </w:p>
        </w:tc>
      </w:tr>
      <w:tr>
        <w:trPr/>
        <w:tc>
          <w:tcPr>
            <w:tcW w:w="2281"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871" w:type="dxa"/>
            <w:tcBorders/>
            <w:vAlign w:val="center"/>
          </w:tcPr>
          <w:p>
            <w:pPr>
              <w:pStyle w:val="TableContents"/>
              <w:bidi w:val="0"/>
              <w:jc w:val="right"/>
              <w:rPr/>
            </w:pPr>
            <w:r>
              <w:rPr/>
              <w:t>-1.6 [-2.2; 2 out]</w:t>
            </w:r>
          </w:p>
        </w:tc>
        <w:tc>
          <w:tcPr>
            <w:tcW w:w="871" w:type="dxa"/>
            <w:tcBorders/>
            <w:vAlign w:val="center"/>
          </w:tcPr>
          <w:p>
            <w:pPr>
              <w:pStyle w:val="TableContents"/>
              <w:bidi w:val="0"/>
              <w:jc w:val="right"/>
              <w:rPr/>
            </w:pPr>
            <w:r>
              <w:rPr>
                <w:rStyle w:val="Strong"/>
              </w:rPr>
              <w:t>-1.2</w:t>
            </w:r>
            <w:r>
              <w:rPr/>
              <w:t xml:space="preserve"> [</w:t>
            </w:r>
            <w:r>
              <w:rPr>
                <w:rStyle w:val="Strong"/>
              </w:rPr>
              <w:t>-1.2</w:t>
            </w:r>
            <w:r>
              <w:rPr/>
              <w:t>; 1 out]</w:t>
            </w:r>
          </w:p>
        </w:tc>
        <w:tc>
          <w:tcPr>
            <w:tcW w:w="871" w:type="dxa"/>
            <w:tcBorders/>
            <w:vAlign w:val="center"/>
          </w:tcPr>
          <w:p>
            <w:pPr>
              <w:pStyle w:val="TableContents"/>
              <w:bidi w:val="0"/>
              <w:jc w:val="right"/>
              <w:rPr/>
            </w:pPr>
            <w:r>
              <w:rPr/>
              <w:t>-1.6 [-1.1; 1 out]</w:t>
            </w:r>
          </w:p>
        </w:tc>
        <w:tc>
          <w:tcPr>
            <w:tcW w:w="725" w:type="dxa"/>
            <w:tcBorders/>
            <w:vAlign w:val="center"/>
          </w:tcPr>
          <w:p>
            <w:pPr>
              <w:pStyle w:val="TableContents"/>
              <w:bidi w:val="0"/>
              <w:jc w:val="right"/>
              <w:rPr/>
            </w:pPr>
            <w:r>
              <w:rPr/>
              <w:t>-0.6</w:t>
            </w:r>
          </w:p>
        </w:tc>
        <w:tc>
          <w:tcPr>
            <w:tcW w:w="871" w:type="dxa"/>
            <w:tcBorders/>
            <w:vAlign w:val="center"/>
          </w:tcPr>
          <w:p>
            <w:pPr>
              <w:pStyle w:val="TableContents"/>
              <w:bidi w:val="0"/>
              <w:jc w:val="right"/>
              <w:rPr/>
            </w:pPr>
            <w:r>
              <w:rPr/>
              <w:t>-1.2 [-1.8; 1 out]</w:t>
            </w:r>
          </w:p>
        </w:tc>
        <w:tc>
          <w:tcPr>
            <w:tcW w:w="725" w:type="dxa"/>
            <w:tcBorders/>
            <w:vAlign w:val="center"/>
          </w:tcPr>
          <w:p>
            <w:pPr>
              <w:pStyle w:val="TableContents"/>
              <w:bidi w:val="0"/>
              <w:jc w:val="right"/>
              <w:rPr/>
            </w:pPr>
            <w:r>
              <w:rPr/>
              <w:t>-2.2</w:t>
            </w:r>
          </w:p>
        </w:tc>
        <w:tc>
          <w:tcPr>
            <w:tcW w:w="871" w:type="dxa"/>
            <w:tcBorders/>
            <w:vAlign w:val="center"/>
          </w:tcPr>
          <w:p>
            <w:pPr>
              <w:pStyle w:val="TableContents"/>
              <w:bidi w:val="0"/>
              <w:jc w:val="right"/>
              <w:rPr/>
            </w:pPr>
            <w:r>
              <w:rPr/>
              <w:t>-5.9 [-3.3; 2 out]</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-2.8</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-1.4</w:t>
            </w:r>
          </w:p>
        </w:tc>
        <w:tc>
          <w:tcPr>
            <w:tcW w:w="725" w:type="dxa"/>
            <w:tcBorders/>
            <w:vAlign w:val="center"/>
          </w:tcPr>
          <w:p>
            <w:pPr>
              <w:pStyle w:val="TableContents"/>
              <w:bidi w:val="0"/>
              <w:jc w:val="right"/>
              <w:rPr/>
            </w:pPr>
            <w:r>
              <w:rPr/>
              <w:t>-1.1</w:t>
            </w:r>
          </w:p>
        </w:tc>
        <w:tc>
          <w:tcPr>
            <w:tcW w:w="916" w:type="dxa"/>
            <w:tcBorders/>
            <w:vAlign w:val="center"/>
          </w:tcPr>
          <w:p>
            <w:pPr>
              <w:pStyle w:val="TableContents"/>
              <w:bidi w:val="0"/>
              <w:jc w:val="right"/>
              <w:rPr/>
            </w:pPr>
            <w:r>
              <w:rPr/>
              <w:t>-2.2 [-2.0; 7 out]</w:t>
            </w:r>
          </w:p>
        </w:tc>
      </w:tr>
      <w:tr>
        <w:trPr/>
        <w:tc>
          <w:tcPr>
            <w:tcW w:w="2281" w:type="dxa"/>
            <w:tcBorders/>
            <w:vAlign w:val="center"/>
          </w:tcPr>
          <w:p>
            <w:pPr>
              <w:pStyle w:val="TableContents"/>
              <w:widowControl w:val="false"/>
              <w:suppressLineNumbers/>
              <w:bidi w:val="0"/>
              <w:jc w:val="left"/>
              <w:rPr/>
            </w:pPr>
            <w:r>
              <w:rPr>
                <w:rStyle w:val="SourceText"/>
              </w:rPr>
              <w:t>+ runway saturation</w:t>
            </w:r>
            <w:r>
              <w:rPr/>
              <w:t xml:space="preserve"> against </w:t>
            </w:r>
            <w:r>
              <w:rPr>
                <w:rStyle w:val="SourceText"/>
              </w:rPr>
              <w:t>+ weather</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-1.0</w:t>
            </w:r>
            <w:r>
              <w:rPr/>
              <w:t xml:space="preserve"> [</w:t>
            </w:r>
            <w:r>
              <w:rPr>
                <w:rStyle w:val="Strong"/>
              </w:rPr>
              <w:t>-1.0</w:t>
            </w:r>
            <w:r>
              <w:rPr/>
              <w:t>; 1 out]</w:t>
            </w:r>
          </w:p>
        </w:tc>
        <w:tc>
          <w:tcPr>
            <w:tcW w:w="871" w:type="dxa"/>
            <w:tcBorders/>
            <w:vAlign w:val="center"/>
          </w:tcPr>
          <w:p>
            <w:pPr>
              <w:pStyle w:val="TableContents"/>
              <w:bidi w:val="0"/>
              <w:jc w:val="right"/>
              <w:rPr/>
            </w:pPr>
            <w:r>
              <w:rPr/>
              <w:t>-0.5 [-0.4;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rStyle w:val="Strong"/>
              </w:rPr>
              <w:t>-0.1</w:t>
            </w:r>
            <w:r>
              <w:rPr/>
              <w:t xml:space="preserve"> [-0.3;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t>-0.9 [</w:t>
            </w:r>
            <w:r>
              <w:rPr>
                <w:rStyle w:val="Strong"/>
              </w:rPr>
              <w:t>+0.2</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t>-0.2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runway throughput (without plan lags)</w:t>
            </w:r>
            <w:r>
              <w:rPr/>
              <w:t xml:space="preserve"> against </w:t>
            </w:r>
            <w:r>
              <w:rPr>
                <w:rStyle w:val="SourceText"/>
              </w:rPr>
              <w:t>identifiers + time + geometry + aircraft</w:t>
            </w:r>
          </w:p>
        </w:tc>
        <w:tc>
          <w:tcPr>
            <w:tcW w:w="871" w:type="dxa"/>
            <w:tcBorders/>
            <w:vAlign w:val="center"/>
          </w:tcPr>
          <w:p>
            <w:pPr>
              <w:pStyle w:val="TableContents"/>
              <w:bidi w:val="0"/>
              <w:jc w:val="right"/>
              <w:rPr/>
            </w:pPr>
            <w:r>
              <w:rPr/>
              <w:t>-3.9 [-4.6; 2 out]</w:t>
            </w:r>
          </w:p>
        </w:tc>
        <w:tc>
          <w:tcPr>
            <w:tcW w:w="871" w:type="dxa"/>
            <w:tcBorders/>
            <w:vAlign w:val="center"/>
          </w:tcPr>
          <w:p>
            <w:pPr>
              <w:pStyle w:val="TableContents"/>
              <w:bidi w:val="0"/>
              <w:jc w:val="right"/>
              <w:rPr/>
            </w:pPr>
            <w:r>
              <w:rPr>
                <w:rStyle w:val="Strong"/>
              </w:rPr>
              <w:t>-1.6</w:t>
            </w:r>
            <w:r>
              <w:rPr/>
              <w:t xml:space="preserve"> [</w:t>
            </w:r>
            <w:r>
              <w:rPr>
                <w:rStyle w:val="Strong"/>
              </w:rPr>
              <w:t>-1.5</w:t>
            </w:r>
            <w:r>
              <w:rPr/>
              <w:t>; 1 out]</w:t>
            </w:r>
          </w:p>
        </w:tc>
        <w:tc>
          <w:tcPr>
            <w:tcW w:w="871" w:type="dxa"/>
            <w:tcBorders/>
            <w:vAlign w:val="center"/>
          </w:tcPr>
          <w:p>
            <w:pPr>
              <w:pStyle w:val="TableContents"/>
              <w:bidi w:val="0"/>
              <w:jc w:val="right"/>
              <w:rPr/>
            </w:pPr>
            <w:r>
              <w:rPr/>
              <w:t>-7.2 [-7.2; 1 out]</w:t>
            </w:r>
          </w:p>
        </w:tc>
        <w:tc>
          <w:tcPr>
            <w:tcW w:w="725" w:type="dxa"/>
            <w:tcBorders/>
            <w:vAlign w:val="center"/>
          </w:tcPr>
          <w:p>
            <w:pPr>
              <w:pStyle w:val="TableContents"/>
              <w:bidi w:val="0"/>
              <w:jc w:val="right"/>
              <w:rPr/>
            </w:pPr>
            <w:r>
              <w:rPr/>
              <w:t>-5.9</w:t>
            </w:r>
          </w:p>
        </w:tc>
        <w:tc>
          <w:tcPr>
            <w:tcW w:w="871" w:type="dxa"/>
            <w:tcBorders/>
            <w:vAlign w:val="center"/>
          </w:tcPr>
          <w:p>
            <w:pPr>
              <w:pStyle w:val="TableContents"/>
              <w:bidi w:val="0"/>
              <w:jc w:val="right"/>
              <w:rPr/>
            </w:pPr>
            <w:r>
              <w:rPr/>
              <w:t>-4.2 [-5.5; 1 out]</w:t>
            </w:r>
          </w:p>
        </w:tc>
        <w:tc>
          <w:tcPr>
            <w:tcW w:w="725" w:type="dxa"/>
            <w:tcBorders/>
            <w:vAlign w:val="center"/>
          </w:tcPr>
          <w:p>
            <w:pPr>
              <w:pStyle w:val="TableContents"/>
              <w:bidi w:val="0"/>
              <w:jc w:val="right"/>
              <w:rPr/>
            </w:pPr>
            <w:r>
              <w:rPr/>
              <w:t>-4.8</w:t>
            </w:r>
          </w:p>
        </w:tc>
        <w:tc>
          <w:tcPr>
            <w:tcW w:w="871" w:type="dxa"/>
            <w:tcBorders/>
            <w:vAlign w:val="center"/>
          </w:tcPr>
          <w:p>
            <w:pPr>
              <w:pStyle w:val="TableContents"/>
              <w:bidi w:val="0"/>
              <w:jc w:val="right"/>
              <w:rPr/>
            </w:pPr>
            <w:r>
              <w:rPr/>
              <w:t>-4.4 [-5.0; 2 out]</w:t>
            </w:r>
          </w:p>
        </w:tc>
        <w:tc>
          <w:tcPr>
            <w:tcW w:w="725" w:type="dxa"/>
            <w:tcBorders/>
            <w:vAlign w:val="center"/>
          </w:tcPr>
          <w:p>
            <w:pPr>
              <w:pStyle w:val="TableContents"/>
              <w:bidi w:val="0"/>
              <w:jc w:val="right"/>
              <w:rPr/>
            </w:pPr>
            <w:r>
              <w:rPr/>
              <w:t>-5.3</w:t>
            </w:r>
          </w:p>
        </w:tc>
        <w:tc>
          <w:tcPr>
            <w:tcW w:w="725" w:type="dxa"/>
            <w:tcBorders/>
            <w:vAlign w:val="center"/>
          </w:tcPr>
          <w:p>
            <w:pPr>
              <w:pStyle w:val="TableContents"/>
              <w:bidi w:val="0"/>
              <w:jc w:val="right"/>
              <w:rPr/>
            </w:pPr>
            <w:r>
              <w:rPr/>
              <w:t>-5.1</w:t>
            </w:r>
          </w:p>
        </w:tc>
        <w:tc>
          <w:tcPr>
            <w:tcW w:w="725" w:type="dxa"/>
            <w:tcBorders/>
            <w:vAlign w:val="center"/>
          </w:tcPr>
          <w:p>
            <w:pPr>
              <w:pStyle w:val="TableContents"/>
              <w:bidi w:val="0"/>
              <w:jc w:val="right"/>
              <w:rPr/>
            </w:pPr>
            <w:r>
              <w:rPr/>
              <w:t>-5.5</w:t>
            </w:r>
          </w:p>
        </w:tc>
        <w:tc>
          <w:tcPr>
            <w:tcW w:w="725" w:type="dxa"/>
            <w:tcBorders/>
            <w:vAlign w:val="center"/>
          </w:tcPr>
          <w:p>
            <w:pPr>
              <w:pStyle w:val="TableContents"/>
              <w:bidi w:val="0"/>
              <w:jc w:val="right"/>
              <w:rPr/>
            </w:pPr>
            <w:r>
              <w:rPr/>
              <w:t>-5.4</w:t>
            </w:r>
          </w:p>
        </w:tc>
        <w:tc>
          <w:tcPr>
            <w:tcW w:w="725" w:type="dxa"/>
            <w:tcBorders/>
            <w:vAlign w:val="center"/>
          </w:tcPr>
          <w:p>
            <w:pPr>
              <w:pStyle w:val="TableContents"/>
              <w:bidi w:val="0"/>
              <w:jc w:val="right"/>
              <w:rPr/>
            </w:pPr>
            <w:r>
              <w:rPr/>
              <w:t>-3.6</w:t>
            </w:r>
          </w:p>
        </w:tc>
        <w:tc>
          <w:tcPr>
            <w:tcW w:w="916" w:type="dxa"/>
            <w:tcBorders/>
            <w:vAlign w:val="center"/>
          </w:tcPr>
          <w:p>
            <w:pPr>
              <w:pStyle w:val="TableContents"/>
              <w:bidi w:val="0"/>
              <w:jc w:val="right"/>
              <w:rPr/>
            </w:pPr>
            <w:r>
              <w:rPr/>
              <w:t>-4.6 [-4.8; 7 out]</w:t>
            </w:r>
          </w:p>
        </w:tc>
      </w:tr>
      <w:tr>
        <w:trPr/>
        <w:tc>
          <w:tcPr>
            <w:tcW w:w="2281" w:type="dxa"/>
            <w:tcBorders/>
            <w:vAlign w:val="center"/>
          </w:tcPr>
          <w:p>
            <w:pPr>
              <w:pStyle w:val="TableContents"/>
              <w:widowControl w:val="false"/>
              <w:suppressLineNumbers/>
              <w:bidi w:val="0"/>
              <w:jc w:val="left"/>
              <w:rPr/>
            </w:pPr>
            <w:r>
              <w:rPr>
                <w:rStyle w:val="SourceText"/>
              </w:rPr>
              <w:t>+ arrivals (without plan lags)</w:t>
            </w:r>
            <w:r>
              <w:rPr/>
              <w:t xml:space="preserve"> against </w:t>
            </w:r>
            <w:r>
              <w:rPr>
                <w:rStyle w:val="SourceText"/>
              </w:rPr>
              <w:t>+ runway throughput (without plan lags)</w:t>
            </w:r>
          </w:p>
        </w:tc>
        <w:tc>
          <w:tcPr>
            <w:tcW w:w="871" w:type="dxa"/>
            <w:tcBorders/>
            <w:vAlign w:val="center"/>
          </w:tcPr>
          <w:p>
            <w:pPr>
              <w:pStyle w:val="TableContents"/>
              <w:bidi w:val="0"/>
              <w:jc w:val="right"/>
              <w:rPr/>
            </w:pPr>
            <w:r>
              <w:rPr/>
              <w:t>-5.8 [-7.3; 2 out]</w:t>
            </w:r>
          </w:p>
        </w:tc>
        <w:tc>
          <w:tcPr>
            <w:tcW w:w="871" w:type="dxa"/>
            <w:tcBorders/>
            <w:vAlign w:val="center"/>
          </w:tcPr>
          <w:p>
            <w:pPr>
              <w:pStyle w:val="TableContents"/>
              <w:bidi w:val="0"/>
              <w:jc w:val="right"/>
              <w:rPr/>
            </w:pPr>
            <w:r>
              <w:rPr/>
              <w:t>-3.9 [-4.0; 1 out]</w:t>
            </w:r>
          </w:p>
        </w:tc>
        <w:tc>
          <w:tcPr>
            <w:tcW w:w="871" w:type="dxa"/>
            <w:tcBorders/>
            <w:vAlign w:val="center"/>
          </w:tcPr>
          <w:p>
            <w:pPr>
              <w:pStyle w:val="TableContents"/>
              <w:bidi w:val="0"/>
              <w:jc w:val="right"/>
              <w:rPr/>
            </w:pPr>
            <w:r>
              <w:rPr/>
              <w:t>-4.3 [-4.4; 1 out]</w:t>
            </w:r>
          </w:p>
        </w:tc>
        <w:tc>
          <w:tcPr>
            <w:tcW w:w="725" w:type="dxa"/>
            <w:tcBorders/>
            <w:vAlign w:val="center"/>
          </w:tcPr>
          <w:p>
            <w:pPr>
              <w:pStyle w:val="TableContents"/>
              <w:bidi w:val="0"/>
              <w:jc w:val="right"/>
              <w:rPr/>
            </w:pPr>
            <w:r>
              <w:rPr/>
              <w:t>-3.0</w:t>
            </w:r>
          </w:p>
        </w:tc>
        <w:tc>
          <w:tcPr>
            <w:tcW w:w="871" w:type="dxa"/>
            <w:tcBorders/>
            <w:vAlign w:val="center"/>
          </w:tcPr>
          <w:p>
            <w:pPr>
              <w:pStyle w:val="TableContents"/>
              <w:bidi w:val="0"/>
              <w:jc w:val="right"/>
              <w:rPr/>
            </w:pPr>
            <w:r>
              <w:rPr/>
              <w:t>-1.8 [-2.3; 1 out]</w:t>
            </w:r>
          </w:p>
        </w:tc>
        <w:tc>
          <w:tcPr>
            <w:tcW w:w="725" w:type="dxa"/>
            <w:tcBorders/>
            <w:vAlign w:val="center"/>
          </w:tcPr>
          <w:p>
            <w:pPr>
              <w:pStyle w:val="TableContents"/>
              <w:bidi w:val="0"/>
              <w:jc w:val="right"/>
              <w:rPr/>
            </w:pPr>
            <w:r>
              <w:rPr/>
              <w:t>-3.5</w:t>
            </w:r>
          </w:p>
        </w:tc>
        <w:tc>
          <w:tcPr>
            <w:tcW w:w="871" w:type="dxa"/>
            <w:tcBorders/>
            <w:vAlign w:val="center"/>
          </w:tcPr>
          <w:p>
            <w:pPr>
              <w:pStyle w:val="TableContents"/>
              <w:bidi w:val="0"/>
              <w:jc w:val="right"/>
              <w:rPr/>
            </w:pPr>
            <w:r>
              <w:rPr/>
              <w:t>-2.9 [-3.4; 2 out]</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-3.3</w:t>
            </w:r>
          </w:p>
        </w:tc>
        <w:tc>
          <w:tcPr>
            <w:tcW w:w="725" w:type="dxa"/>
            <w:tcBorders/>
            <w:vAlign w:val="center"/>
          </w:tcPr>
          <w:p>
            <w:pPr>
              <w:pStyle w:val="TableContents"/>
              <w:bidi w:val="0"/>
              <w:jc w:val="right"/>
              <w:rPr/>
            </w:pPr>
            <w:r>
              <w:rPr/>
              <w:t>-3.7</w:t>
            </w:r>
          </w:p>
        </w:tc>
        <w:tc>
          <w:tcPr>
            <w:tcW w:w="725" w:type="dxa"/>
            <w:tcBorders/>
            <w:vAlign w:val="center"/>
          </w:tcPr>
          <w:p>
            <w:pPr>
              <w:pStyle w:val="TableContents"/>
              <w:bidi w:val="0"/>
              <w:jc w:val="right"/>
              <w:rPr/>
            </w:pPr>
            <w:r>
              <w:rPr/>
              <w:t>-8.2</w:t>
            </w:r>
          </w:p>
        </w:tc>
        <w:tc>
          <w:tcPr>
            <w:tcW w:w="916" w:type="dxa"/>
            <w:tcBorders/>
            <w:vAlign w:val="center"/>
          </w:tcPr>
          <w:p>
            <w:pPr>
              <w:pStyle w:val="TableContents"/>
              <w:bidi w:val="0"/>
              <w:jc w:val="right"/>
              <w:rPr/>
            </w:pPr>
            <w:r>
              <w:rPr/>
              <w:t>-3.6 [-3.9; 7 out]</w:t>
            </w:r>
          </w:p>
        </w:tc>
      </w:tr>
      <w:tr>
        <w:trPr/>
        <w:tc>
          <w:tcPr>
            <w:tcW w:w="2281" w:type="dxa"/>
            <w:tcBorders/>
            <w:vAlign w:val="center"/>
          </w:tcPr>
          <w:p>
            <w:pPr>
              <w:pStyle w:val="TableContents"/>
              <w:widowControl w:val="false"/>
              <w:suppressLineNumbers/>
              <w:bidi w:val="0"/>
              <w:jc w:val="left"/>
              <w:rPr/>
            </w:pPr>
            <w:r>
              <w:rPr>
                <w:rStyle w:val="SourceText"/>
              </w:rPr>
              <w:t>+ demand (without plan lags)</w:t>
            </w:r>
            <w:r>
              <w:rPr/>
              <w:t xml:space="preserve"> against </w:t>
            </w:r>
            <w:r>
              <w:rPr>
                <w:rStyle w:val="SourceText"/>
              </w:rPr>
              <w:t>+ arrivals (without plan lags)</w:t>
            </w:r>
          </w:p>
        </w:tc>
        <w:tc>
          <w:tcPr>
            <w:tcW w:w="871" w:type="dxa"/>
            <w:tcBorders/>
            <w:vAlign w:val="center"/>
          </w:tcPr>
          <w:p>
            <w:pPr>
              <w:pStyle w:val="TableContents"/>
              <w:bidi w:val="0"/>
              <w:jc w:val="right"/>
              <w:rPr/>
            </w:pPr>
            <w:r>
              <w:rPr/>
              <w:t>-5.5 [-6.7; 2 out]</w:t>
            </w:r>
          </w:p>
        </w:tc>
        <w:tc>
          <w:tcPr>
            <w:tcW w:w="871" w:type="dxa"/>
            <w:tcBorders/>
            <w:vAlign w:val="center"/>
          </w:tcPr>
          <w:p>
            <w:pPr>
              <w:pStyle w:val="TableContents"/>
              <w:bidi w:val="0"/>
              <w:jc w:val="right"/>
              <w:rPr/>
            </w:pPr>
            <w:r>
              <w:rPr/>
              <w:t>-4.0 [-4.1; 1 out]</w:t>
            </w:r>
          </w:p>
        </w:tc>
        <w:tc>
          <w:tcPr>
            <w:tcW w:w="871" w:type="dxa"/>
            <w:tcBorders/>
            <w:vAlign w:val="center"/>
          </w:tcPr>
          <w:p>
            <w:pPr>
              <w:pStyle w:val="TableContents"/>
              <w:bidi w:val="0"/>
              <w:jc w:val="right"/>
              <w:rPr/>
            </w:pPr>
            <w:r>
              <w:rPr/>
              <w:t>-3.1 [-3.1; 1 out]</w:t>
            </w:r>
          </w:p>
        </w:tc>
        <w:tc>
          <w:tcPr>
            <w:tcW w:w="725" w:type="dxa"/>
            <w:tcBorders/>
            <w:vAlign w:val="center"/>
          </w:tcPr>
          <w:p>
            <w:pPr>
              <w:pStyle w:val="TableContents"/>
              <w:bidi w:val="0"/>
              <w:jc w:val="right"/>
              <w:rPr/>
            </w:pPr>
            <w:r>
              <w:rPr/>
              <w:t>-4.0</w:t>
            </w:r>
          </w:p>
        </w:tc>
        <w:tc>
          <w:tcPr>
            <w:tcW w:w="871" w:type="dxa"/>
            <w:tcBorders/>
            <w:vAlign w:val="center"/>
          </w:tcPr>
          <w:p>
            <w:pPr>
              <w:pStyle w:val="TableContents"/>
              <w:bidi w:val="0"/>
              <w:jc w:val="right"/>
              <w:rPr/>
            </w:pPr>
            <w:r>
              <w:rPr/>
              <w:t>-2.4 [-3.0; 1 out]</w:t>
            </w:r>
          </w:p>
        </w:tc>
        <w:tc>
          <w:tcPr>
            <w:tcW w:w="725" w:type="dxa"/>
            <w:tcBorders/>
            <w:vAlign w:val="center"/>
          </w:tcPr>
          <w:p>
            <w:pPr>
              <w:pStyle w:val="TableContents"/>
              <w:bidi w:val="0"/>
              <w:jc w:val="right"/>
              <w:rPr/>
            </w:pPr>
            <w:r>
              <w:rPr/>
              <w:t>-3.9</w:t>
            </w:r>
          </w:p>
        </w:tc>
        <w:tc>
          <w:tcPr>
            <w:tcW w:w="871" w:type="dxa"/>
            <w:tcBorders/>
            <w:vAlign w:val="center"/>
          </w:tcPr>
          <w:p>
            <w:pPr>
              <w:pStyle w:val="TableContents"/>
              <w:bidi w:val="0"/>
              <w:jc w:val="right"/>
              <w:rPr/>
            </w:pPr>
            <w:r>
              <w:rPr/>
              <w:t>-4.0 [-4.6; 2 out]</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-3.9</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-4.5</w:t>
            </w:r>
          </w:p>
        </w:tc>
        <w:tc>
          <w:tcPr>
            <w:tcW w:w="725" w:type="dxa"/>
            <w:tcBorders/>
            <w:vAlign w:val="center"/>
          </w:tcPr>
          <w:p>
            <w:pPr>
              <w:pStyle w:val="TableContents"/>
              <w:bidi w:val="0"/>
              <w:jc w:val="right"/>
              <w:rPr/>
            </w:pPr>
            <w:r>
              <w:rPr/>
              <w:t>-7.3</w:t>
            </w:r>
          </w:p>
        </w:tc>
        <w:tc>
          <w:tcPr>
            <w:tcW w:w="916" w:type="dxa"/>
            <w:tcBorders/>
            <w:vAlign w:val="center"/>
          </w:tcPr>
          <w:p>
            <w:pPr>
              <w:pStyle w:val="TableContents"/>
              <w:bidi w:val="0"/>
              <w:jc w:val="right"/>
              <w:rPr/>
            </w:pPr>
            <w:r>
              <w:rPr/>
              <w:t>-4.1 [-4.4; 7 out]</w:t>
            </w:r>
          </w:p>
        </w:tc>
      </w:tr>
      <w:tr>
        <w:trPr/>
        <w:tc>
          <w:tcPr>
            <w:tcW w:w="2281" w:type="dxa"/>
            <w:tcBorders/>
            <w:vAlign w:val="center"/>
          </w:tcPr>
          <w:p>
            <w:pPr>
              <w:pStyle w:val="TableContents"/>
              <w:widowControl w:val="false"/>
              <w:suppressLineNumbers/>
              <w:bidi w:val="0"/>
              <w:jc w:val="left"/>
              <w:rPr/>
            </w:pPr>
            <w:r>
              <w:rPr>
                <w:rStyle w:val="SourceText"/>
              </w:rPr>
              <w:t>+ configuration (without plan lags)</w:t>
            </w:r>
            <w:r>
              <w:rPr/>
              <w:t xml:space="preserve"> against </w:t>
            </w:r>
            <w:r>
              <w:rPr>
                <w:rStyle w:val="SourceText"/>
              </w:rPr>
              <w:t>+ demand (without plan lags)</w:t>
            </w:r>
          </w:p>
        </w:tc>
        <w:tc>
          <w:tcPr>
            <w:tcW w:w="871" w:type="dxa"/>
            <w:tcBorders/>
            <w:vAlign w:val="center"/>
          </w:tcPr>
          <w:p>
            <w:pPr>
              <w:pStyle w:val="TableContents"/>
              <w:bidi w:val="0"/>
              <w:jc w:val="right"/>
              <w:rPr/>
            </w:pPr>
            <w:r>
              <w:rPr/>
              <w:t>+1.9 [+2.2; 2 out]</w:t>
            </w:r>
          </w:p>
        </w:tc>
        <w:tc>
          <w:tcPr>
            <w:tcW w:w="871" w:type="dxa"/>
            <w:tcBorders/>
            <w:vAlign w:val="center"/>
          </w:tcPr>
          <w:p>
            <w:pPr>
              <w:pStyle w:val="TableContents"/>
              <w:bidi w:val="0"/>
              <w:jc w:val="right"/>
              <w:rPr/>
            </w:pPr>
            <w:r>
              <w:rPr>
                <w:rStyle w:val="Strong"/>
              </w:rPr>
              <w:t>-1.0</w:t>
            </w:r>
            <w:r>
              <w:rPr/>
              <w:t xml:space="preserve"> [</w:t>
            </w:r>
            <w:r>
              <w:rPr>
                <w:rStyle w:val="Strong"/>
              </w:rPr>
              <w:t>-1.0</w:t>
            </w:r>
            <w:r>
              <w:rPr/>
              <w:t>; 1 out]</w:t>
            </w:r>
          </w:p>
        </w:tc>
        <w:tc>
          <w:tcPr>
            <w:tcW w:w="871" w:type="dxa"/>
            <w:tcBorders/>
            <w:vAlign w:val="center"/>
          </w:tcPr>
          <w:p>
            <w:pPr>
              <w:pStyle w:val="TableContents"/>
              <w:bidi w:val="0"/>
              <w:jc w:val="right"/>
              <w:rPr/>
            </w:pPr>
            <w:r>
              <w:rPr/>
              <w:t>-0.6 [-0.6;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t>-0.3 [-0.4;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rStyle w:val="Strong"/>
              </w:rPr>
              <w:t>-0.3</w:t>
            </w:r>
            <w:r>
              <w:rPr/>
              <w:t xml:space="preserve"> [</w:t>
            </w:r>
            <w:r>
              <w:rPr>
                <w:rStyle w:val="Strong"/>
              </w:rPr>
              <w:t>-0.3</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-0.3</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t>-0.8</w:t>
            </w:r>
          </w:p>
        </w:tc>
        <w:tc>
          <w:tcPr>
            <w:tcW w:w="916" w:type="dxa"/>
            <w:tcBorders/>
            <w:vAlign w:val="center"/>
          </w:tcPr>
          <w:p>
            <w:pPr>
              <w:pStyle w:val="TableContents"/>
              <w:bidi w:val="0"/>
              <w:jc w:val="right"/>
              <w:rPr/>
            </w:pPr>
            <w:r>
              <w:rPr/>
              <w:t>-0.2 [-0.2; 7 out]</w:t>
            </w:r>
          </w:p>
        </w:tc>
      </w:tr>
      <w:tr>
        <w:trPr/>
        <w:tc>
          <w:tcPr>
            <w:tcW w:w="2281" w:type="dxa"/>
            <w:tcBorders/>
            <w:vAlign w:val="center"/>
          </w:tcPr>
          <w:p>
            <w:pPr>
              <w:pStyle w:val="TableContents"/>
              <w:widowControl w:val="false"/>
              <w:suppressLineNumbers/>
              <w:bidi w:val="0"/>
              <w:jc w:val="left"/>
              <w:rPr/>
            </w:pPr>
            <w:r>
              <w:rPr>
                <w:rStyle w:val="SourceText"/>
              </w:rPr>
              <w:t>+ shared corridor (without plan lags)</w:t>
            </w:r>
            <w:r>
              <w:rPr/>
              <w:t xml:space="preserve"> against </w:t>
            </w:r>
            <w:r>
              <w:rPr>
                <w:rStyle w:val="SourceText"/>
              </w:rPr>
              <w:t>+ configuration (without plan lags)</w:t>
            </w:r>
          </w:p>
        </w:tc>
        <w:tc>
          <w:tcPr>
            <w:tcW w:w="871" w:type="dxa"/>
            <w:tcBorders/>
            <w:vAlign w:val="center"/>
          </w:tcPr>
          <w:p>
            <w:pPr>
              <w:pStyle w:val="TableContents"/>
              <w:bidi w:val="0"/>
              <w:jc w:val="right"/>
              <w:rPr/>
            </w:pPr>
            <w:r>
              <w:rPr/>
              <w:t>-1.2 [-1.4; 2 out]</w:t>
            </w:r>
          </w:p>
        </w:tc>
        <w:tc>
          <w:tcPr>
            <w:tcW w:w="871" w:type="dxa"/>
            <w:tcBorders/>
            <w:vAlign w:val="center"/>
          </w:tcPr>
          <w:p>
            <w:pPr>
              <w:pStyle w:val="TableContents"/>
              <w:bidi w:val="0"/>
              <w:jc w:val="right"/>
              <w:rPr/>
            </w:pPr>
            <w:r>
              <w:rPr>
                <w:rStyle w:val="Strong"/>
              </w:rPr>
              <w:t>+1.5</w:t>
            </w:r>
            <w:r>
              <w:rPr/>
              <w:t xml:space="preserve"> [</w:t>
            </w:r>
            <w:r>
              <w:rPr>
                <w:rStyle w:val="Strong"/>
              </w:rPr>
              <w:t>+1.5</w:t>
            </w:r>
            <w:r>
              <w:rPr/>
              <w:t>; 1 out]</w:t>
            </w:r>
          </w:p>
        </w:tc>
        <w:tc>
          <w:tcPr>
            <w:tcW w:w="871" w:type="dxa"/>
            <w:tcBorders/>
            <w:vAlign w:val="center"/>
          </w:tcPr>
          <w:p>
            <w:pPr>
              <w:pStyle w:val="TableContents"/>
              <w:bidi w:val="0"/>
              <w:jc w:val="right"/>
              <w:rPr/>
            </w:pPr>
            <w:r>
              <w:rPr>
                <w:rStyle w:val="Strong"/>
              </w:rPr>
              <w:t>+0.0</w:t>
            </w:r>
            <w:r>
              <w:rPr/>
              <w:t xml:space="preserve"> [</w:t>
            </w:r>
            <w:r>
              <w:rPr>
                <w:rStyle w:val="Strong"/>
              </w:rPr>
              <w:t>+0.0</w:t>
            </w:r>
            <w:r>
              <w:rPr/>
              <w:t>; 1 out]</w:t>
            </w:r>
          </w:p>
        </w:tc>
        <w:tc>
          <w:tcPr>
            <w:tcW w:w="725" w:type="dxa"/>
            <w:tcBorders/>
            <w:vAlign w:val="center"/>
          </w:tcPr>
          <w:p>
            <w:pPr>
              <w:pStyle w:val="TableContents"/>
              <w:bidi w:val="0"/>
              <w:jc w:val="right"/>
              <w:rPr/>
            </w:pPr>
            <w:r>
              <w:rPr/>
              <w:t>+0.1</w:t>
            </w:r>
          </w:p>
        </w:tc>
        <w:tc>
          <w:tcPr>
            <w:tcW w:w="871" w:type="dxa"/>
            <w:tcBorders/>
            <w:vAlign w:val="center"/>
          </w:tcPr>
          <w:p>
            <w:pPr>
              <w:pStyle w:val="TableContents"/>
              <w:bidi w:val="0"/>
              <w:jc w:val="right"/>
              <w:rPr/>
            </w:pPr>
            <w:r>
              <w:rPr/>
              <w:t>+0.3 [+0.4;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-0.1</w:t>
            </w:r>
            <w:r>
              <w:rPr/>
              <w:t xml:space="preserve"> [</w:t>
            </w:r>
            <w:r>
              <w:rPr>
                <w:rStyle w:val="Strong"/>
              </w:rPr>
              <w:t>+0.0</w:t>
            </w:r>
            <w:r>
              <w:rPr/>
              <w:t>; 2 out]</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[+0.2; 7 out]</w:t>
            </w:r>
          </w:p>
        </w:tc>
      </w:tr>
      <w:tr>
        <w:trPr/>
        <w:tc>
          <w:tcPr>
            <w:tcW w:w="2281" w:type="dxa"/>
            <w:tcBorders/>
            <w:vAlign w:val="center"/>
          </w:tcPr>
          <w:p>
            <w:pPr>
              <w:pStyle w:val="TableContents"/>
              <w:widowControl w:val="false"/>
              <w:suppressLineNumbers/>
              <w:bidi w:val="0"/>
              <w:jc w:val="left"/>
              <w:rPr/>
            </w:pPr>
            <w:r>
              <w:rPr>
                <w:rStyle w:val="SourceText"/>
              </w:rPr>
              <w:t>+ weather (without plan lags)</w:t>
            </w:r>
            <w:r>
              <w:rPr/>
              <w:t xml:space="preserve"> against </w:t>
            </w:r>
            <w:r>
              <w:rPr>
                <w:rStyle w:val="SourceText"/>
              </w:rPr>
              <w:t>+ shared corridor (without plan lags)</w:t>
            </w:r>
          </w:p>
        </w:tc>
        <w:tc>
          <w:tcPr>
            <w:tcW w:w="871" w:type="dxa"/>
            <w:tcBorders/>
            <w:vAlign w:val="center"/>
          </w:tcPr>
          <w:p>
            <w:pPr>
              <w:pStyle w:val="TableContents"/>
              <w:bidi w:val="0"/>
              <w:jc w:val="right"/>
              <w:rPr/>
            </w:pPr>
            <w:r>
              <w:rPr/>
              <w:t>-16.5 [-20.2; 2 out]</w:t>
            </w:r>
          </w:p>
        </w:tc>
        <w:tc>
          <w:tcPr>
            <w:tcW w:w="871" w:type="dxa"/>
            <w:tcBorders/>
            <w:vAlign w:val="center"/>
          </w:tcPr>
          <w:p>
            <w:pPr>
              <w:pStyle w:val="TableContents"/>
              <w:bidi w:val="0"/>
              <w:jc w:val="right"/>
              <w:rPr/>
            </w:pPr>
            <w:r>
              <w:rPr/>
              <w:t>-14.7 [-14.8; 1 out]</w:t>
            </w:r>
          </w:p>
        </w:tc>
        <w:tc>
          <w:tcPr>
            <w:tcW w:w="871" w:type="dxa"/>
            <w:tcBorders/>
            <w:vAlign w:val="center"/>
          </w:tcPr>
          <w:p>
            <w:pPr>
              <w:pStyle w:val="TableContents"/>
              <w:bidi w:val="0"/>
              <w:jc w:val="right"/>
              <w:rPr/>
            </w:pPr>
            <w:r>
              <w:rPr/>
              <w:t>-1.9 [-1.9; 1 out]</w:t>
            </w:r>
          </w:p>
        </w:tc>
        <w:tc>
          <w:tcPr>
            <w:tcW w:w="725" w:type="dxa"/>
            <w:tcBorders/>
            <w:vAlign w:val="center"/>
          </w:tcPr>
          <w:p>
            <w:pPr>
              <w:pStyle w:val="TableContents"/>
              <w:bidi w:val="0"/>
              <w:jc w:val="right"/>
              <w:rPr/>
            </w:pPr>
            <w:r>
              <w:rPr/>
              <w:t>-0.8</w:t>
            </w:r>
          </w:p>
        </w:tc>
        <w:tc>
          <w:tcPr>
            <w:tcW w:w="871" w:type="dxa"/>
            <w:tcBorders/>
            <w:vAlign w:val="center"/>
          </w:tcPr>
          <w:p>
            <w:pPr>
              <w:pStyle w:val="TableContents"/>
              <w:bidi w:val="0"/>
              <w:jc w:val="right"/>
              <w:rPr/>
            </w:pPr>
            <w:r>
              <w:rPr/>
              <w:t>-1.2 [-1.5; 1 out]</w:t>
            </w:r>
          </w:p>
        </w:tc>
        <w:tc>
          <w:tcPr>
            <w:tcW w:w="725" w:type="dxa"/>
            <w:tcBorders/>
            <w:vAlign w:val="center"/>
          </w:tcPr>
          <w:p>
            <w:pPr>
              <w:pStyle w:val="TableContents"/>
              <w:bidi w:val="0"/>
              <w:jc w:val="right"/>
              <w:rPr/>
            </w:pPr>
            <w:r>
              <w:rPr/>
              <w:t>-1.9</w:t>
            </w:r>
          </w:p>
        </w:tc>
        <w:tc>
          <w:tcPr>
            <w:tcW w:w="871" w:type="dxa"/>
            <w:tcBorders/>
            <w:vAlign w:val="center"/>
          </w:tcPr>
          <w:p>
            <w:pPr>
              <w:pStyle w:val="TableContents"/>
              <w:bidi w:val="0"/>
              <w:jc w:val="right"/>
              <w:rPr/>
            </w:pPr>
            <w:r>
              <w:rPr>
                <w:rStyle w:val="Strong"/>
              </w:rPr>
              <w:t>-0.1</w:t>
            </w:r>
            <w:r>
              <w:rPr/>
              <w:t xml:space="preserve"> [</w:t>
            </w:r>
            <w:r>
              <w:rPr>
                <w:rStyle w:val="Strong"/>
              </w:rPr>
              <w:t>-0.2</w:t>
            </w:r>
            <w:r>
              <w:rPr/>
              <w:t>; 2 out]</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-0.9</w:t>
            </w:r>
          </w:p>
        </w:tc>
        <w:tc>
          <w:tcPr>
            <w:tcW w:w="725" w:type="dxa"/>
            <w:tcBorders/>
            <w:vAlign w:val="center"/>
          </w:tcPr>
          <w:p>
            <w:pPr>
              <w:pStyle w:val="TableContents"/>
              <w:bidi w:val="0"/>
              <w:jc w:val="right"/>
              <w:rPr/>
            </w:pPr>
            <w:r>
              <w:rPr/>
              <w:t>-5.8</w:t>
            </w:r>
          </w:p>
        </w:tc>
        <w:tc>
          <w:tcPr>
            <w:tcW w:w="725" w:type="dxa"/>
            <w:tcBorders/>
            <w:vAlign w:val="center"/>
          </w:tcPr>
          <w:p>
            <w:pPr>
              <w:pStyle w:val="TableContents"/>
              <w:bidi w:val="0"/>
              <w:jc w:val="right"/>
              <w:rPr/>
            </w:pPr>
            <w:r>
              <w:rPr/>
              <w:t>-8.3</w:t>
            </w:r>
          </w:p>
        </w:tc>
        <w:tc>
          <w:tcPr>
            <w:tcW w:w="916" w:type="dxa"/>
            <w:tcBorders/>
            <w:vAlign w:val="center"/>
          </w:tcPr>
          <w:p>
            <w:pPr>
              <w:pStyle w:val="TableContents"/>
              <w:bidi w:val="0"/>
              <w:jc w:val="right"/>
              <w:rPr/>
            </w:pPr>
            <w:r>
              <w:rPr/>
              <w:t>-4.6 [-4.9; 7 out]</w:t>
            </w:r>
          </w:p>
        </w:tc>
      </w:tr>
      <w:tr>
        <w:trPr/>
        <w:tc>
          <w:tcPr>
            <w:tcW w:w="2281" w:type="dxa"/>
            <w:tcBorders/>
            <w:vAlign w:val="center"/>
          </w:tcPr>
          <w:p>
            <w:pPr>
              <w:pStyle w:val="TableContents"/>
              <w:widowControl w:val="false"/>
              <w:suppressLineNumbers/>
              <w:bidi w:val="0"/>
              <w:jc w:val="left"/>
              <w:rPr/>
            </w:pPr>
            <w:r>
              <w:rPr>
                <w:rStyle w:val="SourceText"/>
              </w:rPr>
              <w:t>+ runway saturation (without plan lags)</w:t>
            </w:r>
            <w:r>
              <w:rPr/>
              <w:t xml:space="preserve"> against </w:t>
            </w:r>
            <w:r>
              <w:rPr>
                <w:rStyle w:val="SourceText"/>
              </w:rPr>
              <w:t>+ weather (without plan lags)</w:t>
            </w:r>
          </w:p>
        </w:tc>
        <w:tc>
          <w:tcPr>
            <w:tcW w:w="871" w:type="dxa"/>
            <w:tcBorders/>
            <w:vAlign w:val="center"/>
          </w:tcPr>
          <w:p>
            <w:pPr>
              <w:pStyle w:val="TableContents"/>
              <w:bidi w:val="0"/>
              <w:jc w:val="right"/>
              <w:rPr/>
            </w:pPr>
            <w:r>
              <w:rPr>
                <w:rStyle w:val="Strong"/>
              </w:rPr>
              <w:t>+0.0</w:t>
            </w:r>
            <w:r>
              <w:rPr/>
              <w:t xml:space="preserve"> [</w:t>
            </w:r>
            <w:r>
              <w:rPr>
                <w:rStyle w:val="Strong"/>
              </w:rPr>
              <w:t>-0.1</w:t>
            </w:r>
            <w:r>
              <w:rPr/>
              <w:t>; 2 out]</w:t>
            </w:r>
          </w:p>
        </w:tc>
        <w:tc>
          <w:tcPr>
            <w:tcW w:w="871" w:type="dxa"/>
            <w:tcBorders/>
            <w:vAlign w:val="center"/>
          </w:tcPr>
          <w:p>
            <w:pPr>
              <w:pStyle w:val="TableContents"/>
              <w:bidi w:val="0"/>
              <w:jc w:val="right"/>
              <w:rPr/>
            </w:pPr>
            <w:r>
              <w:rPr>
                <w:rStyle w:val="Strong"/>
              </w:rPr>
              <w:t>-0.2</w:t>
            </w:r>
            <w:r>
              <w:rPr/>
              <w:t xml:space="preserve"> [</w:t>
            </w:r>
            <w:r>
              <w:rPr>
                <w:rStyle w:val="Strong"/>
              </w:rPr>
              <w:t>-0.2</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-0.3</w:t>
            </w:r>
            <w:r>
              <w:rPr/>
              <w:t>;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+0.2 [</w:t>
            </w:r>
            <w:r>
              <w:rPr>
                <w:rStyle w:val="Strong"/>
              </w:rPr>
              <w:t>+0.2</w:t>
            </w:r>
            <w:r>
              <w:rPr/>
              <w:t>; 1 out]</w:t>
            </w:r>
          </w:p>
        </w:tc>
        <w:tc>
          <w:tcPr>
            <w:tcW w:w="725" w:type="dxa"/>
            <w:tcBorders/>
            <w:vAlign w:val="center"/>
          </w:tcPr>
          <w:p>
            <w:pPr>
              <w:pStyle w:val="TableContents"/>
              <w:bidi w:val="0"/>
              <w:jc w:val="right"/>
              <w:rPr/>
            </w:pPr>
            <w:r>
              <w:rPr/>
              <w:t>+0.5</w:t>
            </w:r>
          </w:p>
        </w:tc>
        <w:tc>
          <w:tcPr>
            <w:tcW w:w="871" w:type="dxa"/>
            <w:tcBorders/>
            <w:vAlign w:val="center"/>
          </w:tcPr>
          <w:p>
            <w:pPr>
              <w:pStyle w:val="TableContents"/>
              <w:bidi w:val="0"/>
              <w:jc w:val="right"/>
              <w:rPr/>
            </w:pPr>
            <w:r>
              <w:rPr>
                <w:rStyle w:val="Strong"/>
              </w:rPr>
              <w:t>-0.1</w:t>
            </w:r>
            <w:r>
              <w:rPr/>
              <w:t xml:space="preserve"> [</w:t>
            </w:r>
            <w:r>
              <w:rPr>
                <w:rStyle w:val="Strong"/>
              </w:rPr>
              <w:t>-0.1</w:t>
            </w:r>
            <w:r>
              <w:rPr/>
              <w:t>; 2 out]</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bl>
    <w:p>
      <w:pPr>
        <w:pStyle w:val="BodyText"/>
        <w:bidi w:val="0"/>
        <w:jc w:val="left"/>
        <w:rPr/>
      </w:pPr>
      <w:r>
        <w:rPr/>
        <w:t>Per block, the months it helps by more than the floor, hurts by more than it, or sits inside it; the last column is the same count over the rows of four hours or less, a diagnostic:</w:t>
      </w:r>
    </w:p>
    <w:tbl>
      <w:tblPr>
        <w:tblW w:w="10539" w:type="dxa"/>
        <w:jc w:val="left"/>
        <w:tblInd w:w="28" w:type="dxa"/>
        <w:tblLayout w:type="fixed"/>
        <w:tblCellMar>
          <w:top w:w="28" w:type="dxa"/>
          <w:left w:w="28" w:type="dxa"/>
          <w:bottom w:w="28" w:type="dxa"/>
          <w:right w:w="28" w:type="dxa"/>
        </w:tblCellMar>
      </w:tblPr>
      <w:tblGrid>
        <w:gridCol w:w="3464"/>
        <w:gridCol w:w="905"/>
        <w:gridCol w:w="918"/>
        <w:gridCol w:w="1427"/>
        <w:gridCol w:w="811"/>
        <w:gridCol w:w="1364"/>
        <w:gridCol w:w="1650"/>
      </w:tblGrid>
      <w:tr>
        <w:trPr>
          <w:tblHeader w:val="true"/>
        </w:trPr>
        <w:tc>
          <w:tcPr>
            <w:tcW w:w="3464" w:type="dxa"/>
            <w:tcBorders/>
            <w:vAlign w:val="center"/>
          </w:tcPr>
          <w:p>
            <w:pPr>
              <w:pStyle w:val="TableHeading"/>
              <w:suppressLineNumbers/>
              <w:bidi w:val="0"/>
              <w:jc w:val="center"/>
              <w:rPr/>
            </w:pPr>
            <w:r>
              <w:rPr/>
              <w:t>block</w:t>
            </w:r>
          </w:p>
        </w:tc>
        <w:tc>
          <w:tcPr>
            <w:tcW w:w="905" w:type="dxa"/>
            <w:tcBorders/>
            <w:vAlign w:val="center"/>
          </w:tcPr>
          <w:p>
            <w:pPr>
              <w:pStyle w:val="TableHeading"/>
              <w:bidi w:val="0"/>
              <w:jc w:val="right"/>
              <w:rPr/>
            </w:pPr>
            <w:r>
              <w:rPr/>
              <w:t>helps by more than the floor</w:t>
            </w:r>
          </w:p>
        </w:tc>
        <w:tc>
          <w:tcPr>
            <w:tcW w:w="918" w:type="dxa"/>
            <w:tcBorders/>
            <w:vAlign w:val="center"/>
          </w:tcPr>
          <w:p>
            <w:pPr>
              <w:pStyle w:val="TableHeading"/>
              <w:bidi w:val="0"/>
              <w:jc w:val="right"/>
              <w:rPr/>
            </w:pPr>
            <w:r>
              <w:rPr/>
              <w:t>hurts by more than the floor</w:t>
            </w:r>
          </w:p>
        </w:tc>
        <w:tc>
          <w:tcPr>
            <w:tcW w:w="1427" w:type="dxa"/>
            <w:tcBorders/>
            <w:vAlign w:val="center"/>
          </w:tcPr>
          <w:p>
            <w:pPr>
              <w:pStyle w:val="TableHeading"/>
              <w:suppressLineNumbers/>
              <w:bidi w:val="0"/>
              <w:jc w:val="center"/>
              <w:rPr/>
            </w:pPr>
            <w:r>
              <w:rPr/>
              <w:t>months</w:t>
            </w:r>
          </w:p>
        </w:tc>
        <w:tc>
          <w:tcPr>
            <w:tcW w:w="811" w:type="dxa"/>
            <w:tcBorders/>
            <w:vAlign w:val="center"/>
          </w:tcPr>
          <w:p>
            <w:pPr>
              <w:pStyle w:val="TableHeading"/>
              <w:bidi w:val="0"/>
              <w:jc w:val="right"/>
              <w:rPr/>
            </w:pPr>
            <w:r>
              <w:rPr/>
              <w:t>inside the floor</w:t>
            </w:r>
          </w:p>
        </w:tc>
        <w:tc>
          <w:tcPr>
            <w:tcW w:w="1364" w:type="dxa"/>
            <w:tcBorders/>
            <w:vAlign w:val="center"/>
          </w:tcPr>
          <w:p>
            <w:pPr>
              <w:pStyle w:val="TableHeading"/>
              <w:suppressLineNumbers/>
              <w:bidi w:val="0"/>
              <w:jc w:val="center"/>
              <w:rPr/>
            </w:pPr>
            <w:r>
              <w:rPr/>
              <w:t>months</w:t>
            </w:r>
          </w:p>
        </w:tc>
        <w:tc>
          <w:tcPr>
            <w:tcW w:w="1650" w:type="dxa"/>
            <w:tcBorders/>
            <w:vAlign w:val="center"/>
          </w:tcPr>
          <w:p>
            <w:pPr>
              <w:pStyle w:val="TableHeading"/>
              <w:bidi w:val="0"/>
              <w:jc w:val="right"/>
              <w:rPr/>
            </w:pPr>
            <w:r>
              <w:rPr/>
              <w:t>4 h or less: helps / hurts / inside (diagnostic)</w:t>
            </w:r>
          </w:p>
        </w:tc>
      </w:tr>
      <w:tr>
        <w:trPr/>
        <w:tc>
          <w:tcPr>
            <w:tcW w:w="3464" w:type="dxa"/>
            <w:tcBorders/>
            <w:vAlign w:val="center"/>
          </w:tcPr>
          <w:p>
            <w:pPr>
              <w:pStyle w:val="TableContents"/>
              <w:widowControl w:val="false"/>
              <w:suppressLineNumbers/>
              <w:bidi w:val="0"/>
              <w:jc w:val="left"/>
              <w:rPr/>
            </w:pPr>
            <w:r>
              <w:rPr>
                <w:rStyle w:val="SourceText"/>
              </w:rPr>
              <w:t>PRU reference</w:t>
            </w:r>
            <w:r>
              <w:rPr/>
              <w:t xml:space="preserve"> against </w:t>
            </w:r>
            <w:r>
              <w:rPr>
                <w:rStyle w:val="SourceText"/>
              </w:rPr>
              <w:t>airport mean</w:t>
            </w:r>
          </w:p>
        </w:tc>
        <w:tc>
          <w:tcPr>
            <w:tcW w:w="905" w:type="dxa"/>
            <w:tcBorders/>
            <w:vAlign w:val="center"/>
          </w:tcPr>
          <w:p>
            <w:pPr>
              <w:pStyle w:val="TableContents"/>
              <w:bidi w:val="0"/>
              <w:jc w:val="right"/>
              <w:rPr/>
            </w:pPr>
            <w:r>
              <w:rPr/>
              <w:t>0 of 12</w:t>
            </w:r>
          </w:p>
        </w:tc>
        <w:tc>
          <w:tcPr>
            <w:tcW w:w="918" w:type="dxa"/>
            <w:tcBorders/>
            <w:vAlign w:val="center"/>
          </w:tcPr>
          <w:p>
            <w:pPr>
              <w:pStyle w:val="TableContents"/>
              <w:bidi w:val="0"/>
              <w:jc w:val="right"/>
              <w:rPr/>
            </w:pPr>
            <w:r>
              <w:rPr/>
              <w:t>12</w:t>
            </w:r>
          </w:p>
        </w:tc>
        <w:tc>
          <w:tcPr>
            <w:tcW w:w="1427" w:type="dxa"/>
            <w:tcBorders/>
            <w:vAlign w:val="center"/>
          </w:tcPr>
          <w:p>
            <w:pPr>
              <w:pStyle w:val="TableContents"/>
              <w:widowControl w:val="false"/>
              <w:suppressLineNumbers/>
              <w:bidi w:val="0"/>
              <w:jc w:val="left"/>
              <w:rPr/>
            </w:pPr>
            <w:r>
              <w:rPr/>
              <w:t>Jan, Feb, Mar, Apr, May, Jun, Jul, Aug, Sep, Oct, Nov, Dec</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0 / 12 / 0</w:t>
            </w:r>
          </w:p>
        </w:tc>
      </w:tr>
      <w:tr>
        <w:trPr/>
        <w:tc>
          <w:tcPr>
            <w:tcW w:w="3464" w:type="dxa"/>
            <w:tcBorders/>
            <w:vAlign w:val="center"/>
          </w:tcPr>
          <w:p>
            <w:pPr>
              <w:pStyle w:val="TableContents"/>
              <w:widowControl w:val="false"/>
              <w:suppressLineNumbers/>
              <w:bidi w:val="0"/>
              <w:jc w:val="left"/>
              <w:rPr/>
            </w:pPr>
            <w:r>
              <w:rPr>
                <w:rStyle w:val="SourceText"/>
              </w:rPr>
              <w:t>geometric unimpeded</w:t>
            </w:r>
            <w:r>
              <w:rPr/>
              <w:t xml:space="preserve"> against </w:t>
            </w:r>
            <w:r>
              <w:rPr>
                <w:rStyle w:val="SourceText"/>
              </w:rPr>
              <w:t>PRU reference</w:t>
            </w:r>
          </w:p>
        </w:tc>
        <w:tc>
          <w:tcPr>
            <w:tcW w:w="905" w:type="dxa"/>
            <w:tcBorders/>
            <w:vAlign w:val="center"/>
          </w:tcPr>
          <w:p>
            <w:pPr>
              <w:pStyle w:val="TableContents"/>
              <w:bidi w:val="0"/>
              <w:jc w:val="right"/>
              <w:rPr/>
            </w:pPr>
            <w:r>
              <w:rPr/>
              <w:t>0 of 12</w:t>
            </w:r>
          </w:p>
        </w:tc>
        <w:tc>
          <w:tcPr>
            <w:tcW w:w="918" w:type="dxa"/>
            <w:tcBorders/>
            <w:vAlign w:val="center"/>
          </w:tcPr>
          <w:p>
            <w:pPr>
              <w:pStyle w:val="TableContents"/>
              <w:bidi w:val="0"/>
              <w:jc w:val="right"/>
              <w:rPr/>
            </w:pPr>
            <w:r>
              <w:rPr/>
              <w:t>12</w:t>
            </w:r>
          </w:p>
        </w:tc>
        <w:tc>
          <w:tcPr>
            <w:tcW w:w="1427" w:type="dxa"/>
            <w:tcBorders/>
            <w:vAlign w:val="center"/>
          </w:tcPr>
          <w:p>
            <w:pPr>
              <w:pStyle w:val="TableContents"/>
              <w:widowControl w:val="false"/>
              <w:suppressLineNumbers/>
              <w:bidi w:val="0"/>
              <w:jc w:val="left"/>
              <w:rPr/>
            </w:pPr>
            <w:r>
              <w:rPr/>
              <w:t>Jan, Feb, Mar, Apr, May, Jun, Jul, Aug, Sep, Oct, Nov, Dec</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0 / 12 / 0</w:t>
            </w:r>
          </w:p>
        </w:tc>
      </w:tr>
      <w:tr>
        <w:trPr/>
        <w:tc>
          <w:tcPr>
            <w:tcW w:w="3464" w:type="dxa"/>
            <w:tcBorders/>
            <w:vAlign w:val="center"/>
          </w:tcPr>
          <w:p>
            <w:pPr>
              <w:pStyle w:val="TableContents"/>
              <w:widowControl w:val="false"/>
              <w:suppressLineNumbers/>
              <w:bidi w:val="0"/>
              <w:jc w:val="left"/>
              <w:rPr/>
            </w:pPr>
            <w:r>
              <w:rPr>
                <w:rStyle w:val="SourceText"/>
              </w:rPr>
              <w:t>geometric unimpeded + wake class</w:t>
            </w:r>
            <w:r>
              <w:rPr/>
              <w:t xml:space="preserve"> against </w:t>
            </w:r>
            <w:r>
              <w:rPr>
                <w:rStyle w:val="SourceText"/>
              </w:rPr>
              <w:t>geometric unimpeded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identifiers + time</w:t>
            </w:r>
            <w:r>
              <w:rPr/>
              <w:t xml:space="preserve"> against </w:t>
            </w:r>
            <w:r>
              <w:rPr>
                <w:rStyle w:val="SourceText"/>
              </w:rPr>
              <w:t>geometric unimpeded + wake class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identifiers + time + geometry</w:t>
            </w:r>
            <w:r>
              <w:rPr/>
              <w:t xml:space="preserve"> against </w:t>
            </w:r>
            <w:r>
              <w:rPr>
                <w:rStyle w:val="SourceText"/>
              </w:rPr>
              <w:t>identifiers + time</w:t>
            </w:r>
          </w:p>
        </w:tc>
        <w:tc>
          <w:tcPr>
            <w:tcW w:w="905" w:type="dxa"/>
            <w:tcBorders/>
            <w:vAlign w:val="center"/>
          </w:tcPr>
          <w:p>
            <w:pPr>
              <w:pStyle w:val="TableContents"/>
              <w:bidi w:val="0"/>
              <w:jc w:val="right"/>
              <w:rPr/>
            </w:pPr>
            <w:r>
              <w:rPr/>
              <w:t>9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Apr</w:t>
            </w:r>
          </w:p>
        </w:tc>
        <w:tc>
          <w:tcPr>
            <w:tcW w:w="811" w:type="dxa"/>
            <w:tcBorders/>
            <w:vAlign w:val="center"/>
          </w:tcPr>
          <w:p>
            <w:pPr>
              <w:pStyle w:val="TableContents"/>
              <w:bidi w:val="0"/>
              <w:jc w:val="right"/>
              <w:rPr/>
            </w:pPr>
            <w:r>
              <w:rPr/>
              <w:t>2</w:t>
            </w:r>
          </w:p>
        </w:tc>
        <w:tc>
          <w:tcPr>
            <w:tcW w:w="1364" w:type="dxa"/>
            <w:tcBorders/>
            <w:vAlign w:val="center"/>
          </w:tcPr>
          <w:p>
            <w:pPr>
              <w:pStyle w:val="TableContents"/>
              <w:widowControl w:val="false"/>
              <w:suppressLineNumbers/>
              <w:bidi w:val="0"/>
              <w:jc w:val="left"/>
              <w:rPr/>
            </w:pPr>
            <w:r>
              <w:rPr/>
              <w:t>Jun, Jul</w:t>
            </w:r>
          </w:p>
        </w:tc>
        <w:tc>
          <w:tcPr>
            <w:tcW w:w="1650" w:type="dxa"/>
            <w:tcBorders/>
            <w:vAlign w:val="center"/>
          </w:tcPr>
          <w:p>
            <w:pPr>
              <w:pStyle w:val="TableContents"/>
              <w:bidi w:val="0"/>
              <w:jc w:val="right"/>
              <w:rPr/>
            </w:pPr>
            <w:r>
              <w:rPr/>
              <w:t>9 / 1 / 2</w:t>
            </w:r>
          </w:p>
        </w:tc>
      </w:tr>
      <w:tr>
        <w:trPr/>
        <w:tc>
          <w:tcPr>
            <w:tcW w:w="3464" w:type="dxa"/>
            <w:tcBorders/>
            <w:vAlign w:val="center"/>
          </w:tcPr>
          <w:p>
            <w:pPr>
              <w:pStyle w:val="TableContents"/>
              <w:widowControl w:val="false"/>
              <w:suppressLineNumbers/>
              <w:bidi w:val="0"/>
              <w:jc w:val="left"/>
              <w:rPr/>
            </w:pPr>
            <w:r>
              <w:rPr>
                <w:rStyle w:val="SourceText"/>
              </w:rPr>
              <w:t>identifiers + time + geometry + aircraft</w:t>
            </w:r>
            <w:r>
              <w:rPr/>
              <w:t xml:space="preserve"> against </w:t>
            </w:r>
            <w:r>
              <w:rPr>
                <w:rStyle w:val="SourceText"/>
              </w:rPr>
              <w:t>identifiers + time + geometry</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plan lags</w:t>
            </w:r>
            <w:r>
              <w:rPr/>
              <w:t xml:space="preserve"> against </w:t>
            </w:r>
            <w:r>
              <w:rPr>
                <w:rStyle w:val="SourceText"/>
              </w:rPr>
              <w:t>identifiers + time + geometry + aircraft</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runway throughput</w:t>
            </w:r>
            <w:r>
              <w:rPr/>
              <w:t xml:space="preserve"> against </w:t>
            </w:r>
            <w:r>
              <w:rPr>
                <w:rStyle w:val="SourceText"/>
              </w:rPr>
              <w: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arrivals</w:t>
            </w:r>
            <w:r>
              <w:rPr/>
              <w:t xml:space="preserve"> against </w:t>
            </w:r>
            <w:r>
              <w:rPr>
                <w:rStyle w:val="SourceText"/>
              </w:rPr>
              <w:t>+ runway throughput</w:t>
            </w:r>
          </w:p>
        </w:tc>
        <w:tc>
          <w:tcPr>
            <w:tcW w:w="905" w:type="dxa"/>
            <w:tcBorders/>
            <w:vAlign w:val="center"/>
          </w:tcPr>
          <w:p>
            <w:pPr>
              <w:pStyle w:val="TableContents"/>
              <w:bidi w:val="0"/>
              <w:jc w:val="right"/>
              <w:rPr/>
            </w:pPr>
            <w:r>
              <w:rPr/>
              <w:t>8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Feb</w:t>
            </w:r>
          </w:p>
        </w:tc>
        <w:tc>
          <w:tcPr>
            <w:tcW w:w="811" w:type="dxa"/>
            <w:tcBorders/>
            <w:vAlign w:val="center"/>
          </w:tcPr>
          <w:p>
            <w:pPr>
              <w:pStyle w:val="TableContents"/>
              <w:bidi w:val="0"/>
              <w:jc w:val="right"/>
              <w:rPr/>
            </w:pPr>
            <w:r>
              <w:rPr/>
              <w:t>3</w:t>
            </w:r>
          </w:p>
        </w:tc>
        <w:tc>
          <w:tcPr>
            <w:tcW w:w="1364" w:type="dxa"/>
            <w:tcBorders/>
            <w:vAlign w:val="center"/>
          </w:tcPr>
          <w:p>
            <w:pPr>
              <w:pStyle w:val="TableContents"/>
              <w:widowControl w:val="false"/>
              <w:suppressLineNumbers/>
              <w:bidi w:val="0"/>
              <w:jc w:val="left"/>
              <w:rPr/>
            </w:pPr>
            <w:r>
              <w:rPr/>
              <w:t>Jul, Sep, Oct</w:t>
            </w:r>
          </w:p>
        </w:tc>
        <w:tc>
          <w:tcPr>
            <w:tcW w:w="1650" w:type="dxa"/>
            <w:tcBorders/>
            <w:vAlign w:val="center"/>
          </w:tcPr>
          <w:p>
            <w:pPr>
              <w:pStyle w:val="TableContents"/>
              <w:bidi w:val="0"/>
              <w:jc w:val="right"/>
              <w:rPr/>
            </w:pPr>
            <w:r>
              <w:rPr/>
              <w:t>9 / 1 / 2</w:t>
            </w:r>
          </w:p>
        </w:tc>
      </w:tr>
      <w:tr>
        <w:trPr/>
        <w:tc>
          <w:tcPr>
            <w:tcW w:w="3464" w:type="dxa"/>
            <w:tcBorders/>
            <w:vAlign w:val="center"/>
          </w:tcPr>
          <w:p>
            <w:pPr>
              <w:pStyle w:val="TableContents"/>
              <w:widowControl w:val="false"/>
              <w:suppressLineNumbers/>
              <w:bidi w:val="0"/>
              <w:jc w:val="left"/>
              <w:rPr/>
            </w:pPr>
            <w:r>
              <w:rPr>
                <w:rStyle w:val="SourceText"/>
              </w:rPr>
              <w:t>+ demand</w:t>
            </w:r>
            <w:r>
              <w:rPr/>
              <w:t xml:space="preserve"> against </w:t>
            </w:r>
            <w:r>
              <w:rPr>
                <w:rStyle w:val="SourceText"/>
              </w:rPr>
              <w:t>+ arrivals</w:t>
            </w:r>
          </w:p>
        </w:tc>
        <w:tc>
          <w:tcPr>
            <w:tcW w:w="905" w:type="dxa"/>
            <w:tcBorders/>
            <w:vAlign w:val="center"/>
          </w:tcPr>
          <w:p>
            <w:pPr>
              <w:pStyle w:val="TableContents"/>
              <w:bidi w:val="0"/>
              <w:jc w:val="right"/>
              <w:rPr/>
            </w:pPr>
            <w:r>
              <w:rPr/>
              <w:t>7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5</w:t>
            </w:r>
          </w:p>
        </w:tc>
        <w:tc>
          <w:tcPr>
            <w:tcW w:w="1364" w:type="dxa"/>
            <w:tcBorders/>
            <w:vAlign w:val="center"/>
          </w:tcPr>
          <w:p>
            <w:pPr>
              <w:pStyle w:val="TableContents"/>
              <w:widowControl w:val="false"/>
              <w:suppressLineNumbers/>
              <w:bidi w:val="0"/>
              <w:jc w:val="left"/>
              <w:rPr/>
            </w:pPr>
            <w:r>
              <w:rPr/>
              <w:t>Feb, Jul, Sep, Oct, Nov</w:t>
            </w:r>
          </w:p>
        </w:tc>
        <w:tc>
          <w:tcPr>
            <w:tcW w:w="1650" w:type="dxa"/>
            <w:tcBorders/>
            <w:vAlign w:val="center"/>
          </w:tcPr>
          <w:p>
            <w:pPr>
              <w:pStyle w:val="TableContents"/>
              <w:bidi w:val="0"/>
              <w:jc w:val="right"/>
              <w:rPr/>
            </w:pPr>
            <w:r>
              <w:rPr/>
              <w:t>8 / 0 / 4</w:t>
            </w:r>
          </w:p>
        </w:tc>
      </w:tr>
      <w:tr>
        <w:trPr/>
        <w:tc>
          <w:tcPr>
            <w:tcW w:w="3464" w:type="dxa"/>
            <w:tcBorders/>
            <w:vAlign w:val="center"/>
          </w:tcPr>
          <w:p>
            <w:pPr>
              <w:pStyle w:val="TableContents"/>
              <w:widowControl w:val="false"/>
              <w:suppressLineNumbers/>
              <w:bidi w:val="0"/>
              <w:jc w:val="left"/>
              <w:rPr/>
            </w:pPr>
            <w:r>
              <w:rPr>
                <w:rStyle w:val="SourceText"/>
              </w:rPr>
              <w:t>+ configuration</w:t>
            </w:r>
            <w:r>
              <w:rPr/>
              <w:t xml:space="preserve"> against </w:t>
            </w:r>
            <w:r>
              <w:rPr>
                <w:rStyle w:val="SourceText"/>
              </w:rPr>
              <w:t>+ demand</w:t>
            </w:r>
          </w:p>
        </w:tc>
        <w:tc>
          <w:tcPr>
            <w:tcW w:w="905" w:type="dxa"/>
            <w:tcBorders/>
            <w:vAlign w:val="center"/>
          </w:tcPr>
          <w:p>
            <w:pPr>
              <w:pStyle w:val="TableContents"/>
              <w:bidi w:val="0"/>
              <w:jc w:val="right"/>
              <w:rPr/>
            </w:pPr>
            <w:r>
              <w:rPr/>
              <w:t>5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7</w:t>
            </w:r>
          </w:p>
        </w:tc>
        <w:tc>
          <w:tcPr>
            <w:tcW w:w="1364" w:type="dxa"/>
            <w:tcBorders/>
            <w:vAlign w:val="center"/>
          </w:tcPr>
          <w:p>
            <w:pPr>
              <w:pStyle w:val="TableContents"/>
              <w:widowControl w:val="false"/>
              <w:suppressLineNumbers/>
              <w:bidi w:val="0"/>
              <w:jc w:val="left"/>
              <w:rPr/>
            </w:pPr>
            <w:r>
              <w:rPr/>
              <w:t>Jan, Feb, Mar, May, Jun, Aug, Nov</w:t>
            </w:r>
          </w:p>
        </w:tc>
        <w:tc>
          <w:tcPr>
            <w:tcW w:w="1650" w:type="dxa"/>
            <w:tcBorders/>
            <w:vAlign w:val="center"/>
          </w:tcPr>
          <w:p>
            <w:pPr>
              <w:pStyle w:val="TableContents"/>
              <w:bidi w:val="0"/>
              <w:jc w:val="right"/>
              <w:rPr/>
            </w:pPr>
            <w:r>
              <w:rPr/>
              <w:t>4 / 1 / 7</w:t>
            </w:r>
          </w:p>
        </w:tc>
      </w:tr>
      <w:tr>
        <w:trPr/>
        <w:tc>
          <w:tcPr>
            <w:tcW w:w="3464" w:type="dxa"/>
            <w:tcBorders/>
            <w:vAlign w:val="center"/>
          </w:tcPr>
          <w:p>
            <w:pPr>
              <w:pStyle w:val="TableContents"/>
              <w:widowControl w:val="false"/>
              <w:suppressLineNumbers/>
              <w:bidi w:val="0"/>
              <w:jc w:val="left"/>
              <w:rPr/>
            </w:pPr>
            <w:r>
              <w:rPr>
                <w:rStyle w:val="SourceText"/>
              </w:rPr>
              <w:t>+ shared corridor</w:t>
            </w:r>
            <w:r>
              <w:rPr/>
              <w:t xml:space="preserve"> against </w:t>
            </w:r>
            <w:r>
              <w:rPr>
                <w:rStyle w:val="SourceText"/>
              </w:rPr>
              <w:t>+ configuration</w:t>
            </w:r>
          </w:p>
        </w:tc>
        <w:tc>
          <w:tcPr>
            <w:tcW w:w="905" w:type="dxa"/>
            <w:tcBorders/>
            <w:vAlign w:val="center"/>
          </w:tcPr>
          <w:p>
            <w:pPr>
              <w:pStyle w:val="TableContents"/>
              <w:bidi w:val="0"/>
              <w:jc w:val="right"/>
              <w:rPr/>
            </w:pPr>
            <w:r>
              <w:rPr/>
              <w:t>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11</w:t>
            </w:r>
          </w:p>
        </w:tc>
        <w:tc>
          <w:tcPr>
            <w:tcW w:w="1364" w:type="dxa"/>
            <w:tcBorders/>
            <w:vAlign w:val="center"/>
          </w:tcPr>
          <w:p>
            <w:pPr>
              <w:pStyle w:val="TableContents"/>
              <w:widowControl w:val="false"/>
              <w:suppressLineNumbers/>
              <w:bidi w:val="0"/>
              <w:jc w:val="left"/>
              <w:rPr/>
            </w:pPr>
            <w:r>
              <w:rPr/>
              <w:t>Jan, Feb, Mar, Apr, Jun, Jul, Aug, Sep, Oct, Nov, Dec</w:t>
            </w:r>
          </w:p>
        </w:tc>
        <w:tc>
          <w:tcPr>
            <w:tcW w:w="1650" w:type="dxa"/>
            <w:tcBorders/>
            <w:vAlign w:val="center"/>
          </w:tcPr>
          <w:p>
            <w:pPr>
              <w:pStyle w:val="TableContents"/>
              <w:bidi w:val="0"/>
              <w:jc w:val="right"/>
              <w:rPr/>
            </w:pPr>
            <w:r>
              <w:rPr/>
              <w:t>1 / 0 / 11</w:t>
            </w:r>
          </w:p>
        </w:tc>
      </w:tr>
      <w:tr>
        <w:trPr/>
        <w:tc>
          <w:tcPr>
            <w:tcW w:w="3464" w:type="dxa"/>
            <w:tcBorders/>
            <w:vAlign w:val="center"/>
          </w:tcPr>
          <w:p>
            <w:pPr>
              <w:pStyle w:val="TableContents"/>
              <w:widowControl w:val="false"/>
              <w:suppressLineNumbers/>
              <w:bidi w:val="0"/>
              <w:jc w:val="left"/>
              <w:rPr/>
            </w:pPr>
            <w:r>
              <w:rPr>
                <w:rStyle w:val="SourceText"/>
              </w:rPr>
              <w:t>+ weather</w:t>
            </w:r>
            <w:r>
              <w:rPr/>
              <w:t xml:space="preserve"> against </w:t>
            </w:r>
            <w:r>
              <w:rPr>
                <w:rStyle w:val="SourceText"/>
              </w:rPr>
              <w:t>+ shared corridor</w:t>
            </w:r>
          </w:p>
        </w:tc>
        <w:tc>
          <w:tcPr>
            <w:tcW w:w="905" w:type="dxa"/>
            <w:tcBorders/>
            <w:vAlign w:val="center"/>
          </w:tcPr>
          <w:p>
            <w:pPr>
              <w:pStyle w:val="TableContents"/>
              <w:bidi w:val="0"/>
              <w:jc w:val="right"/>
              <w:rPr/>
            </w:pPr>
            <w:r>
              <w:rPr/>
              <w:t>9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3</w:t>
            </w:r>
          </w:p>
        </w:tc>
        <w:tc>
          <w:tcPr>
            <w:tcW w:w="1364" w:type="dxa"/>
            <w:tcBorders/>
            <w:vAlign w:val="center"/>
          </w:tcPr>
          <w:p>
            <w:pPr>
              <w:pStyle w:val="TableContents"/>
              <w:widowControl w:val="false"/>
              <w:suppressLineNumbers/>
              <w:bidi w:val="0"/>
              <w:jc w:val="left"/>
              <w:rPr/>
            </w:pPr>
            <w:r>
              <w:rPr/>
              <w:t>May, Jul, Oct</w:t>
            </w:r>
          </w:p>
        </w:tc>
        <w:tc>
          <w:tcPr>
            <w:tcW w:w="1650" w:type="dxa"/>
            <w:tcBorders/>
            <w:vAlign w:val="center"/>
          </w:tcPr>
          <w:p>
            <w:pPr>
              <w:pStyle w:val="TableContents"/>
              <w:bidi w:val="0"/>
              <w:jc w:val="right"/>
              <w:rPr/>
            </w:pPr>
            <w:r>
              <w:rPr/>
              <w:t>9 / 0 / 3</w:t>
            </w:r>
          </w:p>
        </w:tc>
      </w:tr>
      <w:tr>
        <w:trPr/>
        <w:tc>
          <w:tcPr>
            <w:tcW w:w="3464" w:type="dxa"/>
            <w:tcBorders/>
            <w:vAlign w:val="center"/>
          </w:tcPr>
          <w:p>
            <w:pPr>
              <w:pStyle w:val="TableContents"/>
              <w:widowControl w:val="false"/>
              <w:suppressLineNumbers/>
              <w:bidi w:val="0"/>
              <w:jc w:val="left"/>
              <w:rPr/>
            </w:pPr>
            <w:r>
              <w:rPr>
                <w:rStyle w:val="SourceText"/>
              </w:rPr>
              <w:t>+ shrunk encoding</w:t>
            </w:r>
            <w:r>
              <w:rPr/>
              <w:t xml:space="preserve"> against </w:t>
            </w:r>
            <w:r>
              <w:rPr>
                <w:rStyle w:val="SourceText"/>
              </w:rPr>
              <w:t>+ weather</w:t>
            </w:r>
          </w:p>
        </w:tc>
        <w:tc>
          <w:tcPr>
            <w:tcW w:w="905" w:type="dxa"/>
            <w:tcBorders/>
            <w:vAlign w:val="center"/>
          </w:tcPr>
          <w:p>
            <w:pPr>
              <w:pStyle w:val="TableContents"/>
              <w:bidi w:val="0"/>
              <w:jc w:val="right"/>
              <w:rPr/>
            </w:pPr>
            <w:r>
              <w:rPr/>
              <w:t>7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Jul</w:t>
            </w:r>
          </w:p>
        </w:tc>
        <w:tc>
          <w:tcPr>
            <w:tcW w:w="811" w:type="dxa"/>
            <w:tcBorders/>
            <w:vAlign w:val="center"/>
          </w:tcPr>
          <w:p>
            <w:pPr>
              <w:pStyle w:val="TableContents"/>
              <w:bidi w:val="0"/>
              <w:jc w:val="right"/>
              <w:rPr/>
            </w:pPr>
            <w:r>
              <w:rPr/>
              <w:t>4</w:t>
            </w:r>
          </w:p>
        </w:tc>
        <w:tc>
          <w:tcPr>
            <w:tcW w:w="1364" w:type="dxa"/>
            <w:tcBorders/>
            <w:vAlign w:val="center"/>
          </w:tcPr>
          <w:p>
            <w:pPr>
              <w:pStyle w:val="TableContents"/>
              <w:widowControl w:val="false"/>
              <w:suppressLineNumbers/>
              <w:bidi w:val="0"/>
              <w:jc w:val="left"/>
              <w:rPr/>
            </w:pPr>
            <w:r>
              <w:rPr/>
              <w:t>Jan, Feb, Sep, Nov</w:t>
            </w:r>
          </w:p>
        </w:tc>
        <w:tc>
          <w:tcPr>
            <w:tcW w:w="1650" w:type="dxa"/>
            <w:tcBorders/>
            <w:vAlign w:val="center"/>
          </w:tcPr>
          <w:p>
            <w:pPr>
              <w:pStyle w:val="TableContents"/>
              <w:bidi w:val="0"/>
              <w:jc w:val="right"/>
              <w:rPr/>
            </w:pPr>
            <w:r>
              <w:rPr/>
              <w:t>7 / 0 / 5</w:t>
            </w:r>
          </w:p>
        </w:tc>
      </w:tr>
      <w:tr>
        <w:trPr/>
        <w:tc>
          <w:tcPr>
            <w:tcW w:w="3464" w:type="dxa"/>
            <w:tcBorders/>
            <w:vAlign w:val="center"/>
          </w:tcPr>
          <w:p>
            <w:pPr>
              <w:pStyle w:val="TableContents"/>
              <w:widowControl w:val="false"/>
              <w:suppressLineNumbers/>
              <w:bidi w:val="0"/>
              <w:jc w:val="left"/>
              <w:rPr/>
            </w:pPr>
            <w:r>
              <w:rPr>
                <w:rStyle w:val="SourceText"/>
              </w:rPr>
              <w:t>+ shrunk encoding, replacing the stand</w:t>
            </w:r>
            <w:r>
              <w:rPr/>
              <w:t xml:space="preserve"> against </w:t>
            </w:r>
            <w:r>
              <w:rPr>
                <w:rStyle w:val="SourceText"/>
              </w:rPr>
              <w:t>+ weather</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shrunk encoding, replacing stand and runway</w:t>
            </w:r>
            <w:r>
              <w:rPr/>
              <w:t xml:space="preserve"> against </w:t>
            </w:r>
            <w:r>
              <w:rPr>
                <w:rStyle w:val="SourceText"/>
              </w:rPr>
              <w:t>+ weather</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stand occupancy</w:t>
            </w:r>
            <w:r>
              <w:rPr/>
              <w:t xml:space="preserve"> against </w:t>
            </w:r>
            <w:r>
              <w:rPr>
                <w:rStyle w:val="SourceText"/>
              </w:rPr>
              <w:t>+ shrunk encoding, replacing the stand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stand occupancy, schedule-anchored</w:t>
            </w:r>
            <w:r>
              <w:rPr/>
              <w:t xml:space="preserve"> (diagnostic) against </w:t>
            </w:r>
            <w:r>
              <w:rPr>
                <w:rStyle w:val="SourceText"/>
              </w:rPr>
              <w:t>+ shrunk encoding, replacing the stand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runway saturation</w:t>
            </w:r>
            <w:r>
              <w:rPr/>
              <w:t xml:space="preserve"> against </w:t>
            </w:r>
            <w:r>
              <w:rPr>
                <w:rStyle w:val="SourceText"/>
              </w:rPr>
              <w:t>+ weather</w:t>
            </w:r>
          </w:p>
        </w:tc>
        <w:tc>
          <w:tcPr>
            <w:tcW w:w="905" w:type="dxa"/>
            <w:tcBorders/>
            <w:vAlign w:val="center"/>
          </w:tcPr>
          <w:p>
            <w:pPr>
              <w:pStyle w:val="TableContents"/>
              <w:bidi w:val="0"/>
              <w:jc w:val="right"/>
              <w:rPr/>
            </w:pPr>
            <w:r>
              <w:rPr/>
              <w:t>4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8</w:t>
            </w:r>
          </w:p>
        </w:tc>
        <w:tc>
          <w:tcPr>
            <w:tcW w:w="1364" w:type="dxa"/>
            <w:tcBorders/>
            <w:vAlign w:val="center"/>
          </w:tcPr>
          <w:p>
            <w:pPr>
              <w:pStyle w:val="TableContents"/>
              <w:widowControl w:val="false"/>
              <w:suppressLineNumbers/>
              <w:bidi w:val="0"/>
              <w:jc w:val="left"/>
              <w:rPr/>
            </w:pPr>
            <w:r>
              <w:rPr/>
              <w:t>Jan, Feb, May, Jun, Aug, Sep, Oct, Nov</w:t>
            </w:r>
          </w:p>
        </w:tc>
        <w:tc>
          <w:tcPr>
            <w:tcW w:w="1650" w:type="dxa"/>
            <w:tcBorders/>
            <w:vAlign w:val="center"/>
          </w:tcPr>
          <w:p>
            <w:pPr>
              <w:pStyle w:val="TableContents"/>
              <w:bidi w:val="0"/>
              <w:jc w:val="right"/>
              <w:rPr/>
            </w:pPr>
            <w:r>
              <w:rPr/>
              <w:t>4 / 0 / 8</w:t>
            </w:r>
          </w:p>
        </w:tc>
      </w:tr>
      <w:tr>
        <w:trPr/>
        <w:tc>
          <w:tcPr>
            <w:tcW w:w="3464" w:type="dxa"/>
            <w:tcBorders/>
            <w:vAlign w:val="center"/>
          </w:tcPr>
          <w:p>
            <w:pPr>
              <w:pStyle w:val="TableContents"/>
              <w:widowControl w:val="false"/>
              <w:suppressLineNumbers/>
              <w:bidi w:val="0"/>
              <w:jc w:val="left"/>
              <w:rPr/>
            </w:pPr>
            <w:r>
              <w:rPr>
                <w:rStyle w:val="SourceText"/>
              </w:rPr>
              <w:t>+ runway throughput (without plan lags)</w:t>
            </w:r>
            <w:r>
              <w:rPr/>
              <w:t xml:space="preserve"> against </w:t>
            </w:r>
            <w:r>
              <w:rPr>
                <w:rStyle w:val="SourceText"/>
              </w:rPr>
              <w:t>identifiers + time + geometry + aircraft</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arrivals (without plan lags)</w:t>
            </w:r>
            <w:r>
              <w:rPr/>
              <w:t xml:space="preserve"> against </w:t>
            </w:r>
            <w:r>
              <w:rPr>
                <w:rStyle w:val="SourceText"/>
              </w:rPr>
              <w:t>+ runway throughput (without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demand (without plan lags)</w:t>
            </w:r>
            <w:r>
              <w:rPr/>
              <w:t xml:space="preserve"> against </w:t>
            </w:r>
            <w:r>
              <w:rPr>
                <w:rStyle w:val="SourceText"/>
              </w:rPr>
              <w:t>+ arrivals (without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configuration (without plan lags)</w:t>
            </w:r>
            <w:r>
              <w:rPr/>
              <w:t xml:space="preserve"> against </w:t>
            </w:r>
            <w:r>
              <w:rPr>
                <w:rStyle w:val="SourceText"/>
              </w:rPr>
              <w:t>+ demand (without plan lags)</w:t>
            </w:r>
          </w:p>
        </w:tc>
        <w:tc>
          <w:tcPr>
            <w:tcW w:w="905" w:type="dxa"/>
            <w:tcBorders/>
            <w:vAlign w:val="center"/>
          </w:tcPr>
          <w:p>
            <w:pPr>
              <w:pStyle w:val="TableContents"/>
              <w:bidi w:val="0"/>
              <w:jc w:val="right"/>
              <w:rPr/>
            </w:pPr>
            <w:r>
              <w:rPr/>
              <w:t>6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Jan</w:t>
            </w:r>
          </w:p>
        </w:tc>
        <w:tc>
          <w:tcPr>
            <w:tcW w:w="811" w:type="dxa"/>
            <w:tcBorders/>
            <w:vAlign w:val="center"/>
          </w:tcPr>
          <w:p>
            <w:pPr>
              <w:pStyle w:val="TableContents"/>
              <w:bidi w:val="0"/>
              <w:jc w:val="right"/>
              <w:rPr/>
            </w:pPr>
            <w:r>
              <w:rPr/>
              <w:t>5</w:t>
            </w:r>
          </w:p>
        </w:tc>
        <w:tc>
          <w:tcPr>
            <w:tcW w:w="1364" w:type="dxa"/>
            <w:tcBorders/>
            <w:vAlign w:val="center"/>
          </w:tcPr>
          <w:p>
            <w:pPr>
              <w:pStyle w:val="TableContents"/>
              <w:widowControl w:val="false"/>
              <w:suppressLineNumbers/>
              <w:bidi w:val="0"/>
              <w:jc w:val="left"/>
              <w:rPr/>
            </w:pPr>
            <w:r>
              <w:rPr/>
              <w:t>Feb, Jul, Aug, Sep, Oct</w:t>
            </w:r>
          </w:p>
        </w:tc>
        <w:tc>
          <w:tcPr>
            <w:tcW w:w="1650" w:type="dxa"/>
            <w:tcBorders/>
            <w:vAlign w:val="center"/>
          </w:tcPr>
          <w:p>
            <w:pPr>
              <w:pStyle w:val="TableContents"/>
              <w:bidi w:val="0"/>
              <w:jc w:val="right"/>
              <w:rPr/>
            </w:pPr>
            <w:r>
              <w:rPr/>
              <w:t>6 / 1 / 5</w:t>
            </w:r>
          </w:p>
        </w:tc>
      </w:tr>
      <w:tr>
        <w:trPr/>
        <w:tc>
          <w:tcPr>
            <w:tcW w:w="3464" w:type="dxa"/>
            <w:tcBorders/>
            <w:vAlign w:val="center"/>
          </w:tcPr>
          <w:p>
            <w:pPr>
              <w:pStyle w:val="TableContents"/>
              <w:widowControl w:val="false"/>
              <w:suppressLineNumbers/>
              <w:bidi w:val="0"/>
              <w:jc w:val="left"/>
              <w:rPr/>
            </w:pPr>
            <w:r>
              <w:rPr>
                <w:rStyle w:val="SourceText"/>
              </w:rPr>
              <w:t>+ shared corridor (without plan lags)</w:t>
            </w:r>
            <w:r>
              <w:rPr/>
              <w:t xml:space="preserve"> against </w:t>
            </w:r>
            <w:r>
              <w:rPr>
                <w:rStyle w:val="SourceText"/>
              </w:rPr>
              <w:t>+ configuration (without plan lags)</w:t>
            </w:r>
          </w:p>
        </w:tc>
        <w:tc>
          <w:tcPr>
            <w:tcW w:w="905" w:type="dxa"/>
            <w:tcBorders/>
            <w:vAlign w:val="center"/>
          </w:tcPr>
          <w:p>
            <w:pPr>
              <w:pStyle w:val="TableContents"/>
              <w:bidi w:val="0"/>
              <w:jc w:val="right"/>
              <w:rPr/>
            </w:pPr>
            <w:r>
              <w:rPr/>
              <w:t>1 of 12</w:t>
            </w:r>
          </w:p>
        </w:tc>
        <w:tc>
          <w:tcPr>
            <w:tcW w:w="918" w:type="dxa"/>
            <w:tcBorders/>
            <w:vAlign w:val="center"/>
          </w:tcPr>
          <w:p>
            <w:pPr>
              <w:pStyle w:val="TableContents"/>
              <w:bidi w:val="0"/>
              <w:jc w:val="right"/>
              <w:rPr/>
            </w:pPr>
            <w:r>
              <w:rPr/>
              <w:t>5</w:t>
            </w:r>
          </w:p>
        </w:tc>
        <w:tc>
          <w:tcPr>
            <w:tcW w:w="1427" w:type="dxa"/>
            <w:tcBorders/>
            <w:vAlign w:val="center"/>
          </w:tcPr>
          <w:p>
            <w:pPr>
              <w:pStyle w:val="TableContents"/>
              <w:widowControl w:val="false"/>
              <w:suppressLineNumbers/>
              <w:bidi w:val="0"/>
              <w:jc w:val="left"/>
              <w:rPr/>
            </w:pPr>
            <w:r>
              <w:rPr/>
              <w:t>Apr, May, Aug, Sep, Dec</w:t>
            </w:r>
          </w:p>
        </w:tc>
        <w:tc>
          <w:tcPr>
            <w:tcW w:w="811" w:type="dxa"/>
            <w:tcBorders/>
            <w:vAlign w:val="center"/>
          </w:tcPr>
          <w:p>
            <w:pPr>
              <w:pStyle w:val="TableContents"/>
              <w:bidi w:val="0"/>
              <w:jc w:val="right"/>
              <w:rPr/>
            </w:pPr>
            <w:r>
              <w:rPr/>
              <w:t>6</w:t>
            </w:r>
          </w:p>
        </w:tc>
        <w:tc>
          <w:tcPr>
            <w:tcW w:w="1364" w:type="dxa"/>
            <w:tcBorders/>
            <w:vAlign w:val="center"/>
          </w:tcPr>
          <w:p>
            <w:pPr>
              <w:pStyle w:val="TableContents"/>
              <w:widowControl w:val="false"/>
              <w:suppressLineNumbers/>
              <w:bidi w:val="0"/>
              <w:jc w:val="left"/>
              <w:rPr/>
            </w:pPr>
            <w:r>
              <w:rPr/>
              <w:t>Feb, Mar, Jun, Jul, Oct, Nov</w:t>
            </w:r>
          </w:p>
        </w:tc>
        <w:tc>
          <w:tcPr>
            <w:tcW w:w="1650" w:type="dxa"/>
            <w:tcBorders/>
            <w:vAlign w:val="center"/>
          </w:tcPr>
          <w:p>
            <w:pPr>
              <w:pStyle w:val="TableContents"/>
              <w:bidi w:val="0"/>
              <w:jc w:val="right"/>
              <w:rPr/>
            </w:pPr>
            <w:r>
              <w:rPr/>
              <w:t>1 / 5 / 6</w:t>
            </w:r>
          </w:p>
        </w:tc>
      </w:tr>
      <w:tr>
        <w:trPr/>
        <w:tc>
          <w:tcPr>
            <w:tcW w:w="3464" w:type="dxa"/>
            <w:tcBorders/>
            <w:vAlign w:val="center"/>
          </w:tcPr>
          <w:p>
            <w:pPr>
              <w:pStyle w:val="TableContents"/>
              <w:widowControl w:val="false"/>
              <w:suppressLineNumbers/>
              <w:bidi w:val="0"/>
              <w:jc w:val="left"/>
              <w:rPr/>
            </w:pPr>
            <w:r>
              <w:rPr>
                <w:rStyle w:val="SourceText"/>
              </w:rPr>
              <w:t>+ weather (without plan lags)</w:t>
            </w:r>
            <w:r>
              <w:rPr/>
              <w:t xml:space="preserve"> against </w:t>
            </w:r>
            <w:r>
              <w:rPr>
                <w:rStyle w:val="SourceText"/>
              </w:rPr>
              <w:t>+ shared corridor (without plan lags)</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Jul</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runway saturation (without plan lags)</w:t>
            </w:r>
            <w:r>
              <w:rPr/>
              <w:t xml:space="preserve"> against </w:t>
            </w:r>
            <w:r>
              <w:rPr>
                <w:rStyle w:val="SourceText"/>
              </w:rPr>
              <w:t>+ weather (without plan lags)</w:t>
            </w:r>
          </w:p>
        </w:tc>
        <w:tc>
          <w:tcPr>
            <w:tcW w:w="905" w:type="dxa"/>
            <w:tcBorders/>
            <w:vAlign w:val="center"/>
          </w:tcPr>
          <w:p>
            <w:pPr>
              <w:pStyle w:val="TableContents"/>
              <w:bidi w:val="0"/>
              <w:jc w:val="right"/>
              <w:rPr/>
            </w:pPr>
            <w:r>
              <w:rPr/>
              <w:t>3 of 12</w:t>
            </w:r>
          </w:p>
        </w:tc>
        <w:tc>
          <w:tcPr>
            <w:tcW w:w="918" w:type="dxa"/>
            <w:tcBorders/>
            <w:vAlign w:val="center"/>
          </w:tcPr>
          <w:p>
            <w:pPr>
              <w:pStyle w:val="TableContents"/>
              <w:bidi w:val="0"/>
              <w:jc w:val="right"/>
              <w:rPr/>
            </w:pPr>
            <w:r>
              <w:rPr/>
              <w:t>2</w:t>
            </w:r>
          </w:p>
        </w:tc>
        <w:tc>
          <w:tcPr>
            <w:tcW w:w="1427" w:type="dxa"/>
            <w:tcBorders/>
            <w:vAlign w:val="center"/>
          </w:tcPr>
          <w:p>
            <w:pPr>
              <w:pStyle w:val="TableContents"/>
              <w:widowControl w:val="false"/>
              <w:suppressLineNumbers/>
              <w:bidi w:val="0"/>
              <w:jc w:val="left"/>
              <w:rPr/>
            </w:pPr>
            <w:r>
              <w:rPr/>
              <w:t>May, Jun</w:t>
            </w:r>
          </w:p>
        </w:tc>
        <w:tc>
          <w:tcPr>
            <w:tcW w:w="811" w:type="dxa"/>
            <w:tcBorders/>
            <w:vAlign w:val="center"/>
          </w:tcPr>
          <w:p>
            <w:pPr>
              <w:pStyle w:val="TableContents"/>
              <w:bidi w:val="0"/>
              <w:jc w:val="right"/>
              <w:rPr/>
            </w:pPr>
            <w:r>
              <w:rPr/>
              <w:t>7</w:t>
            </w:r>
          </w:p>
        </w:tc>
        <w:tc>
          <w:tcPr>
            <w:tcW w:w="1364" w:type="dxa"/>
            <w:tcBorders/>
            <w:vAlign w:val="center"/>
          </w:tcPr>
          <w:p>
            <w:pPr>
              <w:pStyle w:val="TableContents"/>
              <w:widowControl w:val="false"/>
              <w:suppressLineNumbers/>
              <w:bidi w:val="0"/>
              <w:jc w:val="left"/>
              <w:rPr/>
            </w:pPr>
            <w:r>
              <w:rPr/>
              <w:t>Jan, Feb, Mar, Jul, Aug, Oct, Nov</w:t>
            </w:r>
          </w:p>
        </w:tc>
        <w:tc>
          <w:tcPr>
            <w:tcW w:w="1650" w:type="dxa"/>
            <w:tcBorders/>
            <w:vAlign w:val="center"/>
          </w:tcPr>
          <w:p>
            <w:pPr>
              <w:pStyle w:val="TableContents"/>
              <w:bidi w:val="0"/>
              <w:jc w:val="right"/>
              <w:rPr/>
            </w:pPr>
            <w:r>
              <w:rPr/>
              <w:t>3 / 1 / 8</w:t>
            </w:r>
          </w:p>
        </w:tc>
      </w:tr>
    </w:tbl>
    <w:p>
      <w:pPr>
        <w:pStyle w:val="BodyText"/>
        <w:bidi w:val="0"/>
        <w:jc w:val="left"/>
        <w:rPr/>
      </w:pPr>
      <w:r>
        <w:rPr/>
        <w:t xml:space="preserve">Sources: </w:t>
      </w:r>
      <w:r>
        <w:rPr>
          <w:rStyle w:val="SourceText"/>
        </w:rPr>
        <w:t>reports/monthly_seeds.md</w:t>
      </w:r>
      <w:r>
        <w:rPr/>
        <w:t xml:space="preserve">, </w:t>
      </w:r>
      <w:r>
        <w:rPr>
          <w:rStyle w:val="Emphasis"/>
        </w:rPr>
        <w:t>Each block's months, against each month's floor</w:t>
      </w:r>
      <w:r>
        <w:rPr/>
        <w:t>.</w:t>
      </w:r>
    </w:p>
    <w:p>
      <w:pPr>
        <w:pStyle w:val="Heading2"/>
        <w:bidi w:val="0"/>
        <w:jc w:val="left"/>
        <w:rPr/>
      </w:pPr>
      <w:r>
        <w:rPr/>
        <w:t>Annex C: the base configuration per airport and month, the bias</w:t>
      </w:r>
    </w:p>
    <w:p>
      <w:pPr>
        <w:pStyle w:val="BodyText"/>
        <w:bidi w:val="0"/>
        <w:jc w:val="left"/>
        <w:rPr/>
      </w:pPr>
      <w:r>
        <w:rPr/>
        <w:t>The five-seed average's bias per airport and month, prediction minus recorded taxi-out over the rows the term leaves to the model, in seconds; positive means the model predicts too long. The RMSE of the same cells is the table of §8.3. A bracket is the diagnostic over the rows of four hours or less, with the count it leaves out.</w:t>
      </w:r>
    </w:p>
    <w:tbl>
      <w:tblPr>
        <w:tblW w:w="10539" w:type="dxa"/>
        <w:jc w:val="left"/>
        <w:tblInd w:w="28" w:type="dxa"/>
        <w:tblLayout w:type="fixed"/>
        <w:tblCellMar>
          <w:top w:w="28" w:type="dxa"/>
          <w:left w:w="28" w:type="dxa"/>
          <w:bottom w:w="28" w:type="dxa"/>
          <w:right w:w="28" w:type="dxa"/>
        </w:tblCellMar>
      </w:tblPr>
      <w:tblGrid>
        <w:gridCol w:w="827"/>
        <w:gridCol w:w="1136"/>
        <w:gridCol w:w="962"/>
        <w:gridCol w:w="1053"/>
        <w:gridCol w:w="519"/>
        <w:gridCol w:w="1054"/>
        <w:gridCol w:w="492"/>
        <w:gridCol w:w="958"/>
        <w:gridCol w:w="532"/>
        <w:gridCol w:w="481"/>
        <w:gridCol w:w="481"/>
        <w:gridCol w:w="519"/>
        <w:gridCol w:w="492"/>
        <w:gridCol w:w="1033"/>
      </w:tblGrid>
      <w:tr>
        <w:trPr>
          <w:tblHeader w:val="true"/>
        </w:trPr>
        <w:tc>
          <w:tcPr>
            <w:tcW w:w="827" w:type="dxa"/>
            <w:tcBorders/>
            <w:vAlign w:val="center"/>
          </w:tcPr>
          <w:p>
            <w:pPr>
              <w:pStyle w:val="TableHeading"/>
              <w:suppressLineNumbers/>
              <w:bidi w:val="0"/>
              <w:jc w:val="center"/>
              <w:rPr/>
            </w:pPr>
            <w:r>
              <w:rPr/>
              <w:t>ICAO</w:t>
            </w:r>
          </w:p>
        </w:tc>
        <w:tc>
          <w:tcPr>
            <w:tcW w:w="1136" w:type="dxa"/>
            <w:tcBorders/>
            <w:vAlign w:val="center"/>
          </w:tcPr>
          <w:p>
            <w:pPr>
              <w:pStyle w:val="TableHeading"/>
              <w:bidi w:val="0"/>
              <w:jc w:val="right"/>
              <w:rPr/>
            </w:pPr>
            <w:r>
              <w:rPr/>
              <w:t>Jan</w:t>
            </w:r>
          </w:p>
        </w:tc>
        <w:tc>
          <w:tcPr>
            <w:tcW w:w="962" w:type="dxa"/>
            <w:tcBorders/>
            <w:vAlign w:val="center"/>
          </w:tcPr>
          <w:p>
            <w:pPr>
              <w:pStyle w:val="TableHeading"/>
              <w:bidi w:val="0"/>
              <w:jc w:val="right"/>
              <w:rPr/>
            </w:pPr>
            <w:r>
              <w:rPr/>
              <w:t>Feb</w:t>
            </w:r>
          </w:p>
        </w:tc>
        <w:tc>
          <w:tcPr>
            <w:tcW w:w="1053" w:type="dxa"/>
            <w:tcBorders/>
            <w:vAlign w:val="center"/>
          </w:tcPr>
          <w:p>
            <w:pPr>
              <w:pStyle w:val="TableHeading"/>
              <w:bidi w:val="0"/>
              <w:jc w:val="right"/>
              <w:rPr/>
            </w:pPr>
            <w:r>
              <w:rPr/>
              <w:t>Mar</w:t>
            </w:r>
          </w:p>
        </w:tc>
        <w:tc>
          <w:tcPr>
            <w:tcW w:w="519" w:type="dxa"/>
            <w:tcBorders/>
            <w:vAlign w:val="center"/>
          </w:tcPr>
          <w:p>
            <w:pPr>
              <w:pStyle w:val="TableHeading"/>
              <w:bidi w:val="0"/>
              <w:jc w:val="right"/>
              <w:rPr/>
            </w:pPr>
            <w:r>
              <w:rPr/>
              <w:t>Apr</w:t>
            </w:r>
          </w:p>
        </w:tc>
        <w:tc>
          <w:tcPr>
            <w:tcW w:w="1054" w:type="dxa"/>
            <w:tcBorders/>
            <w:vAlign w:val="center"/>
          </w:tcPr>
          <w:p>
            <w:pPr>
              <w:pStyle w:val="TableHeading"/>
              <w:bidi w:val="0"/>
              <w:jc w:val="right"/>
              <w:rPr/>
            </w:pPr>
            <w:r>
              <w:rPr/>
              <w:t>May</w:t>
            </w:r>
          </w:p>
        </w:tc>
        <w:tc>
          <w:tcPr>
            <w:tcW w:w="492" w:type="dxa"/>
            <w:tcBorders/>
            <w:vAlign w:val="center"/>
          </w:tcPr>
          <w:p>
            <w:pPr>
              <w:pStyle w:val="TableHeading"/>
              <w:bidi w:val="0"/>
              <w:jc w:val="right"/>
              <w:rPr/>
            </w:pPr>
            <w:r>
              <w:rPr/>
              <w:t>Jun</w:t>
            </w:r>
          </w:p>
        </w:tc>
        <w:tc>
          <w:tcPr>
            <w:tcW w:w="958" w:type="dxa"/>
            <w:tcBorders/>
            <w:vAlign w:val="center"/>
          </w:tcPr>
          <w:p>
            <w:pPr>
              <w:pStyle w:val="TableHeading"/>
              <w:bidi w:val="0"/>
              <w:jc w:val="right"/>
              <w:rPr/>
            </w:pPr>
            <w:r>
              <w:rPr/>
              <w:t>Jul</w:t>
            </w:r>
          </w:p>
        </w:tc>
        <w:tc>
          <w:tcPr>
            <w:tcW w:w="532" w:type="dxa"/>
            <w:tcBorders/>
            <w:vAlign w:val="center"/>
          </w:tcPr>
          <w:p>
            <w:pPr>
              <w:pStyle w:val="TableHeading"/>
              <w:bidi w:val="0"/>
              <w:jc w:val="right"/>
              <w:rPr/>
            </w:pPr>
            <w:r>
              <w:rPr/>
              <w:t>Aug</w:t>
            </w:r>
          </w:p>
        </w:tc>
        <w:tc>
          <w:tcPr>
            <w:tcW w:w="481" w:type="dxa"/>
            <w:tcBorders/>
            <w:vAlign w:val="center"/>
          </w:tcPr>
          <w:p>
            <w:pPr>
              <w:pStyle w:val="TableHeading"/>
              <w:bidi w:val="0"/>
              <w:jc w:val="right"/>
              <w:rPr/>
            </w:pPr>
            <w:r>
              <w:rPr/>
              <w:t>Sep</w:t>
            </w:r>
          </w:p>
        </w:tc>
        <w:tc>
          <w:tcPr>
            <w:tcW w:w="481" w:type="dxa"/>
            <w:tcBorders/>
            <w:vAlign w:val="center"/>
          </w:tcPr>
          <w:p>
            <w:pPr>
              <w:pStyle w:val="TableHeading"/>
              <w:bidi w:val="0"/>
              <w:jc w:val="right"/>
              <w:rPr/>
            </w:pPr>
            <w:r>
              <w:rPr/>
              <w:t>Oct</w:t>
            </w:r>
          </w:p>
        </w:tc>
        <w:tc>
          <w:tcPr>
            <w:tcW w:w="519" w:type="dxa"/>
            <w:tcBorders/>
            <w:vAlign w:val="center"/>
          </w:tcPr>
          <w:p>
            <w:pPr>
              <w:pStyle w:val="TableHeading"/>
              <w:bidi w:val="0"/>
              <w:jc w:val="right"/>
              <w:rPr/>
            </w:pPr>
            <w:r>
              <w:rPr/>
              <w:t>Nov</w:t>
            </w:r>
          </w:p>
        </w:tc>
        <w:tc>
          <w:tcPr>
            <w:tcW w:w="492" w:type="dxa"/>
            <w:tcBorders/>
            <w:vAlign w:val="center"/>
          </w:tcPr>
          <w:p>
            <w:pPr>
              <w:pStyle w:val="TableHeading"/>
              <w:bidi w:val="0"/>
              <w:jc w:val="right"/>
              <w:rPr/>
            </w:pPr>
            <w:r>
              <w:rPr/>
              <w:t>Dec</w:t>
            </w:r>
          </w:p>
        </w:tc>
        <w:tc>
          <w:tcPr>
            <w:tcW w:w="1033" w:type="dxa"/>
            <w:tcBorders/>
            <w:vAlign w:val="center"/>
          </w:tcPr>
          <w:p>
            <w:pPr>
              <w:pStyle w:val="TableHeading"/>
              <w:bidi w:val="0"/>
              <w:jc w:val="right"/>
              <w:rPr/>
            </w:pPr>
            <w:r>
              <w:rPr/>
              <w:t>year</w:t>
            </w:r>
          </w:p>
        </w:tc>
      </w:tr>
      <w:tr>
        <w:trPr/>
        <w:tc>
          <w:tcPr>
            <w:tcW w:w="827" w:type="dxa"/>
            <w:tcBorders/>
            <w:vAlign w:val="center"/>
          </w:tcPr>
          <w:p>
            <w:pPr>
              <w:pStyle w:val="TableContents"/>
              <w:widowControl w:val="false"/>
              <w:suppressLineNumbers/>
              <w:bidi w:val="0"/>
              <w:jc w:val="left"/>
              <w:rPr/>
            </w:pPr>
            <w:r>
              <w:rPr/>
              <w:t>EDDF</w:t>
            </w:r>
          </w:p>
        </w:tc>
        <w:tc>
          <w:tcPr>
            <w:tcW w:w="1136" w:type="dxa"/>
            <w:tcBorders/>
            <w:vAlign w:val="center"/>
          </w:tcPr>
          <w:p>
            <w:pPr>
              <w:pStyle w:val="TableContents"/>
              <w:bidi w:val="0"/>
              <w:jc w:val="right"/>
              <w:rPr/>
            </w:pPr>
            <w:r>
              <w:rPr/>
              <w:t>-9</w:t>
            </w:r>
          </w:p>
        </w:tc>
        <w:tc>
          <w:tcPr>
            <w:tcW w:w="962" w:type="dxa"/>
            <w:tcBorders/>
            <w:vAlign w:val="center"/>
          </w:tcPr>
          <w:p>
            <w:pPr>
              <w:pStyle w:val="TableContents"/>
              <w:bidi w:val="0"/>
              <w:jc w:val="right"/>
              <w:rPr/>
            </w:pPr>
            <w:r>
              <w:rPr/>
              <w:t>+6</w:t>
            </w:r>
          </w:p>
        </w:tc>
        <w:tc>
          <w:tcPr>
            <w:tcW w:w="1053" w:type="dxa"/>
            <w:tcBorders/>
            <w:vAlign w:val="center"/>
          </w:tcPr>
          <w:p>
            <w:pPr>
              <w:pStyle w:val="TableContents"/>
              <w:bidi w:val="0"/>
              <w:jc w:val="right"/>
              <w:rPr/>
            </w:pPr>
            <w:r>
              <w:rPr/>
              <w:t>+9</w:t>
            </w:r>
          </w:p>
        </w:tc>
        <w:tc>
          <w:tcPr>
            <w:tcW w:w="519" w:type="dxa"/>
            <w:tcBorders/>
            <w:vAlign w:val="center"/>
          </w:tcPr>
          <w:p>
            <w:pPr>
              <w:pStyle w:val="TableContents"/>
              <w:bidi w:val="0"/>
              <w:jc w:val="right"/>
              <w:rPr/>
            </w:pPr>
            <w:r>
              <w:rPr/>
              <w:t>-10</w:t>
            </w:r>
          </w:p>
        </w:tc>
        <w:tc>
          <w:tcPr>
            <w:tcW w:w="1054" w:type="dxa"/>
            <w:tcBorders/>
            <w:vAlign w:val="center"/>
          </w:tcPr>
          <w:p>
            <w:pPr>
              <w:pStyle w:val="TableContents"/>
              <w:bidi w:val="0"/>
              <w:jc w:val="right"/>
              <w:rPr/>
            </w:pPr>
            <w:r>
              <w:rPr/>
              <w:t>-17</w:t>
            </w:r>
          </w:p>
        </w:tc>
        <w:tc>
          <w:tcPr>
            <w:tcW w:w="492" w:type="dxa"/>
            <w:tcBorders/>
            <w:vAlign w:val="center"/>
          </w:tcPr>
          <w:p>
            <w:pPr>
              <w:pStyle w:val="TableContents"/>
              <w:bidi w:val="0"/>
              <w:jc w:val="right"/>
              <w:rPr/>
            </w:pPr>
            <w:r>
              <w:rPr/>
              <w:t>-7</w:t>
            </w:r>
          </w:p>
        </w:tc>
        <w:tc>
          <w:tcPr>
            <w:tcW w:w="958" w:type="dxa"/>
            <w:tcBorders/>
            <w:vAlign w:val="center"/>
          </w:tcPr>
          <w:p>
            <w:pPr>
              <w:pStyle w:val="TableContents"/>
              <w:bidi w:val="0"/>
              <w:jc w:val="right"/>
              <w:rPr/>
            </w:pPr>
            <w:r>
              <w:rPr/>
              <w:t>+8</w:t>
            </w:r>
          </w:p>
        </w:tc>
        <w:tc>
          <w:tcPr>
            <w:tcW w:w="532" w:type="dxa"/>
            <w:tcBorders/>
            <w:vAlign w:val="center"/>
          </w:tcPr>
          <w:p>
            <w:pPr>
              <w:pStyle w:val="TableContents"/>
              <w:bidi w:val="0"/>
              <w:jc w:val="right"/>
              <w:rPr/>
            </w:pPr>
            <w:r>
              <w:rPr/>
              <w:t>+9</w:t>
            </w:r>
          </w:p>
        </w:tc>
        <w:tc>
          <w:tcPr>
            <w:tcW w:w="481"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-3</w:t>
            </w:r>
          </w:p>
        </w:tc>
        <w:tc>
          <w:tcPr>
            <w:tcW w:w="519" w:type="dxa"/>
            <w:tcBorders/>
            <w:vAlign w:val="center"/>
          </w:tcPr>
          <w:p>
            <w:pPr>
              <w:pStyle w:val="TableContents"/>
              <w:bidi w:val="0"/>
              <w:jc w:val="right"/>
              <w:rPr/>
            </w:pPr>
            <w:r>
              <w:rPr/>
              <w:t>-14</w:t>
            </w:r>
          </w:p>
        </w:tc>
        <w:tc>
          <w:tcPr>
            <w:tcW w:w="492" w:type="dxa"/>
            <w:tcBorders/>
            <w:vAlign w:val="center"/>
          </w:tcPr>
          <w:p>
            <w:pPr>
              <w:pStyle w:val="TableContents"/>
              <w:bidi w:val="0"/>
              <w:jc w:val="right"/>
              <w:rPr/>
            </w:pPr>
            <w:r>
              <w:rPr/>
              <w:t>+16</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EDDM</w:t>
            </w:r>
          </w:p>
        </w:tc>
        <w:tc>
          <w:tcPr>
            <w:tcW w:w="1136" w:type="dxa"/>
            <w:tcBorders/>
            <w:vAlign w:val="center"/>
          </w:tcPr>
          <w:p>
            <w:pPr>
              <w:pStyle w:val="TableContents"/>
              <w:bidi w:val="0"/>
              <w:jc w:val="right"/>
              <w:rPr/>
            </w:pPr>
            <w:r>
              <w:rPr/>
              <w:t>+1</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-12</w:t>
            </w:r>
          </w:p>
        </w:tc>
        <w:tc>
          <w:tcPr>
            <w:tcW w:w="492" w:type="dxa"/>
            <w:tcBorders/>
            <w:vAlign w:val="center"/>
          </w:tcPr>
          <w:p>
            <w:pPr>
              <w:pStyle w:val="TableContents"/>
              <w:bidi w:val="0"/>
              <w:jc w:val="right"/>
              <w:rPr/>
            </w:pPr>
            <w:r>
              <w:rPr/>
              <w:t>+9</w:t>
            </w:r>
          </w:p>
        </w:tc>
        <w:tc>
          <w:tcPr>
            <w:tcW w:w="958" w:type="dxa"/>
            <w:tcBorders/>
            <w:vAlign w:val="center"/>
          </w:tcPr>
          <w:p>
            <w:pPr>
              <w:pStyle w:val="TableContents"/>
              <w:bidi w:val="0"/>
              <w:jc w:val="right"/>
              <w:rPr/>
            </w:pPr>
            <w:r>
              <w:rPr/>
              <w:t>-8</w:t>
            </w:r>
          </w:p>
        </w:tc>
        <w:tc>
          <w:tcPr>
            <w:tcW w:w="532" w:type="dxa"/>
            <w:tcBorders/>
            <w:vAlign w:val="center"/>
          </w:tcPr>
          <w:p>
            <w:pPr>
              <w:pStyle w:val="TableContents"/>
              <w:bidi w:val="0"/>
              <w:jc w:val="right"/>
              <w:rPr/>
            </w:pPr>
            <w:r>
              <w:rPr/>
              <w:t>+18</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+8</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+12</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EGLL</w:t>
            </w:r>
          </w:p>
        </w:tc>
        <w:tc>
          <w:tcPr>
            <w:tcW w:w="1136" w:type="dxa"/>
            <w:tcBorders/>
            <w:vAlign w:val="center"/>
          </w:tcPr>
          <w:p>
            <w:pPr>
              <w:pStyle w:val="TableContents"/>
              <w:bidi w:val="0"/>
              <w:jc w:val="right"/>
              <w:rPr/>
            </w:pPr>
            <w:r>
              <w:rPr/>
              <w:t>+18</w:t>
            </w:r>
          </w:p>
        </w:tc>
        <w:tc>
          <w:tcPr>
            <w:tcW w:w="962" w:type="dxa"/>
            <w:tcBorders/>
            <w:vAlign w:val="center"/>
          </w:tcPr>
          <w:p>
            <w:pPr>
              <w:pStyle w:val="TableContents"/>
              <w:bidi w:val="0"/>
              <w:jc w:val="right"/>
              <w:rPr/>
            </w:pPr>
            <w:r>
              <w:rPr/>
              <w:t>-13</w:t>
            </w:r>
          </w:p>
        </w:tc>
        <w:tc>
          <w:tcPr>
            <w:tcW w:w="1053"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+1</w:t>
            </w:r>
          </w:p>
        </w:tc>
        <w:tc>
          <w:tcPr>
            <w:tcW w:w="1054" w:type="dxa"/>
            <w:tcBorders/>
            <w:vAlign w:val="center"/>
          </w:tcPr>
          <w:p>
            <w:pPr>
              <w:pStyle w:val="TableContents"/>
              <w:bidi w:val="0"/>
              <w:jc w:val="right"/>
              <w:rPr/>
            </w:pPr>
            <w:r>
              <w:rPr/>
              <w:t>+2</w:t>
            </w:r>
          </w:p>
        </w:tc>
        <w:tc>
          <w:tcPr>
            <w:tcW w:w="492" w:type="dxa"/>
            <w:tcBorders/>
            <w:vAlign w:val="center"/>
          </w:tcPr>
          <w:p>
            <w:pPr>
              <w:pStyle w:val="TableContents"/>
              <w:bidi w:val="0"/>
              <w:jc w:val="right"/>
              <w:rPr/>
            </w:pPr>
            <w:r>
              <w:rPr/>
              <w:t>-6</w:t>
            </w:r>
          </w:p>
        </w:tc>
        <w:tc>
          <w:tcPr>
            <w:tcW w:w="958" w:type="dxa"/>
            <w:tcBorders/>
            <w:vAlign w:val="center"/>
          </w:tcPr>
          <w:p>
            <w:pPr>
              <w:pStyle w:val="TableContents"/>
              <w:bidi w:val="0"/>
              <w:jc w:val="right"/>
              <w:rPr/>
            </w:pPr>
            <w:r>
              <w:rPr/>
              <w:t>+13</w:t>
            </w:r>
          </w:p>
        </w:tc>
        <w:tc>
          <w:tcPr>
            <w:tcW w:w="532"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+15</w:t>
            </w:r>
          </w:p>
        </w:tc>
        <w:tc>
          <w:tcPr>
            <w:tcW w:w="481"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-18</w:t>
            </w:r>
          </w:p>
        </w:tc>
        <w:tc>
          <w:tcPr>
            <w:tcW w:w="492" w:type="dxa"/>
            <w:tcBorders/>
            <w:vAlign w:val="center"/>
          </w:tcPr>
          <w:p>
            <w:pPr>
              <w:pStyle w:val="TableContents"/>
              <w:bidi w:val="0"/>
              <w:jc w:val="right"/>
              <w:rPr/>
            </w:pPr>
            <w:r>
              <w:rPr/>
              <w:t>+20</w:t>
            </w:r>
          </w:p>
        </w:tc>
        <w:tc>
          <w:tcPr>
            <w:tcW w:w="1033" w:type="dxa"/>
            <w:tcBorders/>
            <w:vAlign w:val="center"/>
          </w:tcPr>
          <w:p>
            <w:pPr>
              <w:pStyle w:val="TableContents"/>
              <w:bidi w:val="0"/>
              <w:jc w:val="right"/>
              <w:rPr/>
            </w:pPr>
            <w:r>
              <w:rPr/>
              <w:t>+3</w:t>
            </w:r>
          </w:p>
        </w:tc>
      </w:tr>
      <w:tr>
        <w:trPr/>
        <w:tc>
          <w:tcPr>
            <w:tcW w:w="827" w:type="dxa"/>
            <w:tcBorders/>
            <w:vAlign w:val="center"/>
          </w:tcPr>
          <w:p>
            <w:pPr>
              <w:pStyle w:val="TableContents"/>
              <w:widowControl w:val="false"/>
              <w:suppressLineNumbers/>
              <w:bidi w:val="0"/>
              <w:jc w:val="left"/>
              <w:rPr/>
            </w:pPr>
            <w:r>
              <w:rPr/>
              <w:t>EHAM</w:t>
            </w:r>
          </w:p>
        </w:tc>
        <w:tc>
          <w:tcPr>
            <w:tcW w:w="1136" w:type="dxa"/>
            <w:tcBorders/>
            <w:vAlign w:val="center"/>
          </w:tcPr>
          <w:p>
            <w:pPr>
              <w:pStyle w:val="TableContents"/>
              <w:bidi w:val="0"/>
              <w:jc w:val="right"/>
              <w:rPr/>
            </w:pPr>
            <w:r>
              <w:rPr/>
              <w:t>-5</w:t>
            </w:r>
          </w:p>
        </w:tc>
        <w:tc>
          <w:tcPr>
            <w:tcW w:w="962" w:type="dxa"/>
            <w:tcBorders/>
            <w:vAlign w:val="center"/>
          </w:tcPr>
          <w:p>
            <w:pPr>
              <w:pStyle w:val="TableContents"/>
              <w:bidi w:val="0"/>
              <w:jc w:val="right"/>
              <w:rPr/>
            </w:pPr>
            <w:r>
              <w:rPr/>
              <w:t>+12</w:t>
            </w:r>
          </w:p>
        </w:tc>
        <w:tc>
          <w:tcPr>
            <w:tcW w:w="1053" w:type="dxa"/>
            <w:tcBorders/>
            <w:vAlign w:val="center"/>
          </w:tcPr>
          <w:p>
            <w:pPr>
              <w:pStyle w:val="TableContents"/>
              <w:bidi w:val="0"/>
              <w:jc w:val="right"/>
              <w:rPr/>
            </w:pPr>
            <w:r>
              <w:rPr/>
              <w:t>-12</w:t>
            </w:r>
          </w:p>
        </w:tc>
        <w:tc>
          <w:tcPr>
            <w:tcW w:w="519" w:type="dxa"/>
            <w:tcBorders/>
            <w:vAlign w:val="center"/>
          </w:tcPr>
          <w:p>
            <w:pPr>
              <w:pStyle w:val="TableContents"/>
              <w:bidi w:val="0"/>
              <w:jc w:val="right"/>
              <w:rPr/>
            </w:pPr>
            <w:r>
              <w:rPr/>
              <w:t>-2</w:t>
            </w:r>
          </w:p>
        </w:tc>
        <w:tc>
          <w:tcPr>
            <w:tcW w:w="1054" w:type="dxa"/>
            <w:tcBorders/>
            <w:vAlign w:val="center"/>
          </w:tcPr>
          <w:p>
            <w:pPr>
              <w:pStyle w:val="TableContents"/>
              <w:bidi w:val="0"/>
              <w:jc w:val="right"/>
              <w:rPr/>
            </w:pPr>
            <w:r>
              <w:rPr/>
              <w:t>-9</w:t>
            </w:r>
          </w:p>
        </w:tc>
        <w:tc>
          <w:tcPr>
            <w:tcW w:w="492" w:type="dxa"/>
            <w:tcBorders/>
            <w:vAlign w:val="center"/>
          </w:tcPr>
          <w:p>
            <w:pPr>
              <w:pStyle w:val="TableContents"/>
              <w:bidi w:val="0"/>
              <w:jc w:val="right"/>
              <w:rPr/>
            </w:pPr>
            <w:r>
              <w:rPr/>
              <w:t>+0</w:t>
            </w:r>
          </w:p>
        </w:tc>
        <w:tc>
          <w:tcPr>
            <w:tcW w:w="958" w:type="dxa"/>
            <w:tcBorders/>
            <w:vAlign w:val="center"/>
          </w:tcPr>
          <w:p>
            <w:pPr>
              <w:pStyle w:val="TableContents"/>
              <w:bidi w:val="0"/>
              <w:jc w:val="right"/>
              <w:rPr/>
            </w:pPr>
            <w:r>
              <w:rPr/>
              <w:t>+6</w:t>
            </w:r>
          </w:p>
        </w:tc>
        <w:tc>
          <w:tcPr>
            <w:tcW w:w="532"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+7</w:t>
            </w:r>
          </w:p>
        </w:tc>
        <w:tc>
          <w:tcPr>
            <w:tcW w:w="481" w:type="dxa"/>
            <w:tcBorders/>
            <w:vAlign w:val="center"/>
          </w:tcPr>
          <w:p>
            <w:pPr>
              <w:pStyle w:val="TableContents"/>
              <w:bidi w:val="0"/>
              <w:jc w:val="right"/>
              <w:rPr/>
            </w:pPr>
            <w:r>
              <w:rPr/>
              <w:t>+16</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+14</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LEBL</w:t>
            </w:r>
          </w:p>
        </w:tc>
        <w:tc>
          <w:tcPr>
            <w:tcW w:w="1136" w:type="dxa"/>
            <w:tcBorders/>
            <w:vAlign w:val="center"/>
          </w:tcPr>
          <w:p>
            <w:pPr>
              <w:pStyle w:val="TableContents"/>
              <w:bidi w:val="0"/>
              <w:jc w:val="right"/>
              <w:rPr/>
            </w:pPr>
            <w:r>
              <w:rPr/>
              <w:t>+0</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-10</w:t>
            </w:r>
          </w:p>
        </w:tc>
        <w:tc>
          <w:tcPr>
            <w:tcW w:w="519" w:type="dxa"/>
            <w:tcBorders/>
            <w:vAlign w:val="center"/>
          </w:tcPr>
          <w:p>
            <w:pPr>
              <w:pStyle w:val="TableContents"/>
              <w:bidi w:val="0"/>
              <w:jc w:val="right"/>
              <w:rPr/>
            </w:pPr>
            <w:r>
              <w:rPr/>
              <w:t>+8</w:t>
            </w:r>
          </w:p>
        </w:tc>
        <w:tc>
          <w:tcPr>
            <w:tcW w:w="1054" w:type="dxa"/>
            <w:tcBorders/>
            <w:vAlign w:val="center"/>
          </w:tcPr>
          <w:p>
            <w:pPr>
              <w:pStyle w:val="TableContents"/>
              <w:bidi w:val="0"/>
              <w:jc w:val="right"/>
              <w:rPr/>
            </w:pPr>
            <w:r>
              <w:rPr/>
              <w:t>-9</w:t>
            </w:r>
          </w:p>
        </w:tc>
        <w:tc>
          <w:tcPr>
            <w:tcW w:w="492" w:type="dxa"/>
            <w:tcBorders/>
            <w:vAlign w:val="center"/>
          </w:tcPr>
          <w:p>
            <w:pPr>
              <w:pStyle w:val="TableContents"/>
              <w:bidi w:val="0"/>
              <w:jc w:val="right"/>
              <w:rPr/>
            </w:pPr>
            <w:r>
              <w:rPr/>
              <w:t>+14</w:t>
            </w:r>
          </w:p>
        </w:tc>
        <w:tc>
          <w:tcPr>
            <w:tcW w:w="958" w:type="dxa"/>
            <w:tcBorders/>
            <w:vAlign w:val="center"/>
          </w:tcPr>
          <w:p>
            <w:pPr>
              <w:pStyle w:val="TableContents"/>
              <w:bidi w:val="0"/>
              <w:jc w:val="right"/>
              <w:rPr/>
            </w:pPr>
            <w:r>
              <w:rPr/>
              <w:t>+1</w:t>
            </w:r>
          </w:p>
        </w:tc>
        <w:tc>
          <w:tcPr>
            <w:tcW w:w="532" w:type="dxa"/>
            <w:tcBorders/>
            <w:vAlign w:val="center"/>
          </w:tcPr>
          <w:p>
            <w:pPr>
              <w:pStyle w:val="TableContents"/>
              <w:bidi w:val="0"/>
              <w:jc w:val="right"/>
              <w:rPr/>
            </w:pPr>
            <w:r>
              <w:rPr/>
              <w:t>+2</w:t>
            </w:r>
          </w:p>
        </w:tc>
        <w:tc>
          <w:tcPr>
            <w:tcW w:w="481"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+8</w:t>
            </w:r>
          </w:p>
        </w:tc>
        <w:tc>
          <w:tcPr>
            <w:tcW w:w="519" w:type="dxa"/>
            <w:tcBorders/>
            <w:vAlign w:val="center"/>
          </w:tcPr>
          <w:p>
            <w:pPr>
              <w:pStyle w:val="TableContents"/>
              <w:bidi w:val="0"/>
              <w:jc w:val="right"/>
              <w:rPr/>
            </w:pPr>
            <w:r>
              <w:rPr/>
              <w:t>+8</w:t>
            </w:r>
          </w:p>
        </w:tc>
        <w:tc>
          <w:tcPr>
            <w:tcW w:w="492" w:type="dxa"/>
            <w:tcBorders/>
            <w:vAlign w:val="center"/>
          </w:tcPr>
          <w:p>
            <w:pPr>
              <w:pStyle w:val="TableContents"/>
              <w:bidi w:val="0"/>
              <w:jc w:val="right"/>
              <w:rPr/>
            </w:pPr>
            <w:r>
              <w:rPr/>
              <w:t>-1</w:t>
            </w:r>
          </w:p>
        </w:tc>
        <w:tc>
          <w:tcPr>
            <w:tcW w:w="1033"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LEMD</w:t>
            </w:r>
          </w:p>
        </w:tc>
        <w:tc>
          <w:tcPr>
            <w:tcW w:w="1136" w:type="dxa"/>
            <w:tcBorders/>
            <w:vAlign w:val="center"/>
          </w:tcPr>
          <w:p>
            <w:pPr>
              <w:pStyle w:val="TableContents"/>
              <w:bidi w:val="0"/>
              <w:jc w:val="right"/>
              <w:rPr/>
            </w:pPr>
            <w:r>
              <w:rPr/>
              <w:t>+8</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-25</w:t>
            </w:r>
          </w:p>
        </w:tc>
        <w:tc>
          <w:tcPr>
            <w:tcW w:w="519" w:type="dxa"/>
            <w:tcBorders/>
            <w:vAlign w:val="center"/>
          </w:tcPr>
          <w:p>
            <w:pPr>
              <w:pStyle w:val="TableContents"/>
              <w:bidi w:val="0"/>
              <w:jc w:val="right"/>
              <w:rPr/>
            </w:pPr>
            <w:r>
              <w:rPr/>
              <w:t>+17</w:t>
            </w:r>
          </w:p>
        </w:tc>
        <w:tc>
          <w:tcPr>
            <w:tcW w:w="1054"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-4</w:t>
            </w:r>
          </w:p>
        </w:tc>
        <w:tc>
          <w:tcPr>
            <w:tcW w:w="958" w:type="dxa"/>
            <w:tcBorders/>
            <w:vAlign w:val="center"/>
          </w:tcPr>
          <w:p>
            <w:pPr>
              <w:pStyle w:val="TableContents"/>
              <w:bidi w:val="0"/>
              <w:jc w:val="right"/>
              <w:rPr/>
            </w:pPr>
            <w:r>
              <w:rPr/>
              <w:t>+14</w:t>
            </w:r>
          </w:p>
        </w:tc>
        <w:tc>
          <w:tcPr>
            <w:tcW w:w="532"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-4</w:t>
            </w:r>
          </w:p>
        </w:tc>
        <w:tc>
          <w:tcPr>
            <w:tcW w:w="481" w:type="dxa"/>
            <w:tcBorders/>
            <w:vAlign w:val="center"/>
          </w:tcPr>
          <w:p>
            <w:pPr>
              <w:pStyle w:val="TableContents"/>
              <w:bidi w:val="0"/>
              <w:jc w:val="right"/>
              <w:rPr/>
            </w:pPr>
            <w:r>
              <w:rPr/>
              <w:t>+10</w:t>
            </w:r>
          </w:p>
        </w:tc>
        <w:tc>
          <w:tcPr>
            <w:tcW w:w="519" w:type="dxa"/>
            <w:tcBorders/>
            <w:vAlign w:val="center"/>
          </w:tcPr>
          <w:p>
            <w:pPr>
              <w:pStyle w:val="TableContents"/>
              <w:bidi w:val="0"/>
              <w:jc w:val="right"/>
              <w:rPr/>
            </w:pPr>
            <w:r>
              <w:rPr/>
              <w:t>+11</w:t>
            </w:r>
          </w:p>
        </w:tc>
        <w:tc>
          <w:tcPr>
            <w:tcW w:w="492" w:type="dxa"/>
            <w:tcBorders/>
            <w:vAlign w:val="center"/>
          </w:tcPr>
          <w:p>
            <w:pPr>
              <w:pStyle w:val="TableContents"/>
              <w:bidi w:val="0"/>
              <w:jc w:val="right"/>
              <w:rPr/>
            </w:pPr>
            <w:r>
              <w:rPr/>
              <w:t>+4</w:t>
            </w:r>
          </w:p>
        </w:tc>
        <w:tc>
          <w:tcPr>
            <w:tcW w:w="1033"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LFPG</w:t>
            </w:r>
          </w:p>
        </w:tc>
        <w:tc>
          <w:tcPr>
            <w:tcW w:w="1136" w:type="dxa"/>
            <w:tcBorders/>
            <w:vAlign w:val="center"/>
          </w:tcPr>
          <w:p>
            <w:pPr>
              <w:pStyle w:val="TableContents"/>
              <w:bidi w:val="0"/>
              <w:jc w:val="right"/>
              <w:rPr/>
            </w:pPr>
            <w:r>
              <w:rPr/>
              <w:t>+21 [+28; 2 out]</w:t>
            </w:r>
          </w:p>
        </w:tc>
        <w:tc>
          <w:tcPr>
            <w:tcW w:w="962" w:type="dxa"/>
            <w:tcBorders/>
            <w:vAlign w:val="center"/>
          </w:tcPr>
          <w:p>
            <w:pPr>
              <w:pStyle w:val="TableContents"/>
              <w:bidi w:val="0"/>
              <w:jc w:val="right"/>
              <w:rPr/>
            </w:pPr>
            <w:r>
              <w:rPr/>
              <w:t>+8</w:t>
            </w:r>
          </w:p>
        </w:tc>
        <w:tc>
          <w:tcPr>
            <w:tcW w:w="1053" w:type="dxa"/>
            <w:tcBorders/>
            <w:vAlign w:val="center"/>
          </w:tcPr>
          <w:p>
            <w:pPr>
              <w:pStyle w:val="TableContents"/>
              <w:bidi w:val="0"/>
              <w:jc w:val="right"/>
              <w:rPr/>
            </w:pPr>
            <w:r>
              <w:rPr/>
              <w:t>-11 [-10; 1 out]</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-20</w:t>
            </w:r>
          </w:p>
        </w:tc>
        <w:tc>
          <w:tcPr>
            <w:tcW w:w="492" w:type="dxa"/>
            <w:tcBorders/>
            <w:vAlign w:val="center"/>
          </w:tcPr>
          <w:p>
            <w:pPr>
              <w:pStyle w:val="TableContents"/>
              <w:bidi w:val="0"/>
              <w:jc w:val="right"/>
              <w:rPr/>
            </w:pPr>
            <w:r>
              <w:rPr/>
              <w:t>+11</w:t>
            </w:r>
          </w:p>
        </w:tc>
        <w:tc>
          <w:tcPr>
            <w:tcW w:w="958" w:type="dxa"/>
            <w:tcBorders/>
            <w:vAlign w:val="center"/>
          </w:tcPr>
          <w:p>
            <w:pPr>
              <w:pStyle w:val="TableContents"/>
              <w:bidi w:val="0"/>
              <w:jc w:val="right"/>
              <w:rPr/>
            </w:pPr>
            <w:r>
              <w:rPr/>
              <w:t>+6 [+6; 1 out]</w:t>
            </w:r>
          </w:p>
        </w:tc>
        <w:tc>
          <w:tcPr>
            <w:tcW w:w="532" w:type="dxa"/>
            <w:tcBorders/>
            <w:vAlign w:val="center"/>
          </w:tcPr>
          <w:p>
            <w:pPr>
              <w:pStyle w:val="TableContents"/>
              <w:bidi w:val="0"/>
              <w:jc w:val="right"/>
              <w:rPr/>
            </w:pPr>
            <w:r>
              <w:rPr/>
              <w:t>+10</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+9</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+5</w:t>
            </w:r>
          </w:p>
        </w:tc>
        <w:tc>
          <w:tcPr>
            <w:tcW w:w="1033" w:type="dxa"/>
            <w:tcBorders/>
            <w:vAlign w:val="center"/>
          </w:tcPr>
          <w:p>
            <w:pPr>
              <w:pStyle w:val="TableContents"/>
              <w:bidi w:val="0"/>
              <w:jc w:val="right"/>
              <w:rPr/>
            </w:pPr>
            <w:r>
              <w:rPr/>
              <w:t>+2 [+3; 4 out]</w:t>
            </w:r>
          </w:p>
        </w:tc>
      </w:tr>
      <w:tr>
        <w:trPr/>
        <w:tc>
          <w:tcPr>
            <w:tcW w:w="827" w:type="dxa"/>
            <w:tcBorders/>
            <w:vAlign w:val="center"/>
          </w:tcPr>
          <w:p>
            <w:pPr>
              <w:pStyle w:val="TableContents"/>
              <w:widowControl w:val="false"/>
              <w:suppressLineNumbers/>
              <w:bidi w:val="0"/>
              <w:jc w:val="left"/>
              <w:rPr/>
            </w:pPr>
            <w:r>
              <w:rPr/>
              <w:t>LIRF</w:t>
            </w:r>
          </w:p>
        </w:tc>
        <w:tc>
          <w:tcPr>
            <w:tcW w:w="1136" w:type="dxa"/>
            <w:tcBorders/>
            <w:vAlign w:val="center"/>
          </w:tcPr>
          <w:p>
            <w:pPr>
              <w:pStyle w:val="TableContents"/>
              <w:bidi w:val="0"/>
              <w:jc w:val="right"/>
              <w:rPr/>
            </w:pPr>
            <w:r>
              <w:rPr/>
              <w:t>+1</w:t>
            </w:r>
          </w:p>
        </w:tc>
        <w:tc>
          <w:tcPr>
            <w:tcW w:w="962" w:type="dxa"/>
            <w:tcBorders/>
            <w:vAlign w:val="center"/>
          </w:tcPr>
          <w:p>
            <w:pPr>
              <w:pStyle w:val="TableContents"/>
              <w:bidi w:val="0"/>
              <w:jc w:val="right"/>
              <w:rPr/>
            </w:pPr>
            <w:r>
              <w:rPr/>
              <w:t>+3</w:t>
            </w:r>
          </w:p>
        </w:tc>
        <w:tc>
          <w:tcPr>
            <w:tcW w:w="1053" w:type="dxa"/>
            <w:tcBorders/>
            <w:vAlign w:val="center"/>
          </w:tcPr>
          <w:p>
            <w:pPr>
              <w:pStyle w:val="TableContents"/>
              <w:bidi w:val="0"/>
              <w:jc w:val="right"/>
              <w:rPr/>
            </w:pPr>
            <w:r>
              <w:rPr/>
              <w:t>-1</w:t>
            </w:r>
          </w:p>
        </w:tc>
        <w:tc>
          <w:tcPr>
            <w:tcW w:w="519" w:type="dxa"/>
            <w:tcBorders/>
            <w:vAlign w:val="center"/>
          </w:tcPr>
          <w:p>
            <w:pPr>
              <w:pStyle w:val="TableContents"/>
              <w:bidi w:val="0"/>
              <w:jc w:val="right"/>
              <w:rPr/>
            </w:pPr>
            <w:r>
              <w:rPr/>
              <w:t>+2</w:t>
            </w:r>
          </w:p>
        </w:tc>
        <w:tc>
          <w:tcPr>
            <w:tcW w:w="1054" w:type="dxa"/>
            <w:tcBorders/>
            <w:vAlign w:val="center"/>
          </w:tcPr>
          <w:p>
            <w:pPr>
              <w:pStyle w:val="TableContents"/>
              <w:bidi w:val="0"/>
              <w:jc w:val="right"/>
              <w:rPr/>
            </w:pPr>
            <w:r>
              <w:rPr/>
              <w:t>-16</w:t>
            </w:r>
          </w:p>
        </w:tc>
        <w:tc>
          <w:tcPr>
            <w:tcW w:w="492" w:type="dxa"/>
            <w:tcBorders/>
            <w:vAlign w:val="center"/>
          </w:tcPr>
          <w:p>
            <w:pPr>
              <w:pStyle w:val="TableContents"/>
              <w:bidi w:val="0"/>
              <w:jc w:val="right"/>
              <w:rPr/>
            </w:pPr>
            <w:r>
              <w:rPr/>
              <w:t>-5</w:t>
            </w:r>
          </w:p>
        </w:tc>
        <w:tc>
          <w:tcPr>
            <w:tcW w:w="958" w:type="dxa"/>
            <w:tcBorders/>
            <w:vAlign w:val="center"/>
          </w:tcPr>
          <w:p>
            <w:pPr>
              <w:pStyle w:val="TableContents"/>
              <w:bidi w:val="0"/>
              <w:jc w:val="right"/>
              <w:rPr/>
            </w:pPr>
            <w:r>
              <w:rPr/>
              <w:t>-2 [+3; 1 out]</w:t>
            </w:r>
          </w:p>
        </w:tc>
        <w:tc>
          <w:tcPr>
            <w:tcW w:w="532"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-15</w:t>
            </w:r>
          </w:p>
        </w:tc>
        <w:tc>
          <w:tcPr>
            <w:tcW w:w="519"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-7</w:t>
            </w:r>
          </w:p>
        </w:tc>
        <w:tc>
          <w:tcPr>
            <w:tcW w:w="1033" w:type="dxa"/>
            <w:tcBorders/>
            <w:vAlign w:val="center"/>
          </w:tcPr>
          <w:p>
            <w:pPr>
              <w:pStyle w:val="TableContents"/>
              <w:bidi w:val="0"/>
              <w:jc w:val="right"/>
              <w:rPr/>
            </w:pPr>
            <w:r>
              <w:rPr/>
              <w:t>-3 [-2; 1 out]</w:t>
            </w:r>
          </w:p>
        </w:tc>
      </w:tr>
      <w:tr>
        <w:trPr/>
        <w:tc>
          <w:tcPr>
            <w:tcW w:w="827" w:type="dxa"/>
            <w:tcBorders/>
            <w:vAlign w:val="center"/>
          </w:tcPr>
          <w:p>
            <w:pPr>
              <w:pStyle w:val="TableContents"/>
              <w:widowControl w:val="false"/>
              <w:suppressLineNumbers/>
              <w:bidi w:val="0"/>
              <w:jc w:val="left"/>
              <w:rPr/>
            </w:pPr>
            <w:r>
              <w:rPr/>
              <w:t>LSZH</w:t>
            </w:r>
          </w:p>
        </w:tc>
        <w:tc>
          <w:tcPr>
            <w:tcW w:w="1136" w:type="dxa"/>
            <w:tcBorders/>
            <w:vAlign w:val="center"/>
          </w:tcPr>
          <w:p>
            <w:pPr>
              <w:pStyle w:val="TableContents"/>
              <w:bidi w:val="0"/>
              <w:jc w:val="right"/>
              <w:rPr/>
            </w:pPr>
            <w:r>
              <w:rPr/>
              <w:t>-4</w:t>
            </w:r>
          </w:p>
        </w:tc>
        <w:tc>
          <w:tcPr>
            <w:tcW w:w="962" w:type="dxa"/>
            <w:tcBorders/>
            <w:vAlign w:val="center"/>
          </w:tcPr>
          <w:p>
            <w:pPr>
              <w:pStyle w:val="TableContents"/>
              <w:bidi w:val="0"/>
              <w:jc w:val="right"/>
              <w:rPr/>
            </w:pPr>
            <w:r>
              <w:rPr/>
              <w:t>+7 [+9; 1 out]</w:t>
            </w:r>
          </w:p>
        </w:tc>
        <w:tc>
          <w:tcPr>
            <w:tcW w:w="1053" w:type="dxa"/>
            <w:tcBorders/>
            <w:vAlign w:val="center"/>
          </w:tcPr>
          <w:p>
            <w:pPr>
              <w:pStyle w:val="TableContents"/>
              <w:bidi w:val="0"/>
              <w:jc w:val="right"/>
              <w:rPr/>
            </w:pPr>
            <w:r>
              <w:rPr/>
              <w:t>-12</w:t>
            </w:r>
          </w:p>
        </w:tc>
        <w:tc>
          <w:tcPr>
            <w:tcW w:w="519" w:type="dxa"/>
            <w:tcBorders/>
            <w:vAlign w:val="center"/>
          </w:tcPr>
          <w:p>
            <w:pPr>
              <w:pStyle w:val="TableContents"/>
              <w:bidi w:val="0"/>
              <w:jc w:val="right"/>
              <w:rPr/>
            </w:pPr>
            <w:r>
              <w:rPr/>
              <w:t>+5</w:t>
            </w:r>
          </w:p>
        </w:tc>
        <w:tc>
          <w:tcPr>
            <w:tcW w:w="1054" w:type="dxa"/>
            <w:tcBorders/>
            <w:vAlign w:val="center"/>
          </w:tcPr>
          <w:p>
            <w:pPr>
              <w:pStyle w:val="TableContents"/>
              <w:bidi w:val="0"/>
              <w:jc w:val="right"/>
              <w:rPr/>
            </w:pPr>
            <w:r>
              <w:rPr/>
              <w:t>-19 [-12; 1 out]</w:t>
            </w:r>
          </w:p>
        </w:tc>
        <w:tc>
          <w:tcPr>
            <w:tcW w:w="492" w:type="dxa"/>
            <w:tcBorders/>
            <w:vAlign w:val="center"/>
          </w:tcPr>
          <w:p>
            <w:pPr>
              <w:pStyle w:val="TableContents"/>
              <w:bidi w:val="0"/>
              <w:jc w:val="right"/>
              <w:rPr/>
            </w:pPr>
            <w:r>
              <w:rPr/>
              <w:t>+1</w:t>
            </w:r>
          </w:p>
        </w:tc>
        <w:tc>
          <w:tcPr>
            <w:tcW w:w="958" w:type="dxa"/>
            <w:tcBorders/>
            <w:vAlign w:val="center"/>
          </w:tcPr>
          <w:p>
            <w:pPr>
              <w:pStyle w:val="TableContents"/>
              <w:bidi w:val="0"/>
              <w:jc w:val="right"/>
              <w:rPr/>
            </w:pPr>
            <w:r>
              <w:rPr/>
              <w:t>+3</w:t>
            </w:r>
          </w:p>
        </w:tc>
        <w:tc>
          <w:tcPr>
            <w:tcW w:w="532" w:type="dxa"/>
            <w:tcBorders/>
            <w:vAlign w:val="center"/>
          </w:tcPr>
          <w:p>
            <w:pPr>
              <w:pStyle w:val="TableContents"/>
              <w:bidi w:val="0"/>
              <w:jc w:val="right"/>
              <w:rPr/>
            </w:pPr>
            <w:r>
              <w:rPr/>
              <w:t>+3</w:t>
            </w:r>
          </w:p>
        </w:tc>
        <w:tc>
          <w:tcPr>
            <w:tcW w:w="481" w:type="dxa"/>
            <w:tcBorders/>
            <w:vAlign w:val="center"/>
          </w:tcPr>
          <w:p>
            <w:pPr>
              <w:pStyle w:val="TableContents"/>
              <w:bidi w:val="0"/>
              <w:jc w:val="right"/>
              <w:rPr/>
            </w:pPr>
            <w:r>
              <w:rPr/>
              <w:t>+3</w:t>
            </w:r>
          </w:p>
        </w:tc>
        <w:tc>
          <w:tcPr>
            <w:tcW w:w="481" w:type="dxa"/>
            <w:tcBorders/>
            <w:vAlign w:val="center"/>
          </w:tcPr>
          <w:p>
            <w:pPr>
              <w:pStyle w:val="TableContents"/>
              <w:bidi w:val="0"/>
              <w:jc w:val="right"/>
              <w:rPr/>
            </w:pPr>
            <w:r>
              <w:rPr/>
              <w:t>+17</w:t>
            </w:r>
          </w:p>
        </w:tc>
        <w:tc>
          <w:tcPr>
            <w:tcW w:w="519" w:type="dxa"/>
            <w:tcBorders/>
            <w:vAlign w:val="center"/>
          </w:tcPr>
          <w:p>
            <w:pPr>
              <w:pStyle w:val="TableContents"/>
              <w:bidi w:val="0"/>
              <w:jc w:val="right"/>
              <w:rPr/>
            </w:pPr>
            <w:r>
              <w:rPr/>
              <w:t>-17</w:t>
            </w:r>
          </w:p>
        </w:tc>
        <w:tc>
          <w:tcPr>
            <w:tcW w:w="492" w:type="dxa"/>
            <w:tcBorders/>
            <w:vAlign w:val="center"/>
          </w:tcPr>
          <w:p>
            <w:pPr>
              <w:pStyle w:val="TableContents"/>
              <w:bidi w:val="0"/>
              <w:jc w:val="right"/>
              <w:rPr/>
            </w:pPr>
            <w:r>
              <w:rPr/>
              <w:t>+16</w:t>
            </w:r>
          </w:p>
        </w:tc>
        <w:tc>
          <w:tcPr>
            <w:tcW w:w="1033" w:type="dxa"/>
            <w:tcBorders/>
            <w:vAlign w:val="center"/>
          </w:tcPr>
          <w:p>
            <w:pPr>
              <w:pStyle w:val="TableContents"/>
              <w:bidi w:val="0"/>
              <w:jc w:val="right"/>
              <w:rPr/>
            </w:pPr>
            <w:r>
              <w:rPr/>
              <w:t>+0 [+1; 2 out]</w:t>
            </w:r>
          </w:p>
        </w:tc>
      </w:tr>
      <w:tr>
        <w:trPr/>
        <w:tc>
          <w:tcPr>
            <w:tcW w:w="827" w:type="dxa"/>
            <w:tcBorders/>
            <w:vAlign w:val="center"/>
          </w:tcPr>
          <w:p>
            <w:pPr>
              <w:pStyle w:val="TableContents"/>
              <w:widowControl w:val="false"/>
              <w:suppressLineNumbers/>
              <w:bidi w:val="0"/>
              <w:jc w:val="left"/>
              <w:rPr/>
            </w:pPr>
            <w:r>
              <w:rPr/>
              <w:t>LTFM</w:t>
            </w:r>
          </w:p>
        </w:tc>
        <w:tc>
          <w:tcPr>
            <w:tcW w:w="1136" w:type="dxa"/>
            <w:tcBorders/>
            <w:vAlign w:val="center"/>
          </w:tcPr>
          <w:p>
            <w:pPr>
              <w:pStyle w:val="TableContents"/>
              <w:bidi w:val="0"/>
              <w:jc w:val="right"/>
              <w:rPr/>
            </w:pPr>
            <w:r>
              <w:rPr/>
              <w:t>+5</w:t>
            </w:r>
          </w:p>
        </w:tc>
        <w:tc>
          <w:tcPr>
            <w:tcW w:w="962" w:type="dxa"/>
            <w:tcBorders/>
            <w:vAlign w:val="center"/>
          </w:tcPr>
          <w:p>
            <w:pPr>
              <w:pStyle w:val="TableContents"/>
              <w:bidi w:val="0"/>
              <w:jc w:val="right"/>
              <w:rPr/>
            </w:pPr>
            <w:r>
              <w:rPr/>
              <w:t>-92</w:t>
            </w:r>
          </w:p>
        </w:tc>
        <w:tc>
          <w:tcPr>
            <w:tcW w:w="1053" w:type="dxa"/>
            <w:tcBorders/>
            <w:vAlign w:val="center"/>
          </w:tcPr>
          <w:p>
            <w:pPr>
              <w:pStyle w:val="TableContents"/>
              <w:bidi w:val="0"/>
              <w:jc w:val="right"/>
              <w:rPr/>
            </w:pPr>
            <w:r>
              <w:rPr/>
              <w:t>-29</w:t>
            </w:r>
          </w:p>
        </w:tc>
        <w:tc>
          <w:tcPr>
            <w:tcW w:w="519" w:type="dxa"/>
            <w:tcBorders/>
            <w:vAlign w:val="center"/>
          </w:tcPr>
          <w:p>
            <w:pPr>
              <w:pStyle w:val="TableContents"/>
              <w:bidi w:val="0"/>
              <w:jc w:val="right"/>
              <w:rPr/>
            </w:pPr>
            <w:r>
              <w:rPr/>
              <w:t>+12</w:t>
            </w:r>
          </w:p>
        </w:tc>
        <w:tc>
          <w:tcPr>
            <w:tcW w:w="1054"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+3</w:t>
            </w:r>
          </w:p>
        </w:tc>
        <w:tc>
          <w:tcPr>
            <w:tcW w:w="958" w:type="dxa"/>
            <w:tcBorders/>
            <w:vAlign w:val="center"/>
          </w:tcPr>
          <w:p>
            <w:pPr>
              <w:pStyle w:val="TableContents"/>
              <w:bidi w:val="0"/>
              <w:jc w:val="right"/>
              <w:rPr/>
            </w:pPr>
            <w:r>
              <w:rPr/>
              <w:t>-18</w:t>
            </w:r>
          </w:p>
        </w:tc>
        <w:tc>
          <w:tcPr>
            <w:tcW w:w="532" w:type="dxa"/>
            <w:tcBorders/>
            <w:vAlign w:val="center"/>
          </w:tcPr>
          <w:p>
            <w:pPr>
              <w:pStyle w:val="TableContents"/>
              <w:bidi w:val="0"/>
              <w:jc w:val="right"/>
              <w:rPr/>
            </w:pPr>
            <w:r>
              <w:rPr/>
              <w:t>+18</w:t>
            </w:r>
          </w:p>
        </w:tc>
        <w:tc>
          <w:tcPr>
            <w:tcW w:w="481" w:type="dxa"/>
            <w:tcBorders/>
            <w:vAlign w:val="center"/>
          </w:tcPr>
          <w:p>
            <w:pPr>
              <w:pStyle w:val="TableContents"/>
              <w:bidi w:val="0"/>
              <w:jc w:val="right"/>
              <w:rPr/>
            </w:pPr>
            <w:r>
              <w:rPr/>
              <w:t>+10</w:t>
            </w:r>
          </w:p>
        </w:tc>
        <w:tc>
          <w:tcPr>
            <w:tcW w:w="481"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-8</w:t>
            </w:r>
          </w:p>
        </w:tc>
        <w:tc>
          <w:tcPr>
            <w:tcW w:w="492" w:type="dxa"/>
            <w:tcBorders/>
            <w:vAlign w:val="center"/>
          </w:tcPr>
          <w:p>
            <w:pPr>
              <w:pStyle w:val="TableContents"/>
              <w:bidi w:val="0"/>
              <w:jc w:val="right"/>
              <w:rPr/>
            </w:pPr>
            <w:r>
              <w:rPr/>
              <w:t>+12</w:t>
            </w:r>
          </w:p>
        </w:tc>
        <w:tc>
          <w:tcPr>
            <w:tcW w:w="1033" w:type="dxa"/>
            <w:tcBorders/>
            <w:vAlign w:val="center"/>
          </w:tcPr>
          <w:p>
            <w:pPr>
              <w:pStyle w:val="TableContents"/>
              <w:bidi w:val="0"/>
              <w:jc w:val="right"/>
              <w:rPr/>
            </w:pPr>
            <w:r>
              <w:rPr/>
              <w:t>-5</w:t>
            </w:r>
          </w:p>
        </w:tc>
      </w:tr>
      <w:tr>
        <w:trPr/>
        <w:tc>
          <w:tcPr>
            <w:tcW w:w="827" w:type="dxa"/>
            <w:tcBorders/>
            <w:vAlign w:val="center"/>
          </w:tcPr>
          <w:p>
            <w:pPr>
              <w:pStyle w:val="TableContents"/>
              <w:widowControl w:val="false"/>
              <w:suppressLineNumbers/>
              <w:bidi w:val="0"/>
              <w:jc w:val="left"/>
              <w:rPr/>
            </w:pPr>
            <w:r>
              <w:rPr/>
              <w:t>all 10</w:t>
            </w:r>
          </w:p>
        </w:tc>
        <w:tc>
          <w:tcPr>
            <w:tcW w:w="1136" w:type="dxa"/>
            <w:tcBorders/>
            <w:vAlign w:val="center"/>
          </w:tcPr>
          <w:p>
            <w:pPr>
              <w:pStyle w:val="TableContents"/>
              <w:bidi w:val="0"/>
              <w:jc w:val="right"/>
              <w:rPr/>
            </w:pPr>
            <w:r>
              <w:rPr/>
              <w:t>+5 [+6; 2 out]</w:t>
            </w:r>
          </w:p>
        </w:tc>
        <w:tc>
          <w:tcPr>
            <w:tcW w:w="962" w:type="dxa"/>
            <w:tcBorders/>
            <w:vAlign w:val="center"/>
          </w:tcPr>
          <w:p>
            <w:pPr>
              <w:pStyle w:val="TableContents"/>
              <w:bidi w:val="0"/>
              <w:jc w:val="right"/>
              <w:rPr/>
            </w:pPr>
            <w:r>
              <w:rPr/>
              <w:t>-10 [-9; 1 out]</w:t>
            </w:r>
          </w:p>
        </w:tc>
        <w:tc>
          <w:tcPr>
            <w:tcW w:w="1053" w:type="dxa"/>
            <w:tcBorders/>
            <w:vAlign w:val="center"/>
          </w:tcPr>
          <w:p>
            <w:pPr>
              <w:pStyle w:val="TableContents"/>
              <w:bidi w:val="0"/>
              <w:jc w:val="right"/>
              <w:rPr/>
            </w:pPr>
            <w:r>
              <w:rPr/>
              <w:t>-10 [-10; 1 out]</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-10 [-9; 1 out]</w:t>
            </w:r>
          </w:p>
        </w:tc>
        <w:tc>
          <w:tcPr>
            <w:tcW w:w="492" w:type="dxa"/>
            <w:tcBorders/>
            <w:vAlign w:val="center"/>
          </w:tcPr>
          <w:p>
            <w:pPr>
              <w:pStyle w:val="TableContents"/>
              <w:bidi w:val="0"/>
              <w:jc w:val="right"/>
              <w:rPr/>
            </w:pPr>
            <w:r>
              <w:rPr/>
              <w:t>+1</w:t>
            </w:r>
          </w:p>
        </w:tc>
        <w:tc>
          <w:tcPr>
            <w:tcW w:w="958" w:type="dxa"/>
            <w:tcBorders/>
            <w:vAlign w:val="center"/>
          </w:tcPr>
          <w:p>
            <w:pPr>
              <w:pStyle w:val="TableContents"/>
              <w:bidi w:val="0"/>
              <w:jc w:val="right"/>
              <w:rPr/>
            </w:pPr>
            <w:r>
              <w:rPr/>
              <w:t>+2 [+3; 2 out]</w:t>
            </w:r>
          </w:p>
        </w:tc>
        <w:tc>
          <w:tcPr>
            <w:tcW w:w="532" w:type="dxa"/>
            <w:tcBorders/>
            <w:vAlign w:val="center"/>
          </w:tcPr>
          <w:p>
            <w:pPr>
              <w:pStyle w:val="TableContents"/>
              <w:bidi w:val="0"/>
              <w:jc w:val="right"/>
              <w:rPr/>
            </w:pPr>
            <w:r>
              <w:rPr/>
              <w:t>+7</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+5</w:t>
            </w:r>
          </w:p>
        </w:tc>
        <w:tc>
          <w:tcPr>
            <w:tcW w:w="519" w:type="dxa"/>
            <w:tcBorders/>
            <w:vAlign w:val="center"/>
          </w:tcPr>
          <w:p>
            <w:pPr>
              <w:pStyle w:val="TableContents"/>
              <w:bidi w:val="0"/>
              <w:jc w:val="right"/>
              <w:rPr/>
            </w:pPr>
            <w:r>
              <w:rPr/>
              <w:t>-11</w:t>
            </w:r>
          </w:p>
        </w:tc>
        <w:tc>
          <w:tcPr>
            <w:tcW w:w="492" w:type="dxa"/>
            <w:tcBorders/>
            <w:vAlign w:val="center"/>
          </w:tcPr>
          <w:p>
            <w:pPr>
              <w:pStyle w:val="TableContents"/>
              <w:bidi w:val="0"/>
              <w:jc w:val="right"/>
              <w:rPr/>
            </w:pPr>
            <w:r>
              <w:rPr/>
              <w:t>+10</w:t>
            </w:r>
          </w:p>
        </w:tc>
        <w:tc>
          <w:tcPr>
            <w:tcW w:w="1033" w:type="dxa"/>
            <w:tcBorders/>
            <w:vAlign w:val="center"/>
          </w:tcPr>
          <w:p>
            <w:pPr>
              <w:pStyle w:val="TableContents"/>
              <w:bidi w:val="0"/>
              <w:jc w:val="right"/>
              <w:rPr/>
            </w:pPr>
            <w:r>
              <w:rPr/>
              <w:t>+0 [+0; 7 out]</w:t>
            </w:r>
          </w:p>
        </w:tc>
      </w:tr>
    </w:tbl>
    <w:p>
      <w:pPr>
        <w:pStyle w:val="BodyText"/>
        <w:bidi w:val="0"/>
        <w:jc w:val="left"/>
        <w:rPr/>
      </w:pPr>
      <w:r>
        <w:rPr/>
        <w:t xml:space="preserve">Sources: </w:t>
      </w:r>
      <w:r>
        <w:rPr>
          <w:rStyle w:val="SourceText"/>
        </w:rPr>
        <w:t>reports/monthly_seeds.md</w:t>
      </w:r>
      <w:r>
        <w:rPr/>
        <w:t xml:space="preserve">, </w:t>
      </w:r>
      <w:r>
        <w:rPr>
          <w:rStyle w:val="Emphasis"/>
        </w:rPr>
        <w:t>Per airport and month: the five-seed average</w:t>
      </w:r>
      <w:r>
        <w:rPr/>
        <w:t>.</w:t>
      </w:r>
    </w:p>
    <w:p>
      <w:pPr>
        <w:pStyle w:val="Heading2"/>
        <w:bidi w:val="0"/>
        <w:jc w:val="left"/>
        <w:rPr/>
      </w:pPr>
      <w:r>
        <w:rPr/>
        <w:t>Annex D: the geometry claim per airport and month, and the base configuration's gap on unseen pairs</w:t>
      </w:r>
    </w:p>
    <w:p>
      <w:pPr>
        <w:pStyle w:val="BodyText"/>
        <w:bidi w:val="0"/>
        <w:jc w:val="left"/>
        <w:rPr/>
      </w:pPr>
      <w:r>
        <w:rPr/>
        <w:t xml:space="preserve">The claim of §7.2 and §8.5, the fold-mean difference in differences of the geometry block on held-out against seen pairs, restricted to each airport's rows in each month: the point estimate in seconds, with a note where its 95% pair-clustered interval does not clear zero, and the year's figure per airport, which is </w:t>
      </w:r>
      <w:r>
        <w:rPr>
          <w:rStyle w:val="SourceText"/>
        </w:rPr>
        <w:t>reports/baseline.md</w:t>
      </w:r>
      <w:r>
        <w:rPr/>
        <w:t>'s per-airport claim. A positive figure means the geometry helps more on unseen pairs than on seen ones. The intervals, the rows and the seen and held-out figures of every cell are in the report's own per-airport tables.</w:t>
      </w:r>
    </w:p>
    <w:tbl>
      <w:tblPr>
        <w:tblW w:w="10539" w:type="dxa"/>
        <w:jc w:val="left"/>
        <w:tblInd w:w="28" w:type="dxa"/>
        <w:tblLayout w:type="fixed"/>
        <w:tblCellMar>
          <w:top w:w="28" w:type="dxa"/>
          <w:left w:w="28" w:type="dxa"/>
          <w:bottom w:w="28" w:type="dxa"/>
          <w:right w:w="28" w:type="dxa"/>
        </w:tblCellMar>
      </w:tblPr>
      <w:tblGrid>
        <w:gridCol w:w="1107"/>
        <w:gridCol w:w="1057"/>
        <w:gridCol w:w="661"/>
        <w:gridCol w:w="661"/>
        <w:gridCol w:w="661"/>
        <w:gridCol w:w="661"/>
        <w:gridCol w:w="661"/>
        <w:gridCol w:w="661"/>
        <w:gridCol w:w="661"/>
        <w:gridCol w:w="661"/>
        <w:gridCol w:w="661"/>
        <w:gridCol w:w="661"/>
        <w:gridCol w:w="1057"/>
        <w:gridCol w:w="708"/>
      </w:tblGrid>
      <w:tr>
        <w:trPr>
          <w:tblHeader w:val="true"/>
        </w:trPr>
        <w:tc>
          <w:tcPr>
            <w:tcW w:w="1107" w:type="dxa"/>
            <w:tcBorders/>
            <w:vAlign w:val="center"/>
          </w:tcPr>
          <w:p>
            <w:pPr>
              <w:pStyle w:val="TableHeading"/>
              <w:suppressLineNumbers/>
              <w:bidi w:val="0"/>
              <w:jc w:val="center"/>
              <w:rPr/>
            </w:pPr>
            <w:r>
              <w:rPr/>
              <w:t>airport</w:t>
            </w:r>
          </w:p>
        </w:tc>
        <w:tc>
          <w:tcPr>
            <w:tcW w:w="1057" w:type="dxa"/>
            <w:tcBorders/>
            <w:vAlign w:val="center"/>
          </w:tcPr>
          <w:p>
            <w:pPr>
              <w:pStyle w:val="TableHeading"/>
              <w:bidi w:val="0"/>
              <w:jc w:val="right"/>
              <w:rPr/>
            </w:pPr>
            <w:r>
              <w:rPr/>
              <w:t>Jan</w:t>
            </w:r>
          </w:p>
        </w:tc>
        <w:tc>
          <w:tcPr>
            <w:tcW w:w="661" w:type="dxa"/>
            <w:tcBorders/>
            <w:vAlign w:val="center"/>
          </w:tcPr>
          <w:p>
            <w:pPr>
              <w:pStyle w:val="TableHeading"/>
              <w:bidi w:val="0"/>
              <w:jc w:val="right"/>
              <w:rPr/>
            </w:pPr>
            <w:r>
              <w:rPr/>
              <w:t>Feb</w:t>
            </w:r>
          </w:p>
        </w:tc>
        <w:tc>
          <w:tcPr>
            <w:tcW w:w="661" w:type="dxa"/>
            <w:tcBorders/>
            <w:vAlign w:val="center"/>
          </w:tcPr>
          <w:p>
            <w:pPr>
              <w:pStyle w:val="TableHeading"/>
              <w:bidi w:val="0"/>
              <w:jc w:val="right"/>
              <w:rPr/>
            </w:pPr>
            <w:r>
              <w:rPr/>
              <w:t>Mar</w:t>
            </w:r>
          </w:p>
        </w:tc>
        <w:tc>
          <w:tcPr>
            <w:tcW w:w="661" w:type="dxa"/>
            <w:tcBorders/>
            <w:vAlign w:val="center"/>
          </w:tcPr>
          <w:p>
            <w:pPr>
              <w:pStyle w:val="TableHeading"/>
              <w:bidi w:val="0"/>
              <w:jc w:val="right"/>
              <w:rPr/>
            </w:pPr>
            <w:r>
              <w:rPr/>
              <w:t>Apr</w:t>
            </w:r>
          </w:p>
        </w:tc>
        <w:tc>
          <w:tcPr>
            <w:tcW w:w="661" w:type="dxa"/>
            <w:tcBorders/>
            <w:vAlign w:val="center"/>
          </w:tcPr>
          <w:p>
            <w:pPr>
              <w:pStyle w:val="TableHeading"/>
              <w:bidi w:val="0"/>
              <w:jc w:val="right"/>
              <w:rPr/>
            </w:pPr>
            <w:r>
              <w:rPr/>
              <w:t>May</w:t>
            </w:r>
          </w:p>
        </w:tc>
        <w:tc>
          <w:tcPr>
            <w:tcW w:w="661" w:type="dxa"/>
            <w:tcBorders/>
            <w:vAlign w:val="center"/>
          </w:tcPr>
          <w:p>
            <w:pPr>
              <w:pStyle w:val="TableHeading"/>
              <w:bidi w:val="0"/>
              <w:jc w:val="right"/>
              <w:rPr/>
            </w:pPr>
            <w:r>
              <w:rPr/>
              <w:t>Jun</w:t>
            </w:r>
          </w:p>
        </w:tc>
        <w:tc>
          <w:tcPr>
            <w:tcW w:w="661" w:type="dxa"/>
            <w:tcBorders/>
            <w:vAlign w:val="center"/>
          </w:tcPr>
          <w:p>
            <w:pPr>
              <w:pStyle w:val="TableHeading"/>
              <w:bidi w:val="0"/>
              <w:jc w:val="right"/>
              <w:rPr/>
            </w:pPr>
            <w:r>
              <w:rPr/>
              <w:t>Jul</w:t>
            </w:r>
          </w:p>
        </w:tc>
        <w:tc>
          <w:tcPr>
            <w:tcW w:w="661" w:type="dxa"/>
            <w:tcBorders/>
            <w:vAlign w:val="center"/>
          </w:tcPr>
          <w:p>
            <w:pPr>
              <w:pStyle w:val="TableHeading"/>
              <w:bidi w:val="0"/>
              <w:jc w:val="right"/>
              <w:rPr/>
            </w:pPr>
            <w:r>
              <w:rPr/>
              <w:t>Aug</w:t>
            </w:r>
          </w:p>
        </w:tc>
        <w:tc>
          <w:tcPr>
            <w:tcW w:w="661" w:type="dxa"/>
            <w:tcBorders/>
            <w:vAlign w:val="center"/>
          </w:tcPr>
          <w:p>
            <w:pPr>
              <w:pStyle w:val="TableHeading"/>
              <w:bidi w:val="0"/>
              <w:jc w:val="right"/>
              <w:rPr/>
            </w:pPr>
            <w:r>
              <w:rPr/>
              <w:t>Sep</w:t>
            </w:r>
          </w:p>
        </w:tc>
        <w:tc>
          <w:tcPr>
            <w:tcW w:w="661" w:type="dxa"/>
            <w:tcBorders/>
            <w:vAlign w:val="center"/>
          </w:tcPr>
          <w:p>
            <w:pPr>
              <w:pStyle w:val="TableHeading"/>
              <w:bidi w:val="0"/>
              <w:jc w:val="right"/>
              <w:rPr/>
            </w:pPr>
            <w:r>
              <w:rPr/>
              <w:t>Oct</w:t>
            </w:r>
          </w:p>
        </w:tc>
        <w:tc>
          <w:tcPr>
            <w:tcW w:w="661" w:type="dxa"/>
            <w:tcBorders/>
            <w:vAlign w:val="center"/>
          </w:tcPr>
          <w:p>
            <w:pPr>
              <w:pStyle w:val="TableHeading"/>
              <w:bidi w:val="0"/>
              <w:jc w:val="right"/>
              <w:rPr/>
            </w:pPr>
            <w:r>
              <w:rPr/>
              <w:t>Nov</w:t>
            </w:r>
          </w:p>
        </w:tc>
        <w:tc>
          <w:tcPr>
            <w:tcW w:w="1057" w:type="dxa"/>
            <w:tcBorders/>
            <w:vAlign w:val="center"/>
          </w:tcPr>
          <w:p>
            <w:pPr>
              <w:pStyle w:val="TableHeading"/>
              <w:bidi w:val="0"/>
              <w:jc w:val="right"/>
              <w:rPr/>
            </w:pPr>
            <w:r>
              <w:rPr/>
              <w:t>Dec</w:t>
            </w:r>
          </w:p>
        </w:tc>
        <w:tc>
          <w:tcPr>
            <w:tcW w:w="708" w:type="dxa"/>
            <w:tcBorders/>
            <w:vAlign w:val="center"/>
          </w:tcPr>
          <w:p>
            <w:pPr>
              <w:pStyle w:val="TableHeading"/>
              <w:bidi w:val="0"/>
              <w:jc w:val="right"/>
              <w:rPr/>
            </w:pPr>
            <w:r>
              <w:rPr/>
              <w:t>year</w:t>
            </w:r>
          </w:p>
        </w:tc>
      </w:tr>
      <w:tr>
        <w:trPr/>
        <w:tc>
          <w:tcPr>
            <w:tcW w:w="1107" w:type="dxa"/>
            <w:tcBorders/>
            <w:vAlign w:val="center"/>
          </w:tcPr>
          <w:p>
            <w:pPr>
              <w:pStyle w:val="TableContents"/>
              <w:widowControl w:val="false"/>
              <w:suppressLineNumbers/>
              <w:bidi w:val="0"/>
              <w:jc w:val="left"/>
              <w:rPr/>
            </w:pPr>
            <w:r>
              <w:rPr/>
              <w:t>Frankfurt</w:t>
            </w:r>
          </w:p>
        </w:tc>
        <w:tc>
          <w:tcPr>
            <w:tcW w:w="1057" w:type="dxa"/>
            <w:tcBorders/>
            <w:vAlign w:val="center"/>
          </w:tcPr>
          <w:p>
            <w:pPr>
              <w:pStyle w:val="TableContents"/>
              <w:bidi w:val="0"/>
              <w:jc w:val="right"/>
              <w:rPr/>
            </w:pPr>
            <w:r>
              <w:rPr/>
              <w:t>+29.7</w:t>
            </w:r>
          </w:p>
        </w:tc>
        <w:tc>
          <w:tcPr>
            <w:tcW w:w="661" w:type="dxa"/>
            <w:tcBorders/>
            <w:vAlign w:val="center"/>
          </w:tcPr>
          <w:p>
            <w:pPr>
              <w:pStyle w:val="TableContents"/>
              <w:bidi w:val="0"/>
              <w:jc w:val="right"/>
              <w:rPr/>
            </w:pPr>
            <w:r>
              <w:rPr/>
              <w:t>+32.8</w:t>
            </w:r>
          </w:p>
        </w:tc>
        <w:tc>
          <w:tcPr>
            <w:tcW w:w="661" w:type="dxa"/>
            <w:tcBorders/>
            <w:vAlign w:val="center"/>
          </w:tcPr>
          <w:p>
            <w:pPr>
              <w:pStyle w:val="TableContents"/>
              <w:bidi w:val="0"/>
              <w:jc w:val="right"/>
              <w:rPr/>
            </w:pPr>
            <w:r>
              <w:rPr/>
              <w:t>+31.6</w:t>
            </w:r>
          </w:p>
        </w:tc>
        <w:tc>
          <w:tcPr>
            <w:tcW w:w="661" w:type="dxa"/>
            <w:tcBorders/>
            <w:vAlign w:val="center"/>
          </w:tcPr>
          <w:p>
            <w:pPr>
              <w:pStyle w:val="TableContents"/>
              <w:bidi w:val="0"/>
              <w:jc w:val="right"/>
              <w:rPr/>
            </w:pPr>
            <w:r>
              <w:rPr/>
              <w:t>+34.6</w:t>
            </w:r>
          </w:p>
        </w:tc>
        <w:tc>
          <w:tcPr>
            <w:tcW w:w="661" w:type="dxa"/>
            <w:tcBorders/>
            <w:vAlign w:val="center"/>
          </w:tcPr>
          <w:p>
            <w:pPr>
              <w:pStyle w:val="TableContents"/>
              <w:bidi w:val="0"/>
              <w:jc w:val="right"/>
              <w:rPr/>
            </w:pPr>
            <w:r>
              <w:rPr/>
              <w:t>+31.3</w:t>
            </w:r>
          </w:p>
        </w:tc>
        <w:tc>
          <w:tcPr>
            <w:tcW w:w="661" w:type="dxa"/>
            <w:tcBorders/>
            <w:vAlign w:val="center"/>
          </w:tcPr>
          <w:p>
            <w:pPr>
              <w:pStyle w:val="TableContents"/>
              <w:bidi w:val="0"/>
              <w:jc w:val="right"/>
              <w:rPr/>
            </w:pPr>
            <w:r>
              <w:rPr/>
              <w:t>+33.5</w:t>
            </w:r>
          </w:p>
        </w:tc>
        <w:tc>
          <w:tcPr>
            <w:tcW w:w="661" w:type="dxa"/>
            <w:tcBorders/>
            <w:vAlign w:val="center"/>
          </w:tcPr>
          <w:p>
            <w:pPr>
              <w:pStyle w:val="TableContents"/>
              <w:bidi w:val="0"/>
              <w:jc w:val="right"/>
              <w:rPr/>
            </w:pPr>
            <w:r>
              <w:rPr/>
              <w:t>+31.9</w:t>
            </w:r>
          </w:p>
        </w:tc>
        <w:tc>
          <w:tcPr>
            <w:tcW w:w="661" w:type="dxa"/>
            <w:tcBorders/>
            <w:vAlign w:val="center"/>
          </w:tcPr>
          <w:p>
            <w:pPr>
              <w:pStyle w:val="TableContents"/>
              <w:bidi w:val="0"/>
              <w:jc w:val="right"/>
              <w:rPr/>
            </w:pPr>
            <w:r>
              <w:rPr/>
              <w:t>+34.1</w:t>
            </w:r>
          </w:p>
        </w:tc>
        <w:tc>
          <w:tcPr>
            <w:tcW w:w="661" w:type="dxa"/>
            <w:tcBorders/>
            <w:vAlign w:val="center"/>
          </w:tcPr>
          <w:p>
            <w:pPr>
              <w:pStyle w:val="TableContents"/>
              <w:bidi w:val="0"/>
              <w:jc w:val="right"/>
              <w:rPr/>
            </w:pPr>
            <w:r>
              <w:rPr/>
              <w:t>+31.1</w:t>
            </w:r>
          </w:p>
        </w:tc>
        <w:tc>
          <w:tcPr>
            <w:tcW w:w="661" w:type="dxa"/>
            <w:tcBorders/>
            <w:vAlign w:val="center"/>
          </w:tcPr>
          <w:p>
            <w:pPr>
              <w:pStyle w:val="TableContents"/>
              <w:bidi w:val="0"/>
              <w:jc w:val="right"/>
              <w:rPr/>
            </w:pPr>
            <w:r>
              <w:rPr/>
              <w:t>+31.4</w:t>
            </w:r>
          </w:p>
        </w:tc>
        <w:tc>
          <w:tcPr>
            <w:tcW w:w="661" w:type="dxa"/>
            <w:tcBorders/>
            <w:vAlign w:val="center"/>
          </w:tcPr>
          <w:p>
            <w:pPr>
              <w:pStyle w:val="TableContents"/>
              <w:bidi w:val="0"/>
              <w:jc w:val="right"/>
              <w:rPr/>
            </w:pPr>
            <w:r>
              <w:rPr/>
              <w:t>+24.7</w:t>
            </w:r>
          </w:p>
        </w:tc>
        <w:tc>
          <w:tcPr>
            <w:tcW w:w="1057" w:type="dxa"/>
            <w:tcBorders/>
            <w:vAlign w:val="center"/>
          </w:tcPr>
          <w:p>
            <w:pPr>
              <w:pStyle w:val="TableContents"/>
              <w:bidi w:val="0"/>
              <w:jc w:val="right"/>
              <w:rPr/>
            </w:pPr>
            <w:r>
              <w:rPr/>
              <w:t>+24.4</w:t>
            </w:r>
          </w:p>
        </w:tc>
        <w:tc>
          <w:tcPr>
            <w:tcW w:w="708" w:type="dxa"/>
            <w:tcBorders/>
            <w:vAlign w:val="center"/>
          </w:tcPr>
          <w:p>
            <w:pPr>
              <w:pStyle w:val="TableContents"/>
              <w:bidi w:val="0"/>
              <w:jc w:val="right"/>
              <w:rPr/>
            </w:pPr>
            <w:r>
              <w:rPr>
                <w:rStyle w:val="Strong"/>
              </w:rPr>
              <w:t>+30.7</w:t>
            </w:r>
          </w:p>
        </w:tc>
      </w:tr>
      <w:tr>
        <w:trPr/>
        <w:tc>
          <w:tcPr>
            <w:tcW w:w="1107" w:type="dxa"/>
            <w:tcBorders/>
            <w:vAlign w:val="center"/>
          </w:tcPr>
          <w:p>
            <w:pPr>
              <w:pStyle w:val="TableContents"/>
              <w:widowControl w:val="false"/>
              <w:suppressLineNumbers/>
              <w:bidi w:val="0"/>
              <w:jc w:val="left"/>
              <w:rPr/>
            </w:pPr>
            <w:r>
              <w:rPr/>
              <w:t>Munich</w:t>
            </w:r>
          </w:p>
        </w:tc>
        <w:tc>
          <w:tcPr>
            <w:tcW w:w="1057" w:type="dxa"/>
            <w:tcBorders/>
            <w:vAlign w:val="center"/>
          </w:tcPr>
          <w:p>
            <w:pPr>
              <w:pStyle w:val="TableContents"/>
              <w:bidi w:val="0"/>
              <w:jc w:val="right"/>
              <w:rPr/>
            </w:pPr>
            <w:r>
              <w:rPr/>
              <w:t>+9.7</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+10.5</w:t>
            </w:r>
          </w:p>
        </w:tc>
        <w:tc>
          <w:tcPr>
            <w:tcW w:w="661" w:type="dxa"/>
            <w:tcBorders/>
            <w:vAlign w:val="center"/>
          </w:tcPr>
          <w:p>
            <w:pPr>
              <w:pStyle w:val="TableContents"/>
              <w:bidi w:val="0"/>
              <w:jc w:val="right"/>
              <w:rPr/>
            </w:pPr>
            <w:r>
              <w:rPr/>
              <w:t>+10.3</w:t>
            </w:r>
          </w:p>
        </w:tc>
        <w:tc>
          <w:tcPr>
            <w:tcW w:w="661" w:type="dxa"/>
            <w:tcBorders/>
            <w:vAlign w:val="center"/>
          </w:tcPr>
          <w:p>
            <w:pPr>
              <w:pStyle w:val="TableContents"/>
              <w:bidi w:val="0"/>
              <w:jc w:val="right"/>
              <w:rPr/>
            </w:pPr>
            <w:r>
              <w:rPr/>
              <w:t>+13.6</w:t>
            </w:r>
          </w:p>
        </w:tc>
        <w:tc>
          <w:tcPr>
            <w:tcW w:w="661" w:type="dxa"/>
            <w:tcBorders/>
            <w:vAlign w:val="center"/>
          </w:tcPr>
          <w:p>
            <w:pPr>
              <w:pStyle w:val="TableContents"/>
              <w:bidi w:val="0"/>
              <w:jc w:val="right"/>
              <w:rPr/>
            </w:pPr>
            <w:r>
              <w:rPr/>
              <w:t>+10.6</w:t>
            </w:r>
          </w:p>
        </w:tc>
        <w:tc>
          <w:tcPr>
            <w:tcW w:w="661" w:type="dxa"/>
            <w:tcBorders/>
            <w:vAlign w:val="center"/>
          </w:tcPr>
          <w:p>
            <w:pPr>
              <w:pStyle w:val="TableContents"/>
              <w:bidi w:val="0"/>
              <w:jc w:val="right"/>
              <w:rPr/>
            </w:pPr>
            <w:r>
              <w:rPr/>
              <w:t>+11.9</w:t>
            </w:r>
          </w:p>
        </w:tc>
        <w:tc>
          <w:tcPr>
            <w:tcW w:w="661" w:type="dxa"/>
            <w:tcBorders/>
            <w:vAlign w:val="center"/>
          </w:tcPr>
          <w:p>
            <w:pPr>
              <w:pStyle w:val="TableContents"/>
              <w:bidi w:val="0"/>
              <w:jc w:val="right"/>
              <w:rPr/>
            </w:pPr>
            <w:r>
              <w:rPr/>
              <w:t>+13.1</w:t>
            </w:r>
          </w:p>
        </w:tc>
        <w:tc>
          <w:tcPr>
            <w:tcW w:w="661" w:type="dxa"/>
            <w:tcBorders/>
            <w:vAlign w:val="center"/>
          </w:tcPr>
          <w:p>
            <w:pPr>
              <w:pStyle w:val="TableContents"/>
              <w:bidi w:val="0"/>
              <w:jc w:val="right"/>
              <w:rPr/>
            </w:pPr>
            <w:r>
              <w:rPr/>
              <w:t>+11.7</w:t>
            </w:r>
          </w:p>
        </w:tc>
        <w:tc>
          <w:tcPr>
            <w:tcW w:w="661" w:type="dxa"/>
            <w:tcBorders/>
            <w:vAlign w:val="center"/>
          </w:tcPr>
          <w:p>
            <w:pPr>
              <w:pStyle w:val="TableContents"/>
              <w:bidi w:val="0"/>
              <w:jc w:val="right"/>
              <w:rPr/>
            </w:pPr>
            <w:r>
              <w:rPr/>
              <w:t>+13.4</w:t>
            </w:r>
          </w:p>
        </w:tc>
        <w:tc>
          <w:tcPr>
            <w:tcW w:w="661" w:type="dxa"/>
            <w:tcBorders/>
            <w:vAlign w:val="center"/>
          </w:tcPr>
          <w:p>
            <w:pPr>
              <w:pStyle w:val="TableContents"/>
              <w:bidi w:val="0"/>
              <w:jc w:val="right"/>
              <w:rPr/>
            </w:pPr>
            <w:r>
              <w:rPr/>
              <w:t>+9.4</w:t>
            </w:r>
          </w:p>
        </w:tc>
        <w:tc>
          <w:tcPr>
            <w:tcW w:w="1057" w:type="dxa"/>
            <w:tcBorders/>
            <w:vAlign w:val="center"/>
          </w:tcPr>
          <w:p>
            <w:pPr>
              <w:pStyle w:val="TableContents"/>
              <w:bidi w:val="0"/>
              <w:jc w:val="right"/>
              <w:rPr/>
            </w:pPr>
            <w:r>
              <w:rPr/>
              <w:t>+8.2</w:t>
            </w:r>
          </w:p>
        </w:tc>
        <w:tc>
          <w:tcPr>
            <w:tcW w:w="708" w:type="dxa"/>
            <w:tcBorders/>
            <w:vAlign w:val="center"/>
          </w:tcPr>
          <w:p>
            <w:pPr>
              <w:pStyle w:val="TableContents"/>
              <w:bidi w:val="0"/>
              <w:jc w:val="right"/>
              <w:rPr/>
            </w:pPr>
            <w:r>
              <w:rPr>
                <w:rStyle w:val="Strong"/>
              </w:rPr>
              <w:t>+10.8</w:t>
            </w:r>
          </w:p>
        </w:tc>
      </w:tr>
      <w:tr>
        <w:trPr/>
        <w:tc>
          <w:tcPr>
            <w:tcW w:w="1107" w:type="dxa"/>
            <w:tcBorders/>
            <w:vAlign w:val="center"/>
          </w:tcPr>
          <w:p>
            <w:pPr>
              <w:pStyle w:val="TableContents"/>
              <w:widowControl w:val="false"/>
              <w:suppressLineNumbers/>
              <w:bidi w:val="0"/>
              <w:jc w:val="left"/>
              <w:rPr/>
            </w:pPr>
            <w:r>
              <w:rPr/>
              <w:t>Heathrow</w:t>
            </w:r>
          </w:p>
        </w:tc>
        <w:tc>
          <w:tcPr>
            <w:tcW w:w="1057" w:type="dxa"/>
            <w:tcBorders/>
            <w:vAlign w:val="center"/>
          </w:tcPr>
          <w:p>
            <w:pPr>
              <w:pStyle w:val="TableContents"/>
              <w:bidi w:val="0"/>
              <w:jc w:val="right"/>
              <w:rPr/>
            </w:pPr>
            <w:r>
              <w:rPr/>
              <w:t>+13.9</w:t>
            </w:r>
          </w:p>
        </w:tc>
        <w:tc>
          <w:tcPr>
            <w:tcW w:w="661" w:type="dxa"/>
            <w:tcBorders/>
            <w:vAlign w:val="center"/>
          </w:tcPr>
          <w:p>
            <w:pPr>
              <w:pStyle w:val="TableContents"/>
              <w:bidi w:val="0"/>
              <w:jc w:val="right"/>
              <w:rPr/>
            </w:pPr>
            <w:r>
              <w:rPr/>
              <w:t>+16.5</w:t>
            </w:r>
          </w:p>
        </w:tc>
        <w:tc>
          <w:tcPr>
            <w:tcW w:w="661" w:type="dxa"/>
            <w:tcBorders/>
            <w:vAlign w:val="center"/>
          </w:tcPr>
          <w:p>
            <w:pPr>
              <w:pStyle w:val="TableContents"/>
              <w:bidi w:val="0"/>
              <w:jc w:val="right"/>
              <w:rPr/>
            </w:pPr>
            <w:r>
              <w:rPr/>
              <w:t>+12.5</w:t>
            </w:r>
          </w:p>
        </w:tc>
        <w:tc>
          <w:tcPr>
            <w:tcW w:w="661" w:type="dxa"/>
            <w:tcBorders/>
            <w:vAlign w:val="center"/>
          </w:tcPr>
          <w:p>
            <w:pPr>
              <w:pStyle w:val="TableContents"/>
              <w:bidi w:val="0"/>
              <w:jc w:val="right"/>
              <w:rPr/>
            </w:pPr>
            <w:r>
              <w:rPr/>
              <w:t>+17.0</w:t>
            </w:r>
          </w:p>
        </w:tc>
        <w:tc>
          <w:tcPr>
            <w:tcW w:w="661" w:type="dxa"/>
            <w:tcBorders/>
            <w:vAlign w:val="center"/>
          </w:tcPr>
          <w:p>
            <w:pPr>
              <w:pStyle w:val="TableContents"/>
              <w:bidi w:val="0"/>
              <w:jc w:val="right"/>
              <w:rPr/>
            </w:pPr>
            <w:r>
              <w:rPr/>
              <w:t>+15.1</w:t>
            </w:r>
          </w:p>
        </w:tc>
        <w:tc>
          <w:tcPr>
            <w:tcW w:w="661" w:type="dxa"/>
            <w:tcBorders/>
            <w:vAlign w:val="center"/>
          </w:tcPr>
          <w:p>
            <w:pPr>
              <w:pStyle w:val="TableContents"/>
              <w:bidi w:val="0"/>
              <w:jc w:val="right"/>
              <w:rPr/>
            </w:pPr>
            <w:r>
              <w:rPr/>
              <w:t>+17.9</w:t>
            </w:r>
          </w:p>
        </w:tc>
        <w:tc>
          <w:tcPr>
            <w:tcW w:w="661" w:type="dxa"/>
            <w:tcBorders/>
            <w:vAlign w:val="center"/>
          </w:tcPr>
          <w:p>
            <w:pPr>
              <w:pStyle w:val="TableContents"/>
              <w:bidi w:val="0"/>
              <w:jc w:val="right"/>
              <w:rPr/>
            </w:pPr>
            <w:r>
              <w:rPr/>
              <w:t>+16.3</w:t>
            </w:r>
          </w:p>
        </w:tc>
        <w:tc>
          <w:tcPr>
            <w:tcW w:w="661" w:type="dxa"/>
            <w:tcBorders/>
            <w:vAlign w:val="center"/>
          </w:tcPr>
          <w:p>
            <w:pPr>
              <w:pStyle w:val="TableContents"/>
              <w:bidi w:val="0"/>
              <w:jc w:val="right"/>
              <w:rPr/>
            </w:pPr>
            <w:r>
              <w:rPr/>
              <w:t>+15.5</w:t>
            </w:r>
          </w:p>
        </w:tc>
        <w:tc>
          <w:tcPr>
            <w:tcW w:w="661" w:type="dxa"/>
            <w:tcBorders/>
            <w:vAlign w:val="center"/>
          </w:tcPr>
          <w:p>
            <w:pPr>
              <w:pStyle w:val="TableContents"/>
              <w:bidi w:val="0"/>
              <w:jc w:val="right"/>
              <w:rPr/>
            </w:pPr>
            <w:r>
              <w:rPr/>
              <w:t>+15.7</w:t>
            </w:r>
          </w:p>
        </w:tc>
        <w:tc>
          <w:tcPr>
            <w:tcW w:w="661" w:type="dxa"/>
            <w:tcBorders/>
            <w:vAlign w:val="center"/>
          </w:tcPr>
          <w:p>
            <w:pPr>
              <w:pStyle w:val="TableContents"/>
              <w:bidi w:val="0"/>
              <w:jc w:val="right"/>
              <w:rPr/>
            </w:pPr>
            <w:r>
              <w:rPr/>
              <w:t>+18.1</w:t>
            </w:r>
          </w:p>
        </w:tc>
        <w:tc>
          <w:tcPr>
            <w:tcW w:w="661" w:type="dxa"/>
            <w:tcBorders/>
            <w:vAlign w:val="center"/>
          </w:tcPr>
          <w:p>
            <w:pPr>
              <w:pStyle w:val="TableContents"/>
              <w:bidi w:val="0"/>
              <w:jc w:val="right"/>
              <w:rPr/>
            </w:pPr>
            <w:r>
              <w:rPr/>
              <w:t>+18.6</w:t>
            </w:r>
          </w:p>
        </w:tc>
        <w:tc>
          <w:tcPr>
            <w:tcW w:w="1057" w:type="dxa"/>
            <w:tcBorders/>
            <w:vAlign w:val="center"/>
          </w:tcPr>
          <w:p>
            <w:pPr>
              <w:pStyle w:val="TableContents"/>
              <w:bidi w:val="0"/>
              <w:jc w:val="right"/>
              <w:rPr/>
            </w:pPr>
            <w:r>
              <w:rPr/>
              <w:t>+19.8</w:t>
            </w:r>
          </w:p>
        </w:tc>
        <w:tc>
          <w:tcPr>
            <w:tcW w:w="708" w:type="dxa"/>
            <w:tcBorders/>
            <w:vAlign w:val="center"/>
          </w:tcPr>
          <w:p>
            <w:pPr>
              <w:pStyle w:val="TableContents"/>
              <w:bidi w:val="0"/>
              <w:jc w:val="right"/>
              <w:rPr/>
            </w:pPr>
            <w:r>
              <w:rPr>
                <w:rStyle w:val="Strong"/>
              </w:rPr>
              <w:t>+16.4</w:t>
            </w:r>
          </w:p>
        </w:tc>
      </w:tr>
      <w:tr>
        <w:trPr/>
        <w:tc>
          <w:tcPr>
            <w:tcW w:w="1107" w:type="dxa"/>
            <w:tcBorders/>
            <w:vAlign w:val="center"/>
          </w:tcPr>
          <w:p>
            <w:pPr>
              <w:pStyle w:val="TableContents"/>
              <w:widowControl w:val="false"/>
              <w:suppressLineNumbers/>
              <w:bidi w:val="0"/>
              <w:jc w:val="left"/>
              <w:rPr/>
            </w:pPr>
            <w:r>
              <w:rPr/>
              <w:t>Schiphol</w:t>
            </w:r>
          </w:p>
        </w:tc>
        <w:tc>
          <w:tcPr>
            <w:tcW w:w="1057" w:type="dxa"/>
            <w:tcBorders/>
            <w:vAlign w:val="center"/>
          </w:tcPr>
          <w:p>
            <w:pPr>
              <w:pStyle w:val="TableContents"/>
              <w:bidi w:val="0"/>
              <w:jc w:val="right"/>
              <w:rPr/>
            </w:pPr>
            <w:r>
              <w:rPr/>
              <w:t>+5.3 (not clear of zero)</w:t>
            </w:r>
          </w:p>
        </w:tc>
        <w:tc>
          <w:tcPr>
            <w:tcW w:w="661" w:type="dxa"/>
            <w:tcBorders/>
            <w:vAlign w:val="center"/>
          </w:tcPr>
          <w:p>
            <w:pPr>
              <w:pStyle w:val="TableContents"/>
              <w:bidi w:val="0"/>
              <w:jc w:val="right"/>
              <w:rPr/>
            </w:pPr>
            <w:r>
              <w:rPr/>
              <w:t>+6.0</w:t>
            </w:r>
          </w:p>
        </w:tc>
        <w:tc>
          <w:tcPr>
            <w:tcW w:w="661" w:type="dxa"/>
            <w:tcBorders/>
            <w:vAlign w:val="center"/>
          </w:tcPr>
          <w:p>
            <w:pPr>
              <w:pStyle w:val="TableContents"/>
              <w:bidi w:val="0"/>
              <w:jc w:val="right"/>
              <w:rPr/>
            </w:pPr>
            <w:r>
              <w:rPr/>
              <w:t>+9.0</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+11.3</w:t>
            </w:r>
          </w:p>
        </w:tc>
        <w:tc>
          <w:tcPr>
            <w:tcW w:w="661" w:type="dxa"/>
            <w:tcBorders/>
            <w:vAlign w:val="center"/>
          </w:tcPr>
          <w:p>
            <w:pPr>
              <w:pStyle w:val="TableContents"/>
              <w:bidi w:val="0"/>
              <w:jc w:val="right"/>
              <w:rPr/>
            </w:pPr>
            <w:r>
              <w:rPr/>
              <w:t>+11.0</w:t>
            </w:r>
          </w:p>
        </w:tc>
        <w:tc>
          <w:tcPr>
            <w:tcW w:w="661" w:type="dxa"/>
            <w:tcBorders/>
            <w:vAlign w:val="center"/>
          </w:tcPr>
          <w:p>
            <w:pPr>
              <w:pStyle w:val="TableContents"/>
              <w:bidi w:val="0"/>
              <w:jc w:val="right"/>
              <w:rPr/>
            </w:pPr>
            <w:r>
              <w:rPr/>
              <w:t>+11.5</w:t>
            </w:r>
          </w:p>
        </w:tc>
        <w:tc>
          <w:tcPr>
            <w:tcW w:w="661" w:type="dxa"/>
            <w:tcBorders/>
            <w:vAlign w:val="center"/>
          </w:tcPr>
          <w:p>
            <w:pPr>
              <w:pStyle w:val="TableContents"/>
              <w:bidi w:val="0"/>
              <w:jc w:val="right"/>
              <w:rPr/>
            </w:pPr>
            <w:r>
              <w:rPr/>
              <w:t>+8.6</w:t>
            </w:r>
          </w:p>
        </w:tc>
        <w:tc>
          <w:tcPr>
            <w:tcW w:w="661" w:type="dxa"/>
            <w:tcBorders/>
            <w:vAlign w:val="center"/>
          </w:tcPr>
          <w:p>
            <w:pPr>
              <w:pStyle w:val="TableContents"/>
              <w:bidi w:val="0"/>
              <w:jc w:val="right"/>
              <w:rPr/>
            </w:pPr>
            <w:r>
              <w:rPr/>
              <w:t>+10.2</w:t>
            </w:r>
          </w:p>
        </w:tc>
        <w:tc>
          <w:tcPr>
            <w:tcW w:w="661" w:type="dxa"/>
            <w:tcBorders/>
            <w:vAlign w:val="center"/>
          </w:tcPr>
          <w:p>
            <w:pPr>
              <w:pStyle w:val="TableContents"/>
              <w:bidi w:val="0"/>
              <w:jc w:val="right"/>
              <w:rPr/>
            </w:pPr>
            <w:r>
              <w:rPr/>
              <w:t>+11.9</w:t>
            </w:r>
          </w:p>
        </w:tc>
        <w:tc>
          <w:tcPr>
            <w:tcW w:w="661" w:type="dxa"/>
            <w:tcBorders/>
            <w:vAlign w:val="center"/>
          </w:tcPr>
          <w:p>
            <w:pPr>
              <w:pStyle w:val="TableContents"/>
              <w:bidi w:val="0"/>
              <w:jc w:val="right"/>
              <w:rPr/>
            </w:pPr>
            <w:r>
              <w:rPr/>
              <w:t>+10.9</w:t>
            </w:r>
          </w:p>
        </w:tc>
        <w:tc>
          <w:tcPr>
            <w:tcW w:w="1057" w:type="dxa"/>
            <w:tcBorders/>
            <w:vAlign w:val="center"/>
          </w:tcPr>
          <w:p>
            <w:pPr>
              <w:pStyle w:val="TableContents"/>
              <w:bidi w:val="0"/>
              <w:jc w:val="right"/>
              <w:rPr/>
            </w:pPr>
            <w:r>
              <w:rPr/>
              <w:t>+6.0</w:t>
            </w:r>
          </w:p>
        </w:tc>
        <w:tc>
          <w:tcPr>
            <w:tcW w:w="708" w:type="dxa"/>
            <w:tcBorders/>
            <w:vAlign w:val="center"/>
          </w:tcPr>
          <w:p>
            <w:pPr>
              <w:pStyle w:val="TableContents"/>
              <w:bidi w:val="0"/>
              <w:jc w:val="right"/>
              <w:rPr/>
            </w:pPr>
            <w:r>
              <w:rPr>
                <w:rStyle w:val="Strong"/>
              </w:rPr>
              <w:t>+9.0</w:t>
            </w:r>
          </w:p>
        </w:tc>
      </w:tr>
      <w:tr>
        <w:trPr/>
        <w:tc>
          <w:tcPr>
            <w:tcW w:w="1107" w:type="dxa"/>
            <w:tcBorders/>
            <w:vAlign w:val="center"/>
          </w:tcPr>
          <w:p>
            <w:pPr>
              <w:pStyle w:val="TableContents"/>
              <w:widowControl w:val="false"/>
              <w:suppressLineNumbers/>
              <w:bidi w:val="0"/>
              <w:jc w:val="left"/>
              <w:rPr/>
            </w:pPr>
            <w:r>
              <w:rPr/>
              <w:t>Barcelona</w:t>
            </w:r>
          </w:p>
        </w:tc>
        <w:tc>
          <w:tcPr>
            <w:tcW w:w="1057" w:type="dxa"/>
            <w:tcBorders/>
            <w:vAlign w:val="center"/>
          </w:tcPr>
          <w:p>
            <w:pPr>
              <w:pStyle w:val="TableContents"/>
              <w:bidi w:val="0"/>
              <w:jc w:val="right"/>
              <w:rPr/>
            </w:pPr>
            <w:r>
              <w:rPr/>
              <w:t>+5.8 (not clear of zero)</w:t>
            </w:r>
          </w:p>
        </w:tc>
        <w:tc>
          <w:tcPr>
            <w:tcW w:w="661" w:type="dxa"/>
            <w:tcBorders/>
            <w:vAlign w:val="center"/>
          </w:tcPr>
          <w:p>
            <w:pPr>
              <w:pStyle w:val="TableContents"/>
              <w:bidi w:val="0"/>
              <w:jc w:val="right"/>
              <w:rPr/>
            </w:pPr>
            <w:r>
              <w:rPr/>
              <w:t>+9.1</w:t>
            </w:r>
          </w:p>
        </w:tc>
        <w:tc>
          <w:tcPr>
            <w:tcW w:w="661" w:type="dxa"/>
            <w:tcBorders/>
            <w:vAlign w:val="center"/>
          </w:tcPr>
          <w:p>
            <w:pPr>
              <w:pStyle w:val="TableContents"/>
              <w:bidi w:val="0"/>
              <w:jc w:val="right"/>
              <w:rPr/>
            </w:pPr>
            <w:r>
              <w:rPr/>
              <w:t>+12.9</w:t>
            </w:r>
          </w:p>
        </w:tc>
        <w:tc>
          <w:tcPr>
            <w:tcW w:w="661" w:type="dxa"/>
            <w:tcBorders/>
            <w:vAlign w:val="center"/>
          </w:tcPr>
          <w:p>
            <w:pPr>
              <w:pStyle w:val="TableContents"/>
              <w:bidi w:val="0"/>
              <w:jc w:val="right"/>
              <w:rPr/>
            </w:pPr>
            <w:r>
              <w:rPr/>
              <w:t>+10.2</w:t>
            </w:r>
          </w:p>
        </w:tc>
        <w:tc>
          <w:tcPr>
            <w:tcW w:w="661" w:type="dxa"/>
            <w:tcBorders/>
            <w:vAlign w:val="center"/>
          </w:tcPr>
          <w:p>
            <w:pPr>
              <w:pStyle w:val="TableContents"/>
              <w:bidi w:val="0"/>
              <w:jc w:val="right"/>
              <w:rPr/>
            </w:pPr>
            <w:r>
              <w:rPr/>
              <w:t>+8.7</w:t>
            </w:r>
          </w:p>
        </w:tc>
        <w:tc>
          <w:tcPr>
            <w:tcW w:w="661" w:type="dxa"/>
            <w:tcBorders/>
            <w:vAlign w:val="center"/>
          </w:tcPr>
          <w:p>
            <w:pPr>
              <w:pStyle w:val="TableContents"/>
              <w:bidi w:val="0"/>
              <w:jc w:val="right"/>
              <w:rPr/>
            </w:pPr>
            <w:r>
              <w:rPr/>
              <w:t>+8.3</w:t>
            </w:r>
          </w:p>
        </w:tc>
        <w:tc>
          <w:tcPr>
            <w:tcW w:w="661" w:type="dxa"/>
            <w:tcBorders/>
            <w:vAlign w:val="center"/>
          </w:tcPr>
          <w:p>
            <w:pPr>
              <w:pStyle w:val="TableContents"/>
              <w:bidi w:val="0"/>
              <w:jc w:val="right"/>
              <w:rPr/>
            </w:pPr>
            <w:r>
              <w:rPr/>
              <w:t>+8.3</w:t>
            </w:r>
          </w:p>
        </w:tc>
        <w:tc>
          <w:tcPr>
            <w:tcW w:w="661" w:type="dxa"/>
            <w:tcBorders/>
            <w:vAlign w:val="center"/>
          </w:tcPr>
          <w:p>
            <w:pPr>
              <w:pStyle w:val="TableContents"/>
              <w:bidi w:val="0"/>
              <w:jc w:val="right"/>
              <w:rPr/>
            </w:pPr>
            <w:r>
              <w:rPr/>
              <w:t>+8.8</w:t>
            </w:r>
          </w:p>
        </w:tc>
        <w:tc>
          <w:tcPr>
            <w:tcW w:w="661" w:type="dxa"/>
            <w:tcBorders/>
            <w:vAlign w:val="center"/>
          </w:tcPr>
          <w:p>
            <w:pPr>
              <w:pStyle w:val="TableContents"/>
              <w:bidi w:val="0"/>
              <w:jc w:val="right"/>
              <w:rPr/>
            </w:pPr>
            <w:r>
              <w:rPr/>
              <w:t>+12.2</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+11.9</w:t>
            </w:r>
          </w:p>
        </w:tc>
        <w:tc>
          <w:tcPr>
            <w:tcW w:w="1057" w:type="dxa"/>
            <w:tcBorders/>
            <w:vAlign w:val="center"/>
          </w:tcPr>
          <w:p>
            <w:pPr>
              <w:pStyle w:val="TableContents"/>
              <w:bidi w:val="0"/>
              <w:jc w:val="right"/>
              <w:rPr/>
            </w:pPr>
            <w:r>
              <w:rPr/>
              <w:t>+6.4 (not clear of zero)</w:t>
            </w:r>
          </w:p>
        </w:tc>
        <w:tc>
          <w:tcPr>
            <w:tcW w:w="708" w:type="dxa"/>
            <w:tcBorders/>
            <w:vAlign w:val="center"/>
          </w:tcPr>
          <w:p>
            <w:pPr>
              <w:pStyle w:val="TableContents"/>
              <w:bidi w:val="0"/>
              <w:jc w:val="right"/>
              <w:rPr/>
            </w:pPr>
            <w:r>
              <w:rPr>
                <w:rStyle w:val="Strong"/>
              </w:rPr>
              <w:t>+9.3</w:t>
            </w:r>
          </w:p>
        </w:tc>
      </w:tr>
      <w:tr>
        <w:trPr/>
        <w:tc>
          <w:tcPr>
            <w:tcW w:w="1107" w:type="dxa"/>
            <w:tcBorders/>
            <w:vAlign w:val="center"/>
          </w:tcPr>
          <w:p>
            <w:pPr>
              <w:pStyle w:val="TableContents"/>
              <w:widowControl w:val="false"/>
              <w:suppressLineNumbers/>
              <w:bidi w:val="0"/>
              <w:jc w:val="left"/>
              <w:rPr/>
            </w:pPr>
            <w:r>
              <w:rPr/>
              <w:t>Madrid</w:t>
            </w:r>
          </w:p>
        </w:tc>
        <w:tc>
          <w:tcPr>
            <w:tcW w:w="1057" w:type="dxa"/>
            <w:tcBorders/>
            <w:vAlign w:val="center"/>
          </w:tcPr>
          <w:p>
            <w:pPr>
              <w:pStyle w:val="TableContents"/>
              <w:bidi w:val="0"/>
              <w:jc w:val="right"/>
              <w:rPr/>
            </w:pPr>
            <w:r>
              <w:rPr/>
              <w:t>+18.6</w:t>
            </w:r>
          </w:p>
        </w:tc>
        <w:tc>
          <w:tcPr>
            <w:tcW w:w="661" w:type="dxa"/>
            <w:tcBorders/>
            <w:vAlign w:val="center"/>
          </w:tcPr>
          <w:p>
            <w:pPr>
              <w:pStyle w:val="TableContents"/>
              <w:bidi w:val="0"/>
              <w:jc w:val="right"/>
              <w:rPr/>
            </w:pPr>
            <w:r>
              <w:rPr/>
              <w:t>+24.1</w:t>
            </w:r>
          </w:p>
        </w:tc>
        <w:tc>
          <w:tcPr>
            <w:tcW w:w="661" w:type="dxa"/>
            <w:tcBorders/>
            <w:vAlign w:val="center"/>
          </w:tcPr>
          <w:p>
            <w:pPr>
              <w:pStyle w:val="TableContents"/>
              <w:bidi w:val="0"/>
              <w:jc w:val="right"/>
              <w:rPr/>
            </w:pPr>
            <w:r>
              <w:rPr/>
              <w:t>+16.1</w:t>
            </w:r>
          </w:p>
        </w:tc>
        <w:tc>
          <w:tcPr>
            <w:tcW w:w="661" w:type="dxa"/>
            <w:tcBorders/>
            <w:vAlign w:val="center"/>
          </w:tcPr>
          <w:p>
            <w:pPr>
              <w:pStyle w:val="TableContents"/>
              <w:bidi w:val="0"/>
              <w:jc w:val="right"/>
              <w:rPr/>
            </w:pPr>
            <w:r>
              <w:rPr/>
              <w:t>+20.8</w:t>
            </w:r>
          </w:p>
        </w:tc>
        <w:tc>
          <w:tcPr>
            <w:tcW w:w="661" w:type="dxa"/>
            <w:tcBorders/>
            <w:vAlign w:val="center"/>
          </w:tcPr>
          <w:p>
            <w:pPr>
              <w:pStyle w:val="TableContents"/>
              <w:bidi w:val="0"/>
              <w:jc w:val="right"/>
              <w:rPr/>
            </w:pPr>
            <w:r>
              <w:rPr/>
              <w:t>+17.4</w:t>
            </w:r>
          </w:p>
        </w:tc>
        <w:tc>
          <w:tcPr>
            <w:tcW w:w="661" w:type="dxa"/>
            <w:tcBorders/>
            <w:vAlign w:val="center"/>
          </w:tcPr>
          <w:p>
            <w:pPr>
              <w:pStyle w:val="TableContents"/>
              <w:bidi w:val="0"/>
              <w:jc w:val="right"/>
              <w:rPr/>
            </w:pPr>
            <w:r>
              <w:rPr/>
              <w:t>+16.2</w:t>
            </w:r>
          </w:p>
        </w:tc>
        <w:tc>
          <w:tcPr>
            <w:tcW w:w="661" w:type="dxa"/>
            <w:tcBorders/>
            <w:vAlign w:val="center"/>
          </w:tcPr>
          <w:p>
            <w:pPr>
              <w:pStyle w:val="TableContents"/>
              <w:bidi w:val="0"/>
              <w:jc w:val="right"/>
              <w:rPr/>
            </w:pPr>
            <w:r>
              <w:rPr/>
              <w:t>+14.9</w:t>
            </w:r>
          </w:p>
        </w:tc>
        <w:tc>
          <w:tcPr>
            <w:tcW w:w="661" w:type="dxa"/>
            <w:tcBorders/>
            <w:vAlign w:val="center"/>
          </w:tcPr>
          <w:p>
            <w:pPr>
              <w:pStyle w:val="TableContents"/>
              <w:bidi w:val="0"/>
              <w:jc w:val="right"/>
              <w:rPr/>
            </w:pPr>
            <w:r>
              <w:rPr/>
              <w:t>+23.0</w:t>
            </w:r>
          </w:p>
        </w:tc>
        <w:tc>
          <w:tcPr>
            <w:tcW w:w="661" w:type="dxa"/>
            <w:tcBorders/>
            <w:vAlign w:val="center"/>
          </w:tcPr>
          <w:p>
            <w:pPr>
              <w:pStyle w:val="TableContents"/>
              <w:bidi w:val="0"/>
              <w:jc w:val="right"/>
              <w:rPr/>
            </w:pPr>
            <w:r>
              <w:rPr/>
              <w:t>+26.0</w:t>
            </w:r>
          </w:p>
        </w:tc>
        <w:tc>
          <w:tcPr>
            <w:tcW w:w="661" w:type="dxa"/>
            <w:tcBorders/>
            <w:vAlign w:val="center"/>
          </w:tcPr>
          <w:p>
            <w:pPr>
              <w:pStyle w:val="TableContents"/>
              <w:bidi w:val="0"/>
              <w:jc w:val="right"/>
              <w:rPr/>
            </w:pPr>
            <w:r>
              <w:rPr/>
              <w:t>+19.3</w:t>
            </w:r>
          </w:p>
        </w:tc>
        <w:tc>
          <w:tcPr>
            <w:tcW w:w="661" w:type="dxa"/>
            <w:tcBorders/>
            <w:vAlign w:val="center"/>
          </w:tcPr>
          <w:p>
            <w:pPr>
              <w:pStyle w:val="TableContents"/>
              <w:bidi w:val="0"/>
              <w:jc w:val="right"/>
              <w:rPr/>
            </w:pPr>
            <w:r>
              <w:rPr/>
              <w:t>+15.4</w:t>
            </w:r>
          </w:p>
        </w:tc>
        <w:tc>
          <w:tcPr>
            <w:tcW w:w="1057" w:type="dxa"/>
            <w:tcBorders/>
            <w:vAlign w:val="center"/>
          </w:tcPr>
          <w:p>
            <w:pPr>
              <w:pStyle w:val="TableContents"/>
              <w:bidi w:val="0"/>
              <w:jc w:val="right"/>
              <w:rPr/>
            </w:pPr>
            <w:r>
              <w:rPr/>
              <w:t>+19.5</w:t>
            </w:r>
          </w:p>
        </w:tc>
        <w:tc>
          <w:tcPr>
            <w:tcW w:w="708" w:type="dxa"/>
            <w:tcBorders/>
            <w:vAlign w:val="center"/>
          </w:tcPr>
          <w:p>
            <w:pPr>
              <w:pStyle w:val="TableContents"/>
              <w:bidi w:val="0"/>
              <w:jc w:val="right"/>
              <w:rPr/>
            </w:pPr>
            <w:r>
              <w:rPr>
                <w:rStyle w:val="Strong"/>
              </w:rPr>
              <w:t>+19.2</w:t>
            </w:r>
          </w:p>
        </w:tc>
      </w:tr>
      <w:tr>
        <w:trPr/>
        <w:tc>
          <w:tcPr>
            <w:tcW w:w="1107" w:type="dxa"/>
            <w:tcBorders/>
            <w:vAlign w:val="center"/>
          </w:tcPr>
          <w:p>
            <w:pPr>
              <w:pStyle w:val="TableContents"/>
              <w:widowControl w:val="false"/>
              <w:suppressLineNumbers/>
              <w:bidi w:val="0"/>
              <w:jc w:val="left"/>
              <w:rPr/>
            </w:pPr>
            <w:r>
              <w:rPr/>
              <w:t>Paris</w:t>
            </w:r>
          </w:p>
        </w:tc>
        <w:tc>
          <w:tcPr>
            <w:tcW w:w="1057" w:type="dxa"/>
            <w:tcBorders/>
            <w:vAlign w:val="center"/>
          </w:tcPr>
          <w:p>
            <w:pPr>
              <w:pStyle w:val="TableContents"/>
              <w:bidi w:val="0"/>
              <w:jc w:val="right"/>
              <w:rPr/>
            </w:pPr>
            <w:r>
              <w:rPr/>
              <w:t>+17.9</w:t>
            </w:r>
          </w:p>
        </w:tc>
        <w:tc>
          <w:tcPr>
            <w:tcW w:w="661" w:type="dxa"/>
            <w:tcBorders/>
            <w:vAlign w:val="center"/>
          </w:tcPr>
          <w:p>
            <w:pPr>
              <w:pStyle w:val="TableContents"/>
              <w:bidi w:val="0"/>
              <w:jc w:val="right"/>
              <w:rPr/>
            </w:pPr>
            <w:r>
              <w:rPr/>
              <w:t>+18.8</w:t>
            </w:r>
          </w:p>
        </w:tc>
        <w:tc>
          <w:tcPr>
            <w:tcW w:w="661" w:type="dxa"/>
            <w:tcBorders/>
            <w:vAlign w:val="center"/>
          </w:tcPr>
          <w:p>
            <w:pPr>
              <w:pStyle w:val="TableContents"/>
              <w:bidi w:val="0"/>
              <w:jc w:val="right"/>
              <w:rPr/>
            </w:pPr>
            <w:r>
              <w:rPr/>
              <w:t>+20.2</w:t>
            </w:r>
          </w:p>
        </w:tc>
        <w:tc>
          <w:tcPr>
            <w:tcW w:w="661" w:type="dxa"/>
            <w:tcBorders/>
            <w:vAlign w:val="center"/>
          </w:tcPr>
          <w:p>
            <w:pPr>
              <w:pStyle w:val="TableContents"/>
              <w:bidi w:val="0"/>
              <w:jc w:val="right"/>
              <w:rPr/>
            </w:pPr>
            <w:r>
              <w:rPr/>
              <w:t>+24.6</w:t>
            </w:r>
          </w:p>
        </w:tc>
        <w:tc>
          <w:tcPr>
            <w:tcW w:w="661" w:type="dxa"/>
            <w:tcBorders/>
            <w:vAlign w:val="center"/>
          </w:tcPr>
          <w:p>
            <w:pPr>
              <w:pStyle w:val="TableContents"/>
              <w:bidi w:val="0"/>
              <w:jc w:val="right"/>
              <w:rPr/>
            </w:pPr>
            <w:r>
              <w:rPr/>
              <w:t>+20.8</w:t>
            </w:r>
          </w:p>
        </w:tc>
        <w:tc>
          <w:tcPr>
            <w:tcW w:w="661" w:type="dxa"/>
            <w:tcBorders/>
            <w:vAlign w:val="center"/>
          </w:tcPr>
          <w:p>
            <w:pPr>
              <w:pStyle w:val="TableContents"/>
              <w:bidi w:val="0"/>
              <w:jc w:val="right"/>
              <w:rPr/>
            </w:pPr>
            <w:r>
              <w:rPr/>
              <w:t>+29.6</w:t>
            </w:r>
          </w:p>
        </w:tc>
        <w:tc>
          <w:tcPr>
            <w:tcW w:w="661" w:type="dxa"/>
            <w:tcBorders/>
            <w:vAlign w:val="center"/>
          </w:tcPr>
          <w:p>
            <w:pPr>
              <w:pStyle w:val="TableContents"/>
              <w:bidi w:val="0"/>
              <w:jc w:val="right"/>
              <w:rPr/>
            </w:pPr>
            <w:r>
              <w:rPr/>
              <w:t>+41.4</w:t>
            </w:r>
          </w:p>
        </w:tc>
        <w:tc>
          <w:tcPr>
            <w:tcW w:w="661" w:type="dxa"/>
            <w:tcBorders/>
            <w:vAlign w:val="center"/>
          </w:tcPr>
          <w:p>
            <w:pPr>
              <w:pStyle w:val="TableContents"/>
              <w:bidi w:val="0"/>
              <w:jc w:val="right"/>
              <w:rPr/>
            </w:pPr>
            <w:r>
              <w:rPr/>
              <w:t>+29.9</w:t>
            </w:r>
          </w:p>
        </w:tc>
        <w:tc>
          <w:tcPr>
            <w:tcW w:w="661" w:type="dxa"/>
            <w:tcBorders/>
            <w:vAlign w:val="center"/>
          </w:tcPr>
          <w:p>
            <w:pPr>
              <w:pStyle w:val="TableContents"/>
              <w:bidi w:val="0"/>
              <w:jc w:val="right"/>
              <w:rPr/>
            </w:pPr>
            <w:r>
              <w:rPr/>
              <w:t>+25.6</w:t>
            </w:r>
          </w:p>
        </w:tc>
        <w:tc>
          <w:tcPr>
            <w:tcW w:w="661" w:type="dxa"/>
            <w:tcBorders/>
            <w:vAlign w:val="center"/>
          </w:tcPr>
          <w:p>
            <w:pPr>
              <w:pStyle w:val="TableContents"/>
              <w:bidi w:val="0"/>
              <w:jc w:val="right"/>
              <w:rPr/>
            </w:pPr>
            <w:r>
              <w:rPr/>
              <w:t>+25.3</w:t>
            </w:r>
          </w:p>
        </w:tc>
        <w:tc>
          <w:tcPr>
            <w:tcW w:w="661" w:type="dxa"/>
            <w:tcBorders/>
            <w:vAlign w:val="center"/>
          </w:tcPr>
          <w:p>
            <w:pPr>
              <w:pStyle w:val="TableContents"/>
              <w:bidi w:val="0"/>
              <w:jc w:val="right"/>
              <w:rPr/>
            </w:pPr>
            <w:r>
              <w:rPr/>
              <w:t>+31.9</w:t>
            </w:r>
          </w:p>
        </w:tc>
        <w:tc>
          <w:tcPr>
            <w:tcW w:w="1057" w:type="dxa"/>
            <w:tcBorders/>
            <w:vAlign w:val="center"/>
          </w:tcPr>
          <w:p>
            <w:pPr>
              <w:pStyle w:val="TableContents"/>
              <w:bidi w:val="0"/>
              <w:jc w:val="right"/>
              <w:rPr/>
            </w:pPr>
            <w:r>
              <w:rPr/>
              <w:t>+28.4</w:t>
            </w:r>
          </w:p>
        </w:tc>
        <w:tc>
          <w:tcPr>
            <w:tcW w:w="708" w:type="dxa"/>
            <w:tcBorders/>
            <w:vAlign w:val="center"/>
          </w:tcPr>
          <w:p>
            <w:pPr>
              <w:pStyle w:val="TableContents"/>
              <w:bidi w:val="0"/>
              <w:jc w:val="right"/>
              <w:rPr/>
            </w:pPr>
            <w:r>
              <w:rPr>
                <w:rStyle w:val="Strong"/>
              </w:rPr>
              <w:t>+24.2</w:t>
            </w:r>
          </w:p>
        </w:tc>
      </w:tr>
      <w:tr>
        <w:trPr/>
        <w:tc>
          <w:tcPr>
            <w:tcW w:w="1107" w:type="dxa"/>
            <w:tcBorders/>
            <w:vAlign w:val="center"/>
          </w:tcPr>
          <w:p>
            <w:pPr>
              <w:pStyle w:val="TableContents"/>
              <w:widowControl w:val="false"/>
              <w:suppressLineNumbers/>
              <w:bidi w:val="0"/>
              <w:jc w:val="left"/>
              <w:rPr/>
            </w:pPr>
            <w:r>
              <w:rPr/>
              <w:t>Fiumicino</w:t>
            </w:r>
          </w:p>
        </w:tc>
        <w:tc>
          <w:tcPr>
            <w:tcW w:w="1057" w:type="dxa"/>
            <w:tcBorders/>
            <w:vAlign w:val="center"/>
          </w:tcPr>
          <w:p>
            <w:pPr>
              <w:pStyle w:val="TableContents"/>
              <w:bidi w:val="0"/>
              <w:jc w:val="right"/>
              <w:rPr/>
            </w:pPr>
            <w:r>
              <w:rPr/>
              <w:t>+29.4</w:t>
            </w:r>
          </w:p>
        </w:tc>
        <w:tc>
          <w:tcPr>
            <w:tcW w:w="661" w:type="dxa"/>
            <w:tcBorders/>
            <w:vAlign w:val="center"/>
          </w:tcPr>
          <w:p>
            <w:pPr>
              <w:pStyle w:val="TableContents"/>
              <w:bidi w:val="0"/>
              <w:jc w:val="right"/>
              <w:rPr/>
            </w:pPr>
            <w:r>
              <w:rPr/>
              <w:t>+36.9</w:t>
            </w:r>
          </w:p>
        </w:tc>
        <w:tc>
          <w:tcPr>
            <w:tcW w:w="661" w:type="dxa"/>
            <w:tcBorders/>
            <w:vAlign w:val="center"/>
          </w:tcPr>
          <w:p>
            <w:pPr>
              <w:pStyle w:val="TableContents"/>
              <w:bidi w:val="0"/>
              <w:jc w:val="right"/>
              <w:rPr/>
            </w:pPr>
            <w:r>
              <w:rPr/>
              <w:t>+29.6</w:t>
            </w:r>
          </w:p>
        </w:tc>
        <w:tc>
          <w:tcPr>
            <w:tcW w:w="661" w:type="dxa"/>
            <w:tcBorders/>
            <w:vAlign w:val="center"/>
          </w:tcPr>
          <w:p>
            <w:pPr>
              <w:pStyle w:val="TableContents"/>
              <w:bidi w:val="0"/>
              <w:jc w:val="right"/>
              <w:rPr/>
            </w:pPr>
            <w:r>
              <w:rPr/>
              <w:t>+26.3</w:t>
            </w:r>
          </w:p>
        </w:tc>
        <w:tc>
          <w:tcPr>
            <w:tcW w:w="661" w:type="dxa"/>
            <w:tcBorders/>
            <w:vAlign w:val="center"/>
          </w:tcPr>
          <w:p>
            <w:pPr>
              <w:pStyle w:val="TableContents"/>
              <w:bidi w:val="0"/>
              <w:jc w:val="right"/>
              <w:rPr/>
            </w:pPr>
            <w:r>
              <w:rPr/>
              <w:t>+22.9</w:t>
            </w:r>
          </w:p>
        </w:tc>
        <w:tc>
          <w:tcPr>
            <w:tcW w:w="661" w:type="dxa"/>
            <w:tcBorders/>
            <w:vAlign w:val="center"/>
          </w:tcPr>
          <w:p>
            <w:pPr>
              <w:pStyle w:val="TableContents"/>
              <w:bidi w:val="0"/>
              <w:jc w:val="right"/>
              <w:rPr/>
            </w:pPr>
            <w:r>
              <w:rPr/>
              <w:t>+21.3</w:t>
            </w:r>
          </w:p>
        </w:tc>
        <w:tc>
          <w:tcPr>
            <w:tcW w:w="661" w:type="dxa"/>
            <w:tcBorders/>
            <w:vAlign w:val="center"/>
          </w:tcPr>
          <w:p>
            <w:pPr>
              <w:pStyle w:val="TableContents"/>
              <w:bidi w:val="0"/>
              <w:jc w:val="right"/>
              <w:rPr/>
            </w:pPr>
            <w:r>
              <w:rPr/>
              <w:t>+13.0</w:t>
            </w:r>
          </w:p>
        </w:tc>
        <w:tc>
          <w:tcPr>
            <w:tcW w:w="661" w:type="dxa"/>
            <w:tcBorders/>
            <w:vAlign w:val="center"/>
          </w:tcPr>
          <w:p>
            <w:pPr>
              <w:pStyle w:val="TableContents"/>
              <w:bidi w:val="0"/>
              <w:jc w:val="right"/>
              <w:rPr/>
            </w:pPr>
            <w:r>
              <w:rPr/>
              <w:t>+20.7</w:t>
            </w:r>
          </w:p>
        </w:tc>
        <w:tc>
          <w:tcPr>
            <w:tcW w:w="661" w:type="dxa"/>
            <w:tcBorders/>
            <w:vAlign w:val="center"/>
          </w:tcPr>
          <w:p>
            <w:pPr>
              <w:pStyle w:val="TableContents"/>
              <w:bidi w:val="0"/>
              <w:jc w:val="right"/>
              <w:rPr/>
            </w:pPr>
            <w:r>
              <w:rPr/>
              <w:t>+23.6</w:t>
            </w:r>
          </w:p>
        </w:tc>
        <w:tc>
          <w:tcPr>
            <w:tcW w:w="661" w:type="dxa"/>
            <w:tcBorders/>
            <w:vAlign w:val="center"/>
          </w:tcPr>
          <w:p>
            <w:pPr>
              <w:pStyle w:val="TableContents"/>
              <w:bidi w:val="0"/>
              <w:jc w:val="right"/>
              <w:rPr/>
            </w:pPr>
            <w:r>
              <w:rPr/>
              <w:t>+23.5</w:t>
            </w:r>
          </w:p>
        </w:tc>
        <w:tc>
          <w:tcPr>
            <w:tcW w:w="661" w:type="dxa"/>
            <w:tcBorders/>
            <w:vAlign w:val="center"/>
          </w:tcPr>
          <w:p>
            <w:pPr>
              <w:pStyle w:val="TableContents"/>
              <w:bidi w:val="0"/>
              <w:jc w:val="right"/>
              <w:rPr/>
            </w:pPr>
            <w:r>
              <w:rPr/>
              <w:t>+26.0</w:t>
            </w:r>
          </w:p>
        </w:tc>
        <w:tc>
          <w:tcPr>
            <w:tcW w:w="1057" w:type="dxa"/>
            <w:tcBorders/>
            <w:vAlign w:val="center"/>
          </w:tcPr>
          <w:p>
            <w:pPr>
              <w:pStyle w:val="TableContents"/>
              <w:bidi w:val="0"/>
              <w:jc w:val="right"/>
              <w:rPr/>
            </w:pPr>
            <w:r>
              <w:rPr/>
              <w:t>+27.1</w:t>
            </w:r>
          </w:p>
        </w:tc>
        <w:tc>
          <w:tcPr>
            <w:tcW w:w="708" w:type="dxa"/>
            <w:tcBorders/>
            <w:vAlign w:val="center"/>
          </w:tcPr>
          <w:p>
            <w:pPr>
              <w:pStyle w:val="TableContents"/>
              <w:bidi w:val="0"/>
              <w:jc w:val="right"/>
              <w:rPr/>
            </w:pPr>
            <w:r>
              <w:rPr>
                <w:rStyle w:val="Strong"/>
              </w:rPr>
              <w:t>+22.5</w:t>
            </w:r>
          </w:p>
        </w:tc>
      </w:tr>
      <w:tr>
        <w:trPr/>
        <w:tc>
          <w:tcPr>
            <w:tcW w:w="1107" w:type="dxa"/>
            <w:tcBorders/>
            <w:vAlign w:val="center"/>
          </w:tcPr>
          <w:p>
            <w:pPr>
              <w:pStyle w:val="TableContents"/>
              <w:widowControl w:val="false"/>
              <w:suppressLineNumbers/>
              <w:bidi w:val="0"/>
              <w:jc w:val="left"/>
              <w:rPr/>
            </w:pPr>
            <w:r>
              <w:rPr/>
              <w:t>Zurich</w:t>
            </w:r>
          </w:p>
        </w:tc>
        <w:tc>
          <w:tcPr>
            <w:tcW w:w="1057" w:type="dxa"/>
            <w:tcBorders/>
            <w:vAlign w:val="center"/>
          </w:tcPr>
          <w:p>
            <w:pPr>
              <w:pStyle w:val="TableContents"/>
              <w:bidi w:val="0"/>
              <w:jc w:val="right"/>
              <w:rPr/>
            </w:pPr>
            <w:r>
              <w:rPr/>
              <w:t>+19.8</w:t>
            </w:r>
          </w:p>
        </w:tc>
        <w:tc>
          <w:tcPr>
            <w:tcW w:w="661" w:type="dxa"/>
            <w:tcBorders/>
            <w:vAlign w:val="center"/>
          </w:tcPr>
          <w:p>
            <w:pPr>
              <w:pStyle w:val="TableContents"/>
              <w:bidi w:val="0"/>
              <w:jc w:val="right"/>
              <w:rPr/>
            </w:pPr>
            <w:r>
              <w:rPr/>
              <w:t>+23.1</w:t>
            </w:r>
          </w:p>
        </w:tc>
        <w:tc>
          <w:tcPr>
            <w:tcW w:w="661" w:type="dxa"/>
            <w:tcBorders/>
            <w:vAlign w:val="center"/>
          </w:tcPr>
          <w:p>
            <w:pPr>
              <w:pStyle w:val="TableContents"/>
              <w:bidi w:val="0"/>
              <w:jc w:val="right"/>
              <w:rPr/>
            </w:pPr>
            <w:r>
              <w:rPr/>
              <w:t>+19.7</w:t>
            </w:r>
          </w:p>
        </w:tc>
        <w:tc>
          <w:tcPr>
            <w:tcW w:w="661" w:type="dxa"/>
            <w:tcBorders/>
            <w:vAlign w:val="center"/>
          </w:tcPr>
          <w:p>
            <w:pPr>
              <w:pStyle w:val="TableContents"/>
              <w:bidi w:val="0"/>
              <w:jc w:val="right"/>
              <w:rPr/>
            </w:pPr>
            <w:r>
              <w:rPr/>
              <w:t>+21.7</w:t>
            </w:r>
          </w:p>
        </w:tc>
        <w:tc>
          <w:tcPr>
            <w:tcW w:w="661" w:type="dxa"/>
            <w:tcBorders/>
            <w:vAlign w:val="center"/>
          </w:tcPr>
          <w:p>
            <w:pPr>
              <w:pStyle w:val="TableContents"/>
              <w:bidi w:val="0"/>
              <w:jc w:val="right"/>
              <w:rPr/>
            </w:pPr>
            <w:r>
              <w:rPr/>
              <w:t>+9.3</w:t>
            </w:r>
          </w:p>
        </w:tc>
        <w:tc>
          <w:tcPr>
            <w:tcW w:w="661" w:type="dxa"/>
            <w:tcBorders/>
            <w:vAlign w:val="center"/>
          </w:tcPr>
          <w:p>
            <w:pPr>
              <w:pStyle w:val="TableContents"/>
              <w:bidi w:val="0"/>
              <w:jc w:val="right"/>
              <w:rPr/>
            </w:pPr>
            <w:r>
              <w:rPr/>
              <w:t>+21.7</w:t>
            </w:r>
          </w:p>
        </w:tc>
        <w:tc>
          <w:tcPr>
            <w:tcW w:w="661" w:type="dxa"/>
            <w:tcBorders/>
            <w:vAlign w:val="center"/>
          </w:tcPr>
          <w:p>
            <w:pPr>
              <w:pStyle w:val="TableContents"/>
              <w:bidi w:val="0"/>
              <w:jc w:val="right"/>
              <w:rPr/>
            </w:pPr>
            <w:r>
              <w:rPr/>
              <w:t>+19.8</w:t>
            </w:r>
          </w:p>
        </w:tc>
        <w:tc>
          <w:tcPr>
            <w:tcW w:w="661" w:type="dxa"/>
            <w:tcBorders/>
            <w:vAlign w:val="center"/>
          </w:tcPr>
          <w:p>
            <w:pPr>
              <w:pStyle w:val="TableContents"/>
              <w:bidi w:val="0"/>
              <w:jc w:val="right"/>
              <w:rPr/>
            </w:pPr>
            <w:r>
              <w:rPr/>
              <w:t>+22.6</w:t>
            </w:r>
          </w:p>
        </w:tc>
        <w:tc>
          <w:tcPr>
            <w:tcW w:w="661" w:type="dxa"/>
            <w:tcBorders/>
            <w:vAlign w:val="center"/>
          </w:tcPr>
          <w:p>
            <w:pPr>
              <w:pStyle w:val="TableContents"/>
              <w:bidi w:val="0"/>
              <w:jc w:val="right"/>
              <w:rPr/>
            </w:pPr>
            <w:r>
              <w:rPr/>
              <w:t>+24.2</w:t>
            </w:r>
          </w:p>
        </w:tc>
        <w:tc>
          <w:tcPr>
            <w:tcW w:w="661" w:type="dxa"/>
            <w:tcBorders/>
            <w:vAlign w:val="center"/>
          </w:tcPr>
          <w:p>
            <w:pPr>
              <w:pStyle w:val="TableContents"/>
              <w:bidi w:val="0"/>
              <w:jc w:val="right"/>
              <w:rPr/>
            </w:pPr>
            <w:r>
              <w:rPr/>
              <w:t>+24.9</w:t>
            </w:r>
          </w:p>
        </w:tc>
        <w:tc>
          <w:tcPr>
            <w:tcW w:w="661" w:type="dxa"/>
            <w:tcBorders/>
            <w:vAlign w:val="center"/>
          </w:tcPr>
          <w:p>
            <w:pPr>
              <w:pStyle w:val="TableContents"/>
              <w:bidi w:val="0"/>
              <w:jc w:val="right"/>
              <w:rPr/>
            </w:pPr>
            <w:r>
              <w:rPr/>
              <w:t>+23.2</w:t>
            </w:r>
          </w:p>
        </w:tc>
        <w:tc>
          <w:tcPr>
            <w:tcW w:w="1057" w:type="dxa"/>
            <w:tcBorders/>
            <w:vAlign w:val="center"/>
          </w:tcPr>
          <w:p>
            <w:pPr>
              <w:pStyle w:val="TableContents"/>
              <w:bidi w:val="0"/>
              <w:jc w:val="right"/>
              <w:rPr/>
            </w:pPr>
            <w:r>
              <w:rPr/>
              <w:t>+25.7</w:t>
            </w:r>
          </w:p>
        </w:tc>
        <w:tc>
          <w:tcPr>
            <w:tcW w:w="708" w:type="dxa"/>
            <w:tcBorders/>
            <w:vAlign w:val="center"/>
          </w:tcPr>
          <w:p>
            <w:pPr>
              <w:pStyle w:val="TableContents"/>
              <w:bidi w:val="0"/>
              <w:jc w:val="right"/>
              <w:rPr/>
            </w:pPr>
            <w:r>
              <w:rPr>
                <w:rStyle w:val="Strong"/>
              </w:rPr>
              <w:t>+15.8</w:t>
            </w:r>
          </w:p>
        </w:tc>
      </w:tr>
      <w:tr>
        <w:trPr/>
        <w:tc>
          <w:tcPr>
            <w:tcW w:w="1107" w:type="dxa"/>
            <w:tcBorders/>
            <w:vAlign w:val="center"/>
          </w:tcPr>
          <w:p>
            <w:pPr>
              <w:pStyle w:val="TableContents"/>
              <w:widowControl w:val="false"/>
              <w:suppressLineNumbers/>
              <w:bidi w:val="0"/>
              <w:jc w:val="left"/>
              <w:rPr/>
            </w:pPr>
            <w:r>
              <w:rPr/>
              <w:t>Istanbul</w:t>
            </w:r>
          </w:p>
        </w:tc>
        <w:tc>
          <w:tcPr>
            <w:tcW w:w="1057" w:type="dxa"/>
            <w:tcBorders/>
            <w:vAlign w:val="center"/>
          </w:tcPr>
          <w:p>
            <w:pPr>
              <w:pStyle w:val="TableContents"/>
              <w:bidi w:val="0"/>
              <w:jc w:val="right"/>
              <w:rPr/>
            </w:pPr>
            <w:r>
              <w:rPr/>
              <w:t>+31.5</w:t>
            </w:r>
          </w:p>
        </w:tc>
        <w:tc>
          <w:tcPr>
            <w:tcW w:w="661" w:type="dxa"/>
            <w:tcBorders/>
            <w:vAlign w:val="center"/>
          </w:tcPr>
          <w:p>
            <w:pPr>
              <w:pStyle w:val="TableContents"/>
              <w:bidi w:val="0"/>
              <w:jc w:val="right"/>
              <w:rPr/>
            </w:pPr>
            <w:r>
              <w:rPr/>
              <w:t>+20.7</w:t>
            </w:r>
          </w:p>
        </w:tc>
        <w:tc>
          <w:tcPr>
            <w:tcW w:w="661" w:type="dxa"/>
            <w:tcBorders/>
            <w:vAlign w:val="center"/>
          </w:tcPr>
          <w:p>
            <w:pPr>
              <w:pStyle w:val="TableContents"/>
              <w:bidi w:val="0"/>
              <w:jc w:val="right"/>
              <w:rPr/>
            </w:pPr>
            <w:r>
              <w:rPr/>
              <w:t>+22.0</w:t>
            </w:r>
          </w:p>
        </w:tc>
        <w:tc>
          <w:tcPr>
            <w:tcW w:w="661" w:type="dxa"/>
            <w:tcBorders/>
            <w:vAlign w:val="center"/>
          </w:tcPr>
          <w:p>
            <w:pPr>
              <w:pStyle w:val="TableContents"/>
              <w:bidi w:val="0"/>
              <w:jc w:val="right"/>
              <w:rPr/>
            </w:pPr>
            <w:r>
              <w:rPr/>
              <w:t>+24.6</w:t>
            </w:r>
          </w:p>
        </w:tc>
        <w:tc>
          <w:tcPr>
            <w:tcW w:w="661" w:type="dxa"/>
            <w:tcBorders/>
            <w:vAlign w:val="center"/>
          </w:tcPr>
          <w:p>
            <w:pPr>
              <w:pStyle w:val="TableContents"/>
              <w:bidi w:val="0"/>
              <w:jc w:val="right"/>
              <w:rPr/>
            </w:pPr>
            <w:r>
              <w:rPr/>
              <w:t>+21.8</w:t>
            </w:r>
          </w:p>
        </w:tc>
        <w:tc>
          <w:tcPr>
            <w:tcW w:w="661" w:type="dxa"/>
            <w:tcBorders/>
            <w:vAlign w:val="center"/>
          </w:tcPr>
          <w:p>
            <w:pPr>
              <w:pStyle w:val="TableContents"/>
              <w:bidi w:val="0"/>
              <w:jc w:val="right"/>
              <w:rPr/>
            </w:pPr>
            <w:r>
              <w:rPr/>
              <w:t>+28.1</w:t>
            </w:r>
          </w:p>
        </w:tc>
        <w:tc>
          <w:tcPr>
            <w:tcW w:w="661" w:type="dxa"/>
            <w:tcBorders/>
            <w:vAlign w:val="center"/>
          </w:tcPr>
          <w:p>
            <w:pPr>
              <w:pStyle w:val="TableContents"/>
              <w:bidi w:val="0"/>
              <w:jc w:val="right"/>
              <w:rPr/>
            </w:pPr>
            <w:r>
              <w:rPr/>
              <w:t>+19.6</w:t>
            </w:r>
          </w:p>
        </w:tc>
        <w:tc>
          <w:tcPr>
            <w:tcW w:w="661" w:type="dxa"/>
            <w:tcBorders/>
            <w:vAlign w:val="center"/>
          </w:tcPr>
          <w:p>
            <w:pPr>
              <w:pStyle w:val="TableContents"/>
              <w:bidi w:val="0"/>
              <w:jc w:val="right"/>
              <w:rPr/>
            </w:pPr>
            <w:r>
              <w:rPr/>
              <w:t>+26.8</w:t>
            </w:r>
          </w:p>
        </w:tc>
        <w:tc>
          <w:tcPr>
            <w:tcW w:w="661" w:type="dxa"/>
            <w:tcBorders/>
            <w:vAlign w:val="center"/>
          </w:tcPr>
          <w:p>
            <w:pPr>
              <w:pStyle w:val="TableContents"/>
              <w:bidi w:val="0"/>
              <w:jc w:val="right"/>
              <w:rPr/>
            </w:pPr>
            <w:r>
              <w:rPr/>
              <w:t>+30.2</w:t>
            </w:r>
          </w:p>
        </w:tc>
        <w:tc>
          <w:tcPr>
            <w:tcW w:w="661" w:type="dxa"/>
            <w:tcBorders/>
            <w:vAlign w:val="center"/>
          </w:tcPr>
          <w:p>
            <w:pPr>
              <w:pStyle w:val="TableContents"/>
              <w:bidi w:val="0"/>
              <w:jc w:val="right"/>
              <w:rPr/>
            </w:pPr>
            <w:r>
              <w:rPr/>
              <w:t>+23.8</w:t>
            </w:r>
          </w:p>
        </w:tc>
        <w:tc>
          <w:tcPr>
            <w:tcW w:w="661" w:type="dxa"/>
            <w:tcBorders/>
            <w:vAlign w:val="center"/>
          </w:tcPr>
          <w:p>
            <w:pPr>
              <w:pStyle w:val="TableContents"/>
              <w:bidi w:val="0"/>
              <w:jc w:val="right"/>
              <w:rPr/>
            </w:pPr>
            <w:r>
              <w:rPr/>
              <w:t>+25.2</w:t>
            </w:r>
          </w:p>
        </w:tc>
        <w:tc>
          <w:tcPr>
            <w:tcW w:w="1057" w:type="dxa"/>
            <w:tcBorders/>
            <w:vAlign w:val="center"/>
          </w:tcPr>
          <w:p>
            <w:pPr>
              <w:pStyle w:val="TableContents"/>
              <w:bidi w:val="0"/>
              <w:jc w:val="right"/>
              <w:rPr/>
            </w:pPr>
            <w:r>
              <w:rPr/>
              <w:t>+30.9</w:t>
            </w:r>
          </w:p>
        </w:tc>
        <w:tc>
          <w:tcPr>
            <w:tcW w:w="708" w:type="dxa"/>
            <w:tcBorders/>
            <w:vAlign w:val="center"/>
          </w:tcPr>
          <w:p>
            <w:pPr>
              <w:pStyle w:val="TableContents"/>
              <w:bidi w:val="0"/>
              <w:jc w:val="right"/>
              <w:rPr/>
            </w:pPr>
            <w:r>
              <w:rPr>
                <w:rStyle w:val="Strong"/>
              </w:rPr>
              <w:t>+24.9</w:t>
            </w:r>
          </w:p>
        </w:tc>
      </w:tr>
    </w:tbl>
    <w:p>
      <w:pPr>
        <w:pStyle w:val="BodyText"/>
        <w:bidi w:val="0"/>
        <w:jc w:val="left"/>
        <w:rPr/>
      </w:pPr>
      <w:r>
        <w:rPr/>
        <w:t>Per airport, the months whose claim clears zero:</w:t>
      </w:r>
    </w:p>
    <w:tbl>
      <w:tblPr>
        <w:tblW w:w="7572" w:type="dxa"/>
        <w:jc w:val="left"/>
        <w:tblInd w:w="28" w:type="dxa"/>
        <w:tblLayout w:type="fixed"/>
        <w:tblCellMar>
          <w:top w:w="28" w:type="dxa"/>
          <w:left w:w="28" w:type="dxa"/>
          <w:bottom w:w="28" w:type="dxa"/>
          <w:right w:w="28" w:type="dxa"/>
        </w:tblCellMar>
      </w:tblPr>
      <w:tblGrid>
        <w:gridCol w:w="827"/>
        <w:gridCol w:w="2190"/>
        <w:gridCol w:w="1825"/>
        <w:gridCol w:w="2730"/>
      </w:tblGrid>
      <w:tr>
        <w:trPr>
          <w:tblHeader w:val="true"/>
        </w:trPr>
        <w:tc>
          <w:tcPr>
            <w:tcW w:w="827" w:type="dxa"/>
            <w:tcBorders/>
            <w:vAlign w:val="center"/>
          </w:tcPr>
          <w:p>
            <w:pPr>
              <w:pStyle w:val="TableHeading"/>
              <w:suppressLineNumbers/>
              <w:bidi w:val="0"/>
              <w:jc w:val="center"/>
              <w:rPr/>
            </w:pPr>
            <w:r>
              <w:rPr/>
              <w:t>ICAO</w:t>
            </w:r>
          </w:p>
        </w:tc>
        <w:tc>
          <w:tcPr>
            <w:tcW w:w="2190" w:type="dxa"/>
            <w:tcBorders/>
            <w:vAlign w:val="center"/>
          </w:tcPr>
          <w:p>
            <w:pPr>
              <w:pStyle w:val="TableHeading"/>
              <w:bidi w:val="0"/>
              <w:jc w:val="right"/>
              <w:rPr/>
            </w:pPr>
            <w:r>
              <w:rPr/>
              <w:t>months clear of zero</w:t>
            </w:r>
          </w:p>
        </w:tc>
        <w:tc>
          <w:tcPr>
            <w:tcW w:w="1825" w:type="dxa"/>
            <w:tcBorders/>
            <w:vAlign w:val="center"/>
          </w:tcPr>
          <w:p>
            <w:pPr>
              <w:pStyle w:val="TableHeading"/>
              <w:suppressLineNumbers/>
              <w:bidi w:val="0"/>
              <w:jc w:val="center"/>
              <w:rPr/>
            </w:pPr>
            <w:r>
              <w:rPr/>
              <w:t>months not clear</w:t>
            </w:r>
          </w:p>
        </w:tc>
        <w:tc>
          <w:tcPr>
            <w:tcW w:w="2730" w:type="dxa"/>
            <w:tcBorders/>
            <w:vAlign w:val="center"/>
          </w:tcPr>
          <w:p>
            <w:pPr>
              <w:pStyle w:val="TableHeading"/>
              <w:suppressLineNumbers/>
              <w:bidi w:val="0"/>
              <w:jc w:val="center"/>
              <w:rPr/>
            </w:pPr>
            <w:r>
              <w:rPr/>
              <w:t>months printed as counts</w:t>
            </w:r>
          </w:p>
        </w:tc>
      </w:tr>
      <w:tr>
        <w:trPr/>
        <w:tc>
          <w:tcPr>
            <w:tcW w:w="827" w:type="dxa"/>
            <w:tcBorders/>
            <w:vAlign w:val="center"/>
          </w:tcPr>
          <w:p>
            <w:pPr>
              <w:pStyle w:val="TableContents"/>
              <w:widowControl w:val="false"/>
              <w:suppressLineNumbers/>
              <w:bidi w:val="0"/>
              <w:jc w:val="left"/>
              <w:rPr/>
            </w:pPr>
            <w:r>
              <w:rPr/>
              <w:t>EDDF</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EDDM</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EGLL</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EHAM</w:t>
            </w:r>
          </w:p>
        </w:tc>
        <w:tc>
          <w:tcPr>
            <w:tcW w:w="2190" w:type="dxa"/>
            <w:tcBorders/>
            <w:vAlign w:val="center"/>
          </w:tcPr>
          <w:p>
            <w:pPr>
              <w:pStyle w:val="TableContents"/>
              <w:bidi w:val="0"/>
              <w:jc w:val="right"/>
              <w:rPr/>
            </w:pPr>
            <w:r>
              <w:rPr/>
              <w:t>11</w:t>
            </w:r>
          </w:p>
        </w:tc>
        <w:tc>
          <w:tcPr>
            <w:tcW w:w="1825" w:type="dxa"/>
            <w:tcBorders/>
            <w:vAlign w:val="center"/>
          </w:tcPr>
          <w:p>
            <w:pPr>
              <w:pStyle w:val="TableContents"/>
              <w:widowControl w:val="false"/>
              <w:suppressLineNumbers/>
              <w:bidi w:val="0"/>
              <w:jc w:val="left"/>
              <w:rPr/>
            </w:pPr>
            <w:r>
              <w:rPr/>
              <w:t>Jan</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LEBL</w:t>
            </w:r>
          </w:p>
        </w:tc>
        <w:tc>
          <w:tcPr>
            <w:tcW w:w="2190" w:type="dxa"/>
            <w:tcBorders/>
            <w:vAlign w:val="center"/>
          </w:tcPr>
          <w:p>
            <w:pPr>
              <w:pStyle w:val="TableContents"/>
              <w:bidi w:val="0"/>
              <w:jc w:val="right"/>
              <w:rPr/>
            </w:pPr>
            <w:r>
              <w:rPr/>
              <w:t>10</w:t>
            </w:r>
          </w:p>
        </w:tc>
        <w:tc>
          <w:tcPr>
            <w:tcW w:w="1825" w:type="dxa"/>
            <w:tcBorders/>
            <w:vAlign w:val="center"/>
          </w:tcPr>
          <w:p>
            <w:pPr>
              <w:pStyle w:val="TableContents"/>
              <w:widowControl w:val="false"/>
              <w:suppressLineNumbers/>
              <w:bidi w:val="0"/>
              <w:jc w:val="left"/>
              <w:rPr/>
            </w:pPr>
            <w:r>
              <w:rPr/>
              <w:t>Jan, Dec</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LEMD</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LFPG</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LIRF</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LSZH</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LTFM</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bl>
    <w:p>
      <w:pPr>
        <w:pStyle w:val="BodyText"/>
        <w:bidi w:val="0"/>
        <w:jc w:val="left"/>
        <w:rPr/>
      </w:pPr>
      <w:r>
        <w:rPr/>
        <w:t xml:space="preserve">The shipped rung, </w:t>
      </w:r>
      <w:r>
        <w:rPr>
          <w:rStyle w:val="SourceText"/>
        </w:rPr>
        <w:t>+ plan differences</w:t>
      </w:r>
      <w:r>
        <w:rPr/>
        <w:t>, held out minus seen, per month with its interval: how much worse the base configuration reads on a pair it has never seen than on one it has. Context, not a claim; the bracketed figures are over the rows of four hours or less, a diagnostic.</w:t>
      </w:r>
    </w:p>
    <w:tbl>
      <w:tblPr>
        <w:tblW w:w="10539" w:type="dxa"/>
        <w:jc w:val="left"/>
        <w:tblInd w:w="28" w:type="dxa"/>
        <w:tblLayout w:type="fixed"/>
        <w:tblCellMar>
          <w:top w:w="28" w:type="dxa"/>
          <w:left w:w="28" w:type="dxa"/>
          <w:bottom w:w="28" w:type="dxa"/>
          <w:right w:w="28" w:type="dxa"/>
        </w:tblCellMar>
      </w:tblPr>
      <w:tblGrid>
        <w:gridCol w:w="901"/>
        <w:gridCol w:w="1666"/>
        <w:gridCol w:w="1937"/>
        <w:gridCol w:w="1971"/>
        <w:gridCol w:w="4064"/>
      </w:tblGrid>
      <w:tr>
        <w:trPr>
          <w:tblHeader w:val="true"/>
        </w:trPr>
        <w:tc>
          <w:tcPr>
            <w:tcW w:w="901" w:type="dxa"/>
            <w:tcBorders/>
            <w:vAlign w:val="center"/>
          </w:tcPr>
          <w:p>
            <w:pPr>
              <w:pStyle w:val="TableHeading"/>
              <w:suppressLineNumbers/>
              <w:bidi w:val="0"/>
              <w:jc w:val="center"/>
              <w:rPr/>
            </w:pPr>
            <w:r>
              <w:rPr/>
              <w:t>month</w:t>
            </w:r>
          </w:p>
        </w:tc>
        <w:tc>
          <w:tcPr>
            <w:tcW w:w="1666" w:type="dxa"/>
            <w:tcBorders/>
            <w:vAlign w:val="center"/>
          </w:tcPr>
          <w:p>
            <w:pPr>
              <w:pStyle w:val="TableHeading"/>
              <w:bidi w:val="0"/>
              <w:jc w:val="right"/>
              <w:rPr/>
            </w:pPr>
            <w:r>
              <w:rPr/>
              <w:t>seen (s) [4 h or less]</w:t>
            </w:r>
          </w:p>
        </w:tc>
        <w:tc>
          <w:tcPr>
            <w:tcW w:w="1937" w:type="dxa"/>
            <w:tcBorders/>
            <w:vAlign w:val="center"/>
          </w:tcPr>
          <w:p>
            <w:pPr>
              <w:pStyle w:val="TableHeading"/>
              <w:bidi w:val="0"/>
              <w:jc w:val="right"/>
              <w:rPr/>
            </w:pPr>
            <w:r>
              <w:rPr/>
              <w:t>held out (s) [4 h or less]</w:t>
            </w:r>
          </w:p>
        </w:tc>
        <w:tc>
          <w:tcPr>
            <w:tcW w:w="1971" w:type="dxa"/>
            <w:tcBorders/>
            <w:vAlign w:val="center"/>
          </w:tcPr>
          <w:p>
            <w:pPr>
              <w:pStyle w:val="TableHeading"/>
              <w:bidi w:val="0"/>
              <w:jc w:val="right"/>
              <w:rPr/>
            </w:pPr>
            <w:r>
              <w:rPr/>
              <w:t>gap [95%]</w:t>
            </w:r>
          </w:p>
        </w:tc>
        <w:tc>
          <w:tcPr>
            <w:tcW w:w="4064" w:type="dxa"/>
            <w:tcBorders/>
            <w:vAlign w:val="center"/>
          </w:tcPr>
          <w:p>
            <w:pPr>
              <w:pStyle w:val="TableHeading"/>
              <w:bidi w:val="0"/>
              <w:jc w:val="right"/>
              <w:rPr/>
            </w:pPr>
            <w:r>
              <w:rPr/>
              <w:t>gap over the rows of 4 h or less [95%] (diagnostic)</w:t>
            </w:r>
          </w:p>
        </w:tc>
      </w:tr>
      <w:tr>
        <w:trPr/>
        <w:tc>
          <w:tcPr>
            <w:tcW w:w="901" w:type="dxa"/>
            <w:tcBorders/>
            <w:vAlign w:val="center"/>
          </w:tcPr>
          <w:p>
            <w:pPr>
              <w:pStyle w:val="TableContents"/>
              <w:widowControl w:val="false"/>
              <w:suppressLineNumbers/>
              <w:bidi w:val="0"/>
              <w:jc w:val="left"/>
              <w:rPr/>
            </w:pPr>
            <w:r>
              <w:rPr/>
              <w:t>Jan</w:t>
            </w:r>
          </w:p>
        </w:tc>
        <w:tc>
          <w:tcPr>
            <w:tcW w:w="1666" w:type="dxa"/>
            <w:tcBorders/>
            <w:vAlign w:val="center"/>
          </w:tcPr>
          <w:p>
            <w:pPr>
              <w:pStyle w:val="TableContents"/>
              <w:bidi w:val="0"/>
              <w:jc w:val="right"/>
              <w:rPr/>
            </w:pPr>
            <w:r>
              <w:rPr/>
              <w:t>221.3 [221.3]</w:t>
            </w:r>
          </w:p>
        </w:tc>
        <w:tc>
          <w:tcPr>
            <w:tcW w:w="1937" w:type="dxa"/>
            <w:tcBorders/>
            <w:vAlign w:val="center"/>
          </w:tcPr>
          <w:p>
            <w:pPr>
              <w:pStyle w:val="TableContents"/>
              <w:bidi w:val="0"/>
              <w:jc w:val="right"/>
              <w:rPr/>
            </w:pPr>
            <w:r>
              <w:rPr/>
              <w:t>327.6 [237.4]</w:t>
            </w:r>
          </w:p>
        </w:tc>
        <w:tc>
          <w:tcPr>
            <w:tcW w:w="1971" w:type="dxa"/>
            <w:tcBorders/>
            <w:vAlign w:val="center"/>
          </w:tcPr>
          <w:p>
            <w:pPr>
              <w:pStyle w:val="TableContents"/>
              <w:bidi w:val="0"/>
              <w:jc w:val="right"/>
              <w:rPr/>
            </w:pPr>
            <w:r>
              <w:rPr/>
              <w:t>+106.3 s [+13.2, +199.9]</w:t>
            </w:r>
          </w:p>
        </w:tc>
        <w:tc>
          <w:tcPr>
            <w:tcW w:w="4064" w:type="dxa"/>
            <w:tcBorders/>
            <w:vAlign w:val="center"/>
          </w:tcPr>
          <w:p>
            <w:pPr>
              <w:pStyle w:val="TableContents"/>
              <w:bidi w:val="0"/>
              <w:jc w:val="right"/>
              <w:rPr/>
            </w:pPr>
            <w:r>
              <w:rPr/>
              <w:t>+16.1 s [+7.1, +25.3]</w:t>
            </w:r>
          </w:p>
        </w:tc>
      </w:tr>
      <w:tr>
        <w:trPr/>
        <w:tc>
          <w:tcPr>
            <w:tcW w:w="901" w:type="dxa"/>
            <w:tcBorders/>
            <w:vAlign w:val="center"/>
          </w:tcPr>
          <w:p>
            <w:pPr>
              <w:pStyle w:val="TableContents"/>
              <w:widowControl w:val="false"/>
              <w:suppressLineNumbers/>
              <w:bidi w:val="0"/>
              <w:jc w:val="left"/>
              <w:rPr/>
            </w:pPr>
            <w:r>
              <w:rPr/>
              <w:t>Feb</w:t>
            </w:r>
          </w:p>
        </w:tc>
        <w:tc>
          <w:tcPr>
            <w:tcW w:w="1666" w:type="dxa"/>
            <w:tcBorders/>
            <w:vAlign w:val="center"/>
          </w:tcPr>
          <w:p>
            <w:pPr>
              <w:pStyle w:val="TableContents"/>
              <w:bidi w:val="0"/>
              <w:jc w:val="right"/>
              <w:rPr/>
            </w:pPr>
            <w:r>
              <w:rPr/>
              <w:t>213.5 [213.5]</w:t>
            </w:r>
          </w:p>
        </w:tc>
        <w:tc>
          <w:tcPr>
            <w:tcW w:w="1937" w:type="dxa"/>
            <w:tcBorders/>
            <w:vAlign w:val="center"/>
          </w:tcPr>
          <w:p>
            <w:pPr>
              <w:pStyle w:val="TableContents"/>
              <w:bidi w:val="0"/>
              <w:jc w:val="right"/>
              <w:rPr/>
            </w:pPr>
            <w:r>
              <w:rPr/>
              <w:t>245.1 [240.7]</w:t>
            </w:r>
          </w:p>
        </w:tc>
        <w:tc>
          <w:tcPr>
            <w:tcW w:w="1971" w:type="dxa"/>
            <w:tcBorders/>
            <w:vAlign w:val="center"/>
          </w:tcPr>
          <w:p>
            <w:pPr>
              <w:pStyle w:val="TableContents"/>
              <w:bidi w:val="0"/>
              <w:jc w:val="right"/>
              <w:rPr/>
            </w:pPr>
            <w:r>
              <w:rPr/>
              <w:t>+31.6 s [+18.3, +46.4]</w:t>
            </w:r>
          </w:p>
        </w:tc>
        <w:tc>
          <w:tcPr>
            <w:tcW w:w="4064" w:type="dxa"/>
            <w:tcBorders/>
            <w:vAlign w:val="center"/>
          </w:tcPr>
          <w:p>
            <w:pPr>
              <w:pStyle w:val="TableContents"/>
              <w:bidi w:val="0"/>
              <w:jc w:val="right"/>
              <w:rPr/>
            </w:pPr>
            <w:r>
              <w:rPr/>
              <w:t>+27.2 s [+16.1, +38.9]</w:t>
            </w:r>
          </w:p>
        </w:tc>
      </w:tr>
      <w:tr>
        <w:trPr/>
        <w:tc>
          <w:tcPr>
            <w:tcW w:w="901" w:type="dxa"/>
            <w:tcBorders/>
            <w:vAlign w:val="center"/>
          </w:tcPr>
          <w:p>
            <w:pPr>
              <w:pStyle w:val="TableContents"/>
              <w:widowControl w:val="false"/>
              <w:suppressLineNumbers/>
              <w:bidi w:val="0"/>
              <w:jc w:val="left"/>
              <w:rPr/>
            </w:pPr>
            <w:r>
              <w:rPr/>
              <w:t>Mar</w:t>
            </w:r>
          </w:p>
        </w:tc>
        <w:tc>
          <w:tcPr>
            <w:tcW w:w="1666" w:type="dxa"/>
            <w:tcBorders/>
            <w:vAlign w:val="center"/>
          </w:tcPr>
          <w:p>
            <w:pPr>
              <w:pStyle w:val="TableContents"/>
              <w:bidi w:val="0"/>
              <w:jc w:val="right"/>
              <w:rPr/>
            </w:pPr>
            <w:r>
              <w:rPr/>
              <w:t>186.0 [186.0]</w:t>
            </w:r>
          </w:p>
        </w:tc>
        <w:tc>
          <w:tcPr>
            <w:tcW w:w="1937" w:type="dxa"/>
            <w:tcBorders/>
            <w:vAlign w:val="center"/>
          </w:tcPr>
          <w:p>
            <w:pPr>
              <w:pStyle w:val="TableContents"/>
              <w:bidi w:val="0"/>
              <w:jc w:val="right"/>
              <w:rPr/>
            </w:pPr>
            <w:r>
              <w:rPr/>
              <w:t>209.6 [205.8]</w:t>
            </w:r>
          </w:p>
        </w:tc>
        <w:tc>
          <w:tcPr>
            <w:tcW w:w="1971" w:type="dxa"/>
            <w:tcBorders/>
            <w:vAlign w:val="center"/>
          </w:tcPr>
          <w:p>
            <w:pPr>
              <w:pStyle w:val="TableContents"/>
              <w:bidi w:val="0"/>
              <w:jc w:val="right"/>
              <w:rPr/>
            </w:pPr>
            <w:r>
              <w:rPr/>
              <w:t>+23.6 s [+14.5, +34.2]</w:t>
            </w:r>
          </w:p>
        </w:tc>
        <w:tc>
          <w:tcPr>
            <w:tcW w:w="4064" w:type="dxa"/>
            <w:tcBorders/>
            <w:vAlign w:val="center"/>
          </w:tcPr>
          <w:p>
            <w:pPr>
              <w:pStyle w:val="TableContents"/>
              <w:bidi w:val="0"/>
              <w:jc w:val="right"/>
              <w:rPr/>
            </w:pPr>
            <w:r>
              <w:rPr/>
              <w:t>+19.7 s [+12.3, +26.8]</w:t>
            </w:r>
          </w:p>
        </w:tc>
      </w:tr>
      <w:tr>
        <w:trPr/>
        <w:tc>
          <w:tcPr>
            <w:tcW w:w="901" w:type="dxa"/>
            <w:tcBorders/>
            <w:vAlign w:val="center"/>
          </w:tcPr>
          <w:p>
            <w:pPr>
              <w:pStyle w:val="TableContents"/>
              <w:widowControl w:val="false"/>
              <w:suppressLineNumbers/>
              <w:bidi w:val="0"/>
              <w:jc w:val="left"/>
              <w:rPr/>
            </w:pPr>
            <w:r>
              <w:rPr/>
              <w:t>Apr</w:t>
            </w:r>
          </w:p>
        </w:tc>
        <w:tc>
          <w:tcPr>
            <w:tcW w:w="1666" w:type="dxa"/>
            <w:tcBorders/>
            <w:vAlign w:val="center"/>
          </w:tcPr>
          <w:p>
            <w:pPr>
              <w:pStyle w:val="TableContents"/>
              <w:bidi w:val="0"/>
              <w:jc w:val="right"/>
              <w:rPr/>
            </w:pPr>
            <w:r>
              <w:rPr/>
              <w:t>186.5 [186.5]</w:t>
            </w:r>
          </w:p>
        </w:tc>
        <w:tc>
          <w:tcPr>
            <w:tcW w:w="1937" w:type="dxa"/>
            <w:tcBorders/>
            <w:vAlign w:val="center"/>
          </w:tcPr>
          <w:p>
            <w:pPr>
              <w:pStyle w:val="TableContents"/>
              <w:bidi w:val="0"/>
              <w:jc w:val="right"/>
              <w:rPr/>
            </w:pPr>
            <w:r>
              <w:rPr/>
              <w:t>202.9 [202.9]</w:t>
            </w:r>
          </w:p>
        </w:tc>
        <w:tc>
          <w:tcPr>
            <w:tcW w:w="1971" w:type="dxa"/>
            <w:tcBorders/>
            <w:vAlign w:val="center"/>
          </w:tcPr>
          <w:p>
            <w:pPr>
              <w:pStyle w:val="TableContents"/>
              <w:bidi w:val="0"/>
              <w:jc w:val="right"/>
              <w:rPr/>
            </w:pPr>
            <w:r>
              <w:rPr/>
              <w:t>+16.4 s [+3.0, +27.2]</w:t>
            </w:r>
          </w:p>
        </w:tc>
        <w:tc>
          <w:tcPr>
            <w:tcW w:w="4064" w:type="dxa"/>
            <w:tcBorders/>
            <w:vAlign w:val="center"/>
          </w:tcPr>
          <w:p>
            <w:pPr>
              <w:pStyle w:val="TableContents"/>
              <w:bidi w:val="0"/>
              <w:jc w:val="right"/>
              <w:rPr/>
            </w:pPr>
            <w:r>
              <w:rPr/>
              <w:t>+16.4 s [+3.0, +27.2]</w:t>
            </w:r>
          </w:p>
        </w:tc>
      </w:tr>
      <w:tr>
        <w:trPr/>
        <w:tc>
          <w:tcPr>
            <w:tcW w:w="901" w:type="dxa"/>
            <w:tcBorders/>
            <w:vAlign w:val="center"/>
          </w:tcPr>
          <w:p>
            <w:pPr>
              <w:pStyle w:val="TableContents"/>
              <w:widowControl w:val="false"/>
              <w:suppressLineNumbers/>
              <w:bidi w:val="0"/>
              <w:jc w:val="left"/>
              <w:rPr/>
            </w:pPr>
            <w:r>
              <w:rPr/>
              <w:t>May</w:t>
            </w:r>
          </w:p>
        </w:tc>
        <w:tc>
          <w:tcPr>
            <w:tcW w:w="1666" w:type="dxa"/>
            <w:tcBorders/>
            <w:vAlign w:val="center"/>
          </w:tcPr>
          <w:p>
            <w:pPr>
              <w:pStyle w:val="TableContents"/>
              <w:bidi w:val="0"/>
              <w:jc w:val="right"/>
              <w:rPr/>
            </w:pPr>
            <w:r>
              <w:rPr/>
              <w:t>187.0 [187.0]</w:t>
            </w:r>
          </w:p>
        </w:tc>
        <w:tc>
          <w:tcPr>
            <w:tcW w:w="1937" w:type="dxa"/>
            <w:tcBorders/>
            <w:vAlign w:val="center"/>
          </w:tcPr>
          <w:p>
            <w:pPr>
              <w:pStyle w:val="TableContents"/>
              <w:bidi w:val="0"/>
              <w:jc w:val="right"/>
              <w:rPr/>
            </w:pPr>
            <w:r>
              <w:rPr/>
              <w:t>275.2 [210.1]</w:t>
            </w:r>
          </w:p>
        </w:tc>
        <w:tc>
          <w:tcPr>
            <w:tcW w:w="1971" w:type="dxa"/>
            <w:tcBorders/>
            <w:vAlign w:val="center"/>
          </w:tcPr>
          <w:p>
            <w:pPr>
              <w:pStyle w:val="TableContents"/>
              <w:bidi w:val="0"/>
              <w:jc w:val="right"/>
              <w:rPr/>
            </w:pPr>
            <w:r>
              <w:rPr/>
              <w:t>+88.3 s [+16.6, +168.8]</w:t>
            </w:r>
          </w:p>
        </w:tc>
        <w:tc>
          <w:tcPr>
            <w:tcW w:w="4064" w:type="dxa"/>
            <w:tcBorders/>
            <w:vAlign w:val="center"/>
          </w:tcPr>
          <w:p>
            <w:pPr>
              <w:pStyle w:val="TableContents"/>
              <w:bidi w:val="0"/>
              <w:jc w:val="right"/>
              <w:rPr/>
            </w:pPr>
            <w:r>
              <w:rPr/>
              <w:t>+23.1 s [+15.3, +29.5]</w:t>
            </w:r>
          </w:p>
        </w:tc>
      </w:tr>
      <w:tr>
        <w:trPr/>
        <w:tc>
          <w:tcPr>
            <w:tcW w:w="901" w:type="dxa"/>
            <w:tcBorders/>
            <w:vAlign w:val="center"/>
          </w:tcPr>
          <w:p>
            <w:pPr>
              <w:pStyle w:val="TableContents"/>
              <w:widowControl w:val="false"/>
              <w:suppressLineNumbers/>
              <w:bidi w:val="0"/>
              <w:jc w:val="left"/>
              <w:rPr/>
            </w:pPr>
            <w:r>
              <w:rPr/>
              <w:t>Jun</w:t>
            </w:r>
          </w:p>
        </w:tc>
        <w:tc>
          <w:tcPr>
            <w:tcW w:w="1666" w:type="dxa"/>
            <w:tcBorders/>
            <w:vAlign w:val="center"/>
          </w:tcPr>
          <w:p>
            <w:pPr>
              <w:pStyle w:val="TableContents"/>
              <w:bidi w:val="0"/>
              <w:jc w:val="right"/>
              <w:rPr/>
            </w:pPr>
            <w:r>
              <w:rPr/>
              <w:t>224.3 [224.3]</w:t>
            </w:r>
          </w:p>
        </w:tc>
        <w:tc>
          <w:tcPr>
            <w:tcW w:w="1937" w:type="dxa"/>
            <w:tcBorders/>
            <w:vAlign w:val="center"/>
          </w:tcPr>
          <w:p>
            <w:pPr>
              <w:pStyle w:val="TableContents"/>
              <w:bidi w:val="0"/>
              <w:jc w:val="right"/>
              <w:rPr/>
            </w:pPr>
            <w:r>
              <w:rPr/>
              <w:t>231.1 [231.1]</w:t>
            </w:r>
          </w:p>
        </w:tc>
        <w:tc>
          <w:tcPr>
            <w:tcW w:w="1971" w:type="dxa"/>
            <w:tcBorders/>
            <w:vAlign w:val="center"/>
          </w:tcPr>
          <w:p>
            <w:pPr>
              <w:pStyle w:val="TableContents"/>
              <w:bidi w:val="0"/>
              <w:jc w:val="right"/>
              <w:rPr/>
            </w:pPr>
            <w:r>
              <w:rPr/>
              <w:t>+6.8 s [-8.1, +19.5]</w:t>
            </w:r>
          </w:p>
        </w:tc>
        <w:tc>
          <w:tcPr>
            <w:tcW w:w="4064" w:type="dxa"/>
            <w:tcBorders/>
            <w:vAlign w:val="center"/>
          </w:tcPr>
          <w:p>
            <w:pPr>
              <w:pStyle w:val="TableContents"/>
              <w:bidi w:val="0"/>
              <w:jc w:val="right"/>
              <w:rPr/>
            </w:pPr>
            <w:r>
              <w:rPr/>
              <w:t>+6.8 s [-8.1, +19.5]</w:t>
            </w:r>
          </w:p>
        </w:tc>
      </w:tr>
      <w:tr>
        <w:trPr/>
        <w:tc>
          <w:tcPr>
            <w:tcW w:w="901" w:type="dxa"/>
            <w:tcBorders/>
            <w:vAlign w:val="center"/>
          </w:tcPr>
          <w:p>
            <w:pPr>
              <w:pStyle w:val="TableContents"/>
              <w:widowControl w:val="false"/>
              <w:suppressLineNumbers/>
              <w:bidi w:val="0"/>
              <w:jc w:val="left"/>
              <w:rPr/>
            </w:pPr>
            <w:r>
              <w:rPr/>
              <w:t>Jul</w:t>
            </w:r>
          </w:p>
        </w:tc>
        <w:tc>
          <w:tcPr>
            <w:tcW w:w="1666" w:type="dxa"/>
            <w:tcBorders/>
            <w:vAlign w:val="center"/>
          </w:tcPr>
          <w:p>
            <w:pPr>
              <w:pStyle w:val="TableContents"/>
              <w:bidi w:val="0"/>
              <w:jc w:val="right"/>
              <w:rPr/>
            </w:pPr>
            <w:r>
              <w:rPr/>
              <w:t>237.9 [237.9]</w:t>
            </w:r>
          </w:p>
        </w:tc>
        <w:tc>
          <w:tcPr>
            <w:tcW w:w="1937" w:type="dxa"/>
            <w:tcBorders/>
            <w:vAlign w:val="center"/>
          </w:tcPr>
          <w:p>
            <w:pPr>
              <w:pStyle w:val="TableContents"/>
              <w:bidi w:val="0"/>
              <w:jc w:val="right"/>
              <w:rPr/>
            </w:pPr>
            <w:r>
              <w:rPr/>
              <w:t>309.4 [259.8]</w:t>
            </w:r>
          </w:p>
        </w:tc>
        <w:tc>
          <w:tcPr>
            <w:tcW w:w="1971" w:type="dxa"/>
            <w:tcBorders/>
            <w:vAlign w:val="center"/>
          </w:tcPr>
          <w:p>
            <w:pPr>
              <w:pStyle w:val="TableContents"/>
              <w:bidi w:val="0"/>
              <w:jc w:val="right"/>
              <w:rPr/>
            </w:pPr>
            <w:r>
              <w:rPr/>
              <w:t>+71.5 s [+13.5, +143.8]</w:t>
            </w:r>
          </w:p>
        </w:tc>
        <w:tc>
          <w:tcPr>
            <w:tcW w:w="4064" w:type="dxa"/>
            <w:tcBorders/>
            <w:vAlign w:val="center"/>
          </w:tcPr>
          <w:p>
            <w:pPr>
              <w:pStyle w:val="TableContents"/>
              <w:bidi w:val="0"/>
              <w:jc w:val="right"/>
              <w:rPr/>
            </w:pPr>
            <w:r>
              <w:rPr/>
              <w:t>+21.8 s [+10.3, +32.9]</w:t>
            </w:r>
          </w:p>
        </w:tc>
      </w:tr>
      <w:tr>
        <w:trPr/>
        <w:tc>
          <w:tcPr>
            <w:tcW w:w="901" w:type="dxa"/>
            <w:tcBorders/>
            <w:vAlign w:val="center"/>
          </w:tcPr>
          <w:p>
            <w:pPr>
              <w:pStyle w:val="TableContents"/>
              <w:widowControl w:val="false"/>
              <w:suppressLineNumbers/>
              <w:bidi w:val="0"/>
              <w:jc w:val="left"/>
              <w:rPr/>
            </w:pPr>
            <w:r>
              <w:rPr/>
              <w:t>Aug</w:t>
            </w:r>
          </w:p>
        </w:tc>
        <w:tc>
          <w:tcPr>
            <w:tcW w:w="1666" w:type="dxa"/>
            <w:tcBorders/>
            <w:vAlign w:val="center"/>
          </w:tcPr>
          <w:p>
            <w:pPr>
              <w:pStyle w:val="TableContents"/>
              <w:bidi w:val="0"/>
              <w:jc w:val="right"/>
              <w:rPr/>
            </w:pPr>
            <w:r>
              <w:rPr/>
              <w:t>239.8 [239.8]</w:t>
            </w:r>
          </w:p>
        </w:tc>
        <w:tc>
          <w:tcPr>
            <w:tcW w:w="1937" w:type="dxa"/>
            <w:tcBorders/>
            <w:vAlign w:val="center"/>
          </w:tcPr>
          <w:p>
            <w:pPr>
              <w:pStyle w:val="TableContents"/>
              <w:bidi w:val="0"/>
              <w:jc w:val="right"/>
              <w:rPr/>
            </w:pPr>
            <w:r>
              <w:rPr/>
              <w:t>231.1 [231.1]</w:t>
            </w:r>
          </w:p>
        </w:tc>
        <w:tc>
          <w:tcPr>
            <w:tcW w:w="1971" w:type="dxa"/>
            <w:tcBorders/>
            <w:vAlign w:val="center"/>
          </w:tcPr>
          <w:p>
            <w:pPr>
              <w:pStyle w:val="TableContents"/>
              <w:bidi w:val="0"/>
              <w:jc w:val="right"/>
              <w:rPr/>
            </w:pPr>
            <w:r>
              <w:rPr/>
              <w:t>-8.7 s [-27.9, +10.4]</w:t>
            </w:r>
          </w:p>
        </w:tc>
        <w:tc>
          <w:tcPr>
            <w:tcW w:w="4064" w:type="dxa"/>
            <w:tcBorders/>
            <w:vAlign w:val="center"/>
          </w:tcPr>
          <w:p>
            <w:pPr>
              <w:pStyle w:val="TableContents"/>
              <w:bidi w:val="0"/>
              <w:jc w:val="right"/>
              <w:rPr/>
            </w:pPr>
            <w:r>
              <w:rPr/>
              <w:t>-8.7 s [-27.9, +10.4]</w:t>
            </w:r>
          </w:p>
        </w:tc>
      </w:tr>
      <w:tr>
        <w:trPr/>
        <w:tc>
          <w:tcPr>
            <w:tcW w:w="901" w:type="dxa"/>
            <w:tcBorders/>
            <w:vAlign w:val="center"/>
          </w:tcPr>
          <w:p>
            <w:pPr>
              <w:pStyle w:val="TableContents"/>
              <w:widowControl w:val="false"/>
              <w:suppressLineNumbers/>
              <w:bidi w:val="0"/>
              <w:jc w:val="left"/>
              <w:rPr/>
            </w:pPr>
            <w:r>
              <w:rPr/>
              <w:t>Sep</w:t>
            </w:r>
          </w:p>
        </w:tc>
        <w:tc>
          <w:tcPr>
            <w:tcW w:w="1666" w:type="dxa"/>
            <w:tcBorders/>
            <w:vAlign w:val="center"/>
          </w:tcPr>
          <w:p>
            <w:pPr>
              <w:pStyle w:val="TableContents"/>
              <w:bidi w:val="0"/>
              <w:jc w:val="right"/>
              <w:rPr/>
            </w:pPr>
            <w:r>
              <w:rPr/>
              <w:t>216.6 [216.6]</w:t>
            </w:r>
          </w:p>
        </w:tc>
        <w:tc>
          <w:tcPr>
            <w:tcW w:w="1937" w:type="dxa"/>
            <w:tcBorders/>
            <w:vAlign w:val="center"/>
          </w:tcPr>
          <w:p>
            <w:pPr>
              <w:pStyle w:val="TableContents"/>
              <w:bidi w:val="0"/>
              <w:jc w:val="right"/>
              <w:rPr/>
            </w:pPr>
            <w:r>
              <w:rPr/>
              <w:t>225.9 [225.9]</w:t>
            </w:r>
          </w:p>
        </w:tc>
        <w:tc>
          <w:tcPr>
            <w:tcW w:w="1971" w:type="dxa"/>
            <w:tcBorders/>
            <w:vAlign w:val="center"/>
          </w:tcPr>
          <w:p>
            <w:pPr>
              <w:pStyle w:val="TableContents"/>
              <w:bidi w:val="0"/>
              <w:jc w:val="right"/>
              <w:rPr/>
            </w:pPr>
            <w:r>
              <w:rPr/>
              <w:t>+9.3 s [-1.3, +19.5]</w:t>
            </w:r>
          </w:p>
        </w:tc>
        <w:tc>
          <w:tcPr>
            <w:tcW w:w="4064" w:type="dxa"/>
            <w:tcBorders/>
            <w:vAlign w:val="center"/>
          </w:tcPr>
          <w:p>
            <w:pPr>
              <w:pStyle w:val="TableContents"/>
              <w:bidi w:val="0"/>
              <w:jc w:val="right"/>
              <w:rPr/>
            </w:pPr>
            <w:r>
              <w:rPr/>
              <w:t>+9.3 s [-1.3, +19.5]</w:t>
            </w:r>
          </w:p>
        </w:tc>
      </w:tr>
      <w:tr>
        <w:trPr/>
        <w:tc>
          <w:tcPr>
            <w:tcW w:w="901" w:type="dxa"/>
            <w:tcBorders/>
            <w:vAlign w:val="center"/>
          </w:tcPr>
          <w:p>
            <w:pPr>
              <w:pStyle w:val="TableContents"/>
              <w:widowControl w:val="false"/>
              <w:suppressLineNumbers/>
              <w:bidi w:val="0"/>
              <w:jc w:val="left"/>
              <w:rPr/>
            </w:pPr>
            <w:r>
              <w:rPr/>
              <w:t>Oct</w:t>
            </w:r>
          </w:p>
        </w:tc>
        <w:tc>
          <w:tcPr>
            <w:tcW w:w="1666" w:type="dxa"/>
            <w:tcBorders/>
            <w:vAlign w:val="center"/>
          </w:tcPr>
          <w:p>
            <w:pPr>
              <w:pStyle w:val="TableContents"/>
              <w:bidi w:val="0"/>
              <w:jc w:val="right"/>
              <w:rPr/>
            </w:pPr>
            <w:r>
              <w:rPr/>
              <w:t>234.9 [234.9]</w:t>
            </w:r>
          </w:p>
        </w:tc>
        <w:tc>
          <w:tcPr>
            <w:tcW w:w="1937" w:type="dxa"/>
            <w:tcBorders/>
            <w:vAlign w:val="center"/>
          </w:tcPr>
          <w:p>
            <w:pPr>
              <w:pStyle w:val="TableContents"/>
              <w:bidi w:val="0"/>
              <w:jc w:val="right"/>
              <w:rPr/>
            </w:pPr>
            <w:r>
              <w:rPr/>
              <w:t>223.8 [223.8]</w:t>
            </w:r>
          </w:p>
        </w:tc>
        <w:tc>
          <w:tcPr>
            <w:tcW w:w="1971" w:type="dxa"/>
            <w:tcBorders/>
            <w:vAlign w:val="center"/>
          </w:tcPr>
          <w:p>
            <w:pPr>
              <w:pStyle w:val="TableContents"/>
              <w:bidi w:val="0"/>
              <w:jc w:val="right"/>
              <w:rPr/>
            </w:pPr>
            <w:r>
              <w:rPr/>
              <w:t>-11.1 s [-36.1, +12.3]</w:t>
            </w:r>
          </w:p>
        </w:tc>
        <w:tc>
          <w:tcPr>
            <w:tcW w:w="4064" w:type="dxa"/>
            <w:tcBorders/>
            <w:vAlign w:val="center"/>
          </w:tcPr>
          <w:p>
            <w:pPr>
              <w:pStyle w:val="TableContents"/>
              <w:bidi w:val="0"/>
              <w:jc w:val="right"/>
              <w:rPr/>
            </w:pPr>
            <w:r>
              <w:rPr/>
              <w:t>-11.1 s [-36.1, +12.3]</w:t>
            </w:r>
          </w:p>
        </w:tc>
      </w:tr>
      <w:tr>
        <w:trPr/>
        <w:tc>
          <w:tcPr>
            <w:tcW w:w="901" w:type="dxa"/>
            <w:tcBorders/>
            <w:vAlign w:val="center"/>
          </w:tcPr>
          <w:p>
            <w:pPr>
              <w:pStyle w:val="TableContents"/>
              <w:widowControl w:val="false"/>
              <w:suppressLineNumbers/>
              <w:bidi w:val="0"/>
              <w:jc w:val="left"/>
              <w:rPr/>
            </w:pPr>
            <w:r>
              <w:rPr/>
              <w:t>Nov</w:t>
            </w:r>
          </w:p>
        </w:tc>
        <w:tc>
          <w:tcPr>
            <w:tcW w:w="1666" w:type="dxa"/>
            <w:tcBorders/>
            <w:vAlign w:val="center"/>
          </w:tcPr>
          <w:p>
            <w:pPr>
              <w:pStyle w:val="TableContents"/>
              <w:bidi w:val="0"/>
              <w:jc w:val="right"/>
              <w:rPr/>
            </w:pPr>
            <w:r>
              <w:rPr/>
              <w:t>212.9 [212.9]</w:t>
            </w:r>
          </w:p>
        </w:tc>
        <w:tc>
          <w:tcPr>
            <w:tcW w:w="1937" w:type="dxa"/>
            <w:tcBorders/>
            <w:vAlign w:val="center"/>
          </w:tcPr>
          <w:p>
            <w:pPr>
              <w:pStyle w:val="TableContents"/>
              <w:bidi w:val="0"/>
              <w:jc w:val="right"/>
              <w:rPr/>
            </w:pPr>
            <w:r>
              <w:rPr/>
              <w:t>220.1 [220.1]</w:t>
            </w:r>
          </w:p>
        </w:tc>
        <w:tc>
          <w:tcPr>
            <w:tcW w:w="1971" w:type="dxa"/>
            <w:tcBorders/>
            <w:vAlign w:val="center"/>
          </w:tcPr>
          <w:p>
            <w:pPr>
              <w:pStyle w:val="TableContents"/>
              <w:bidi w:val="0"/>
              <w:jc w:val="right"/>
              <w:rPr/>
            </w:pPr>
            <w:r>
              <w:rPr/>
              <w:t>+7.2 s [-4.2, +17.7]</w:t>
            </w:r>
          </w:p>
        </w:tc>
        <w:tc>
          <w:tcPr>
            <w:tcW w:w="4064" w:type="dxa"/>
            <w:tcBorders/>
            <w:vAlign w:val="center"/>
          </w:tcPr>
          <w:p>
            <w:pPr>
              <w:pStyle w:val="TableContents"/>
              <w:bidi w:val="0"/>
              <w:jc w:val="right"/>
              <w:rPr/>
            </w:pPr>
            <w:r>
              <w:rPr/>
              <w:t>+7.2 s [-4.2, +17.7]</w:t>
            </w:r>
          </w:p>
        </w:tc>
      </w:tr>
      <w:tr>
        <w:trPr/>
        <w:tc>
          <w:tcPr>
            <w:tcW w:w="901" w:type="dxa"/>
            <w:tcBorders/>
            <w:vAlign w:val="center"/>
          </w:tcPr>
          <w:p>
            <w:pPr>
              <w:pStyle w:val="TableContents"/>
              <w:widowControl w:val="false"/>
              <w:suppressLineNumbers/>
              <w:bidi w:val="0"/>
              <w:jc w:val="left"/>
              <w:rPr/>
            </w:pPr>
            <w:r>
              <w:rPr/>
              <w:t>Dec</w:t>
            </w:r>
          </w:p>
        </w:tc>
        <w:tc>
          <w:tcPr>
            <w:tcW w:w="1666" w:type="dxa"/>
            <w:tcBorders/>
            <w:vAlign w:val="center"/>
          </w:tcPr>
          <w:p>
            <w:pPr>
              <w:pStyle w:val="TableContents"/>
              <w:bidi w:val="0"/>
              <w:jc w:val="right"/>
              <w:rPr/>
            </w:pPr>
            <w:r>
              <w:rPr/>
              <w:t>208.2 [208.2]</w:t>
            </w:r>
          </w:p>
        </w:tc>
        <w:tc>
          <w:tcPr>
            <w:tcW w:w="1937" w:type="dxa"/>
            <w:tcBorders/>
            <w:vAlign w:val="center"/>
          </w:tcPr>
          <w:p>
            <w:pPr>
              <w:pStyle w:val="TableContents"/>
              <w:bidi w:val="0"/>
              <w:jc w:val="right"/>
              <w:rPr/>
            </w:pPr>
            <w:r>
              <w:rPr/>
              <w:t>223.3 [223.3]</w:t>
            </w:r>
          </w:p>
        </w:tc>
        <w:tc>
          <w:tcPr>
            <w:tcW w:w="1971" w:type="dxa"/>
            <w:tcBorders/>
            <w:vAlign w:val="center"/>
          </w:tcPr>
          <w:p>
            <w:pPr>
              <w:pStyle w:val="TableContents"/>
              <w:bidi w:val="0"/>
              <w:jc w:val="right"/>
              <w:rPr/>
            </w:pPr>
            <w:r>
              <w:rPr/>
              <w:t>+15.0 s [+6.5, +23.4]</w:t>
            </w:r>
          </w:p>
        </w:tc>
        <w:tc>
          <w:tcPr>
            <w:tcW w:w="4064" w:type="dxa"/>
            <w:tcBorders/>
            <w:vAlign w:val="center"/>
          </w:tcPr>
          <w:p>
            <w:pPr>
              <w:pStyle w:val="TableContents"/>
              <w:bidi w:val="0"/>
              <w:jc w:val="right"/>
              <w:rPr/>
            </w:pPr>
            <w:r>
              <w:rPr/>
              <w:t>+15.0 s [+6.5, +23.4]</w:t>
            </w:r>
          </w:p>
        </w:tc>
      </w:tr>
      <w:tr>
        <w:trPr/>
        <w:tc>
          <w:tcPr>
            <w:tcW w:w="901" w:type="dxa"/>
            <w:tcBorders/>
            <w:vAlign w:val="center"/>
          </w:tcPr>
          <w:p>
            <w:pPr>
              <w:pStyle w:val="TableContents"/>
              <w:widowControl w:val="false"/>
              <w:suppressLineNumbers/>
              <w:bidi w:val="0"/>
              <w:jc w:val="left"/>
              <w:rPr/>
            </w:pPr>
            <w:r>
              <w:rPr>
                <w:rStyle w:val="Strong"/>
              </w:rPr>
              <w:t>the year</w:t>
            </w:r>
          </w:p>
        </w:tc>
        <w:tc>
          <w:tcPr>
            <w:tcW w:w="1666" w:type="dxa"/>
            <w:tcBorders/>
            <w:vAlign w:val="center"/>
          </w:tcPr>
          <w:p>
            <w:pPr>
              <w:pStyle w:val="TableContents"/>
              <w:bidi w:val="0"/>
              <w:jc w:val="right"/>
              <w:rPr/>
            </w:pPr>
            <w:r>
              <w:rPr/>
              <w:t>215.5 [215.5]</w:t>
            </w:r>
          </w:p>
        </w:tc>
        <w:tc>
          <w:tcPr>
            <w:tcW w:w="1937" w:type="dxa"/>
            <w:tcBorders/>
            <w:vAlign w:val="center"/>
          </w:tcPr>
          <w:p>
            <w:pPr>
              <w:pStyle w:val="TableContents"/>
              <w:bidi w:val="0"/>
              <w:jc w:val="right"/>
              <w:rPr/>
            </w:pPr>
            <w:r>
              <w:rPr/>
              <w:t>250.7 [226.6]</w:t>
            </w:r>
          </w:p>
        </w:tc>
        <w:tc>
          <w:tcPr>
            <w:tcW w:w="1971" w:type="dxa"/>
            <w:tcBorders/>
            <w:vAlign w:val="center"/>
          </w:tcPr>
          <w:p>
            <w:pPr>
              <w:pStyle w:val="TableContents"/>
              <w:bidi w:val="0"/>
              <w:jc w:val="right"/>
              <w:rPr/>
            </w:pPr>
            <w:r>
              <w:rPr/>
              <w:t>+35.1 s [+13.8, +57.0]</w:t>
            </w:r>
          </w:p>
        </w:tc>
        <w:tc>
          <w:tcPr>
            <w:tcW w:w="4064" w:type="dxa"/>
            <w:tcBorders/>
            <w:vAlign w:val="center"/>
          </w:tcPr>
          <w:p>
            <w:pPr>
              <w:pStyle w:val="TableContents"/>
              <w:bidi w:val="0"/>
              <w:jc w:val="right"/>
              <w:rPr/>
            </w:pPr>
            <w:r>
              <w:rPr/>
              <w:t>+11.0 s [+5.9, +16.3]</w:t>
            </w:r>
          </w:p>
        </w:tc>
      </w:tr>
    </w:tbl>
    <w:p>
      <w:pPr>
        <w:pStyle w:val="BodyText"/>
        <w:bidi w:val="0"/>
        <w:jc w:val="left"/>
        <w:rPr/>
      </w:pPr>
      <w:r>
        <w:rPr/>
        <w:t xml:space="preserve">Sources: </w:t>
      </w:r>
      <w:r>
        <w:rPr>
          <w:rStyle w:val="SourceText"/>
        </w:rPr>
        <w:t>reports/monthly_pairs.md</w:t>
      </w:r>
      <w:r>
        <w:rPr/>
        <w:t xml:space="preserve">, </w:t>
      </w:r>
      <w:r>
        <w:rPr>
          <w:rStyle w:val="Emphasis"/>
        </w:rPr>
        <w:t>Per airport and month</w:t>
      </w:r>
      <w:r>
        <w:rPr/>
        <w:t xml:space="preserve"> and </w:t>
      </w:r>
      <w:r>
        <w:rPr>
          <w:rStyle w:val="Emphasis"/>
        </w:rPr>
        <w:t>The shipped rung's gap</w:t>
      </w:r>
      <w:r>
        <w:rPr/>
        <w:t>.</w:t>
      </w:r>
    </w:p>
    <w:p>
      <w:pPr>
        <w:pStyle w:val="Heading2"/>
        <w:bidi w:val="0"/>
        <w:jc w:val="left"/>
        <w:rPr/>
      </w:pPr>
      <w:r>
        <w:rPr/>
        <w:t>Annex E: the year's weather against its ten-year norm</w:t>
      </w:r>
    </w:p>
    <w:p>
      <w:pPr>
        <w:pStyle w:val="BodyText"/>
        <w:bidi w:val="0"/>
        <w:jc w:val="left"/>
        <w:rPr/>
      </w:pPr>
      <w:r>
        <w:rPr/>
        <w:t xml:space="preserve">Context only: not a weight, not a feature, and in no figure of the model. For each airport and calendar month, the share of hours in each of the model's three regimes in 2025 (freezing, low visibility, precipitation, as </w:t>
      </w:r>
      <w:r>
        <w:rPr>
          <w:rStyle w:val="SourceText"/>
        </w:rPr>
        <w:t>taxiout.metar</w:t>
      </w:r>
      <w:r>
        <w:rPr/>
        <w:t xml:space="preserve"> flags them) was set against the mean and the range of the same share over 2015 to 2024 from the Iowa Environmental Mesonet archive; Istanbul's station reports from 2018 only. The months of 2025 that fall outside their ten-year range, per airport:</w:t>
      </w:r>
    </w:p>
    <w:tbl>
      <w:tblPr>
        <w:tblW w:w="10539" w:type="dxa"/>
        <w:jc w:val="left"/>
        <w:tblInd w:w="28" w:type="dxa"/>
        <w:tblLayout w:type="fixed"/>
        <w:tblCellMar>
          <w:top w:w="28" w:type="dxa"/>
          <w:left w:w="28" w:type="dxa"/>
          <w:bottom w:w="28" w:type="dxa"/>
          <w:right w:w="28" w:type="dxa"/>
        </w:tblCellMar>
      </w:tblPr>
      <w:tblGrid>
        <w:gridCol w:w="1107"/>
        <w:gridCol w:w="9432"/>
      </w:tblGrid>
      <w:tr>
        <w:trPr>
          <w:tblHeader w:val="true"/>
        </w:trPr>
        <w:tc>
          <w:tcPr>
            <w:tcW w:w="1107" w:type="dxa"/>
            <w:tcBorders/>
            <w:vAlign w:val="center"/>
          </w:tcPr>
          <w:p>
            <w:pPr>
              <w:pStyle w:val="TableHeading"/>
              <w:suppressLineNumbers/>
              <w:bidi w:val="0"/>
              <w:jc w:val="center"/>
              <w:rPr/>
            </w:pPr>
            <w:r>
              <w:rPr/>
              <w:t>airport</w:t>
            </w:r>
          </w:p>
        </w:tc>
        <w:tc>
          <w:tcPr>
            <w:tcW w:w="9432" w:type="dxa"/>
            <w:tcBorders/>
            <w:vAlign w:val="center"/>
          </w:tcPr>
          <w:p>
            <w:pPr>
              <w:pStyle w:val="TableHeading"/>
              <w:suppressLineNumbers/>
              <w:bidi w:val="0"/>
              <w:jc w:val="center"/>
              <w:rPr/>
            </w:pPr>
            <w:r>
              <w:rPr/>
              <w:t>2025 months outside the 2015 to 2024 range</w:t>
            </w:r>
          </w:p>
        </w:tc>
      </w:tr>
      <w:tr>
        <w:trPr/>
        <w:tc>
          <w:tcPr>
            <w:tcW w:w="1107" w:type="dxa"/>
            <w:tcBorders/>
            <w:vAlign w:val="center"/>
          </w:tcPr>
          <w:p>
            <w:pPr>
              <w:pStyle w:val="TableContents"/>
              <w:widowControl w:val="false"/>
              <w:suppressLineNumbers/>
              <w:bidi w:val="0"/>
              <w:jc w:val="left"/>
              <w:rPr/>
            </w:pPr>
            <w:r>
              <w:rPr/>
              <w:t>Frankfurt</w:t>
            </w:r>
          </w:p>
        </w:tc>
        <w:tc>
          <w:tcPr>
            <w:tcW w:w="9432" w:type="dxa"/>
            <w:tcBorders/>
            <w:vAlign w:val="center"/>
          </w:tcPr>
          <w:p>
            <w:pPr>
              <w:pStyle w:val="TableContents"/>
              <w:widowControl w:val="false"/>
              <w:suppressLineNumbers/>
              <w:bidi w:val="0"/>
              <w:jc w:val="left"/>
              <w:rPr/>
            </w:pPr>
            <w:r>
              <w:rPr/>
              <w:t>April (freezing below); July (precipitation above); September (precipitation above); November (freezing above); December (precipitation below)</w:t>
            </w:r>
          </w:p>
        </w:tc>
      </w:tr>
      <w:tr>
        <w:trPr/>
        <w:tc>
          <w:tcPr>
            <w:tcW w:w="1107" w:type="dxa"/>
            <w:tcBorders/>
            <w:vAlign w:val="center"/>
          </w:tcPr>
          <w:p>
            <w:pPr>
              <w:pStyle w:val="TableContents"/>
              <w:widowControl w:val="false"/>
              <w:suppressLineNumbers/>
              <w:bidi w:val="0"/>
              <w:jc w:val="left"/>
              <w:rPr/>
            </w:pPr>
            <w:r>
              <w:rPr/>
              <w:t>Munich</w:t>
            </w:r>
          </w:p>
        </w:tc>
        <w:tc>
          <w:tcPr>
            <w:tcW w:w="9432" w:type="dxa"/>
            <w:tcBorders/>
            <w:vAlign w:val="center"/>
          </w:tcPr>
          <w:p>
            <w:pPr>
              <w:pStyle w:val="TableContents"/>
              <w:widowControl w:val="false"/>
              <w:suppressLineNumbers/>
              <w:bidi w:val="0"/>
              <w:jc w:val="left"/>
              <w:rPr/>
            </w:pPr>
            <w:r>
              <w:rPr/>
              <w:t>February (precipitation below); July (precipitation above); December (precipitation below)</w:t>
            </w:r>
          </w:p>
        </w:tc>
      </w:tr>
      <w:tr>
        <w:trPr/>
        <w:tc>
          <w:tcPr>
            <w:tcW w:w="1107" w:type="dxa"/>
            <w:tcBorders/>
            <w:vAlign w:val="center"/>
          </w:tcPr>
          <w:p>
            <w:pPr>
              <w:pStyle w:val="TableContents"/>
              <w:widowControl w:val="false"/>
              <w:suppressLineNumbers/>
              <w:bidi w:val="0"/>
              <w:jc w:val="left"/>
              <w:rPr/>
            </w:pPr>
            <w:r>
              <w:rPr/>
              <w:t>Heathrow</w:t>
            </w:r>
          </w:p>
        </w:tc>
        <w:tc>
          <w:tcPr>
            <w:tcW w:w="9432" w:type="dxa"/>
            <w:tcBorders/>
            <w:vAlign w:val="center"/>
          </w:tcPr>
          <w:p>
            <w:pPr>
              <w:pStyle w:val="TableContents"/>
              <w:widowControl w:val="false"/>
              <w:suppressLineNumbers/>
              <w:bidi w:val="0"/>
              <w:jc w:val="left"/>
              <w:rPr/>
            </w:pPr>
            <w:r>
              <w:rPr/>
              <w:t>March (precipitation below)</w:t>
            </w:r>
          </w:p>
        </w:tc>
      </w:tr>
      <w:tr>
        <w:trPr/>
        <w:tc>
          <w:tcPr>
            <w:tcW w:w="1107" w:type="dxa"/>
            <w:tcBorders/>
            <w:vAlign w:val="center"/>
          </w:tcPr>
          <w:p>
            <w:pPr>
              <w:pStyle w:val="TableContents"/>
              <w:widowControl w:val="false"/>
              <w:suppressLineNumbers/>
              <w:bidi w:val="0"/>
              <w:jc w:val="left"/>
              <w:rPr/>
            </w:pPr>
            <w:r>
              <w:rPr/>
              <w:t>Schiphol</w:t>
            </w:r>
          </w:p>
        </w:tc>
        <w:tc>
          <w:tcPr>
            <w:tcW w:w="9432" w:type="dxa"/>
            <w:tcBorders/>
            <w:vAlign w:val="center"/>
          </w:tcPr>
          <w:p>
            <w:pPr>
              <w:pStyle w:val="TableContents"/>
              <w:widowControl w:val="false"/>
              <w:suppressLineNumbers/>
              <w:bidi w:val="0"/>
              <w:jc w:val="left"/>
              <w:rPr/>
            </w:pPr>
            <w:r>
              <w:rPr/>
              <w:t>January (low visibility above); March (precipitation below); October (precipitation above)</w:t>
            </w:r>
          </w:p>
        </w:tc>
      </w:tr>
      <w:tr>
        <w:trPr/>
        <w:tc>
          <w:tcPr>
            <w:tcW w:w="1107" w:type="dxa"/>
            <w:tcBorders/>
            <w:vAlign w:val="center"/>
          </w:tcPr>
          <w:p>
            <w:pPr>
              <w:pStyle w:val="TableContents"/>
              <w:widowControl w:val="false"/>
              <w:suppressLineNumbers/>
              <w:bidi w:val="0"/>
              <w:jc w:val="left"/>
              <w:rPr/>
            </w:pPr>
            <w:r>
              <w:rPr/>
              <w:t>Barcelona</w:t>
            </w:r>
          </w:p>
        </w:tc>
        <w:tc>
          <w:tcPr>
            <w:tcW w:w="9432" w:type="dxa"/>
            <w:tcBorders/>
            <w:vAlign w:val="center"/>
          </w:tcPr>
          <w:p>
            <w:pPr>
              <w:pStyle w:val="TableContents"/>
              <w:widowControl w:val="false"/>
              <w:suppressLineNumbers/>
              <w:bidi w:val="0"/>
              <w:jc w:val="left"/>
              <w:rPr/>
            </w:pPr>
            <w:r>
              <w:rPr/>
              <w:t>March (low visibility above, precipitation above); May (freezing above, low visibility above); June (precipitation below); July (precipitation above); December (precipitation above)</w:t>
            </w:r>
          </w:p>
        </w:tc>
      </w:tr>
      <w:tr>
        <w:trPr/>
        <w:tc>
          <w:tcPr>
            <w:tcW w:w="1107" w:type="dxa"/>
            <w:tcBorders/>
            <w:vAlign w:val="center"/>
          </w:tcPr>
          <w:p>
            <w:pPr>
              <w:pStyle w:val="TableContents"/>
              <w:widowControl w:val="false"/>
              <w:suppressLineNumbers/>
              <w:bidi w:val="0"/>
              <w:jc w:val="left"/>
              <w:rPr/>
            </w:pPr>
            <w:r>
              <w:rPr/>
              <w:t>Madrid</w:t>
            </w:r>
          </w:p>
        </w:tc>
        <w:tc>
          <w:tcPr>
            <w:tcW w:w="9432" w:type="dxa"/>
            <w:tcBorders/>
            <w:vAlign w:val="center"/>
          </w:tcPr>
          <w:p>
            <w:pPr>
              <w:pStyle w:val="TableContents"/>
              <w:widowControl w:val="false"/>
              <w:suppressLineNumbers/>
              <w:bidi w:val="0"/>
              <w:jc w:val="left"/>
              <w:rPr/>
            </w:pPr>
            <w:r>
              <w:rPr/>
              <w:t>January (precipitation above); March (precipitation above); May (low visibility above)</w:t>
            </w:r>
          </w:p>
        </w:tc>
      </w:tr>
      <w:tr>
        <w:trPr/>
        <w:tc>
          <w:tcPr>
            <w:tcW w:w="1107" w:type="dxa"/>
            <w:tcBorders/>
            <w:vAlign w:val="center"/>
          </w:tcPr>
          <w:p>
            <w:pPr>
              <w:pStyle w:val="TableContents"/>
              <w:widowControl w:val="false"/>
              <w:suppressLineNumbers/>
              <w:bidi w:val="0"/>
              <w:jc w:val="left"/>
              <w:rPr/>
            </w:pPr>
            <w:r>
              <w:rPr/>
              <w:t>Paris</w:t>
            </w:r>
          </w:p>
        </w:tc>
        <w:tc>
          <w:tcPr>
            <w:tcW w:w="9432" w:type="dxa"/>
            <w:tcBorders/>
            <w:vAlign w:val="center"/>
          </w:tcPr>
          <w:p>
            <w:pPr>
              <w:pStyle w:val="TableContents"/>
              <w:widowControl w:val="false"/>
              <w:suppressLineNumbers/>
              <w:bidi w:val="0"/>
              <w:jc w:val="left"/>
              <w:rPr/>
            </w:pPr>
            <w:r>
              <w:rPr/>
              <w:t>February (low visibility above); March (precipitation below); November (freezing above)</w:t>
            </w:r>
          </w:p>
        </w:tc>
      </w:tr>
      <w:tr>
        <w:trPr/>
        <w:tc>
          <w:tcPr>
            <w:tcW w:w="1107" w:type="dxa"/>
            <w:tcBorders/>
            <w:vAlign w:val="center"/>
          </w:tcPr>
          <w:p>
            <w:pPr>
              <w:pStyle w:val="TableContents"/>
              <w:widowControl w:val="false"/>
              <w:suppressLineNumbers/>
              <w:bidi w:val="0"/>
              <w:jc w:val="left"/>
              <w:rPr/>
            </w:pPr>
            <w:r>
              <w:rPr/>
              <w:t>Fiumicino</w:t>
            </w:r>
          </w:p>
        </w:tc>
        <w:tc>
          <w:tcPr>
            <w:tcW w:w="9432" w:type="dxa"/>
            <w:tcBorders/>
            <w:vAlign w:val="center"/>
          </w:tcPr>
          <w:p>
            <w:pPr>
              <w:pStyle w:val="TableContents"/>
              <w:widowControl w:val="false"/>
              <w:suppressLineNumbers/>
              <w:bidi w:val="0"/>
              <w:jc w:val="left"/>
              <w:rPr/>
            </w:pPr>
            <w:r>
              <w:rPr/>
              <w:t>June (precipitation below); December (low visibility above)</w:t>
            </w:r>
          </w:p>
        </w:tc>
      </w:tr>
      <w:tr>
        <w:trPr/>
        <w:tc>
          <w:tcPr>
            <w:tcW w:w="1107" w:type="dxa"/>
            <w:tcBorders/>
            <w:vAlign w:val="center"/>
          </w:tcPr>
          <w:p>
            <w:pPr>
              <w:pStyle w:val="TableContents"/>
              <w:widowControl w:val="false"/>
              <w:suppressLineNumbers/>
              <w:bidi w:val="0"/>
              <w:jc w:val="left"/>
              <w:rPr/>
            </w:pPr>
            <w:r>
              <w:rPr/>
              <w:t>Zurich</w:t>
            </w:r>
          </w:p>
        </w:tc>
        <w:tc>
          <w:tcPr>
            <w:tcW w:w="9432" w:type="dxa"/>
            <w:tcBorders/>
            <w:vAlign w:val="center"/>
          </w:tcPr>
          <w:p>
            <w:pPr>
              <w:pStyle w:val="TableContents"/>
              <w:widowControl w:val="false"/>
              <w:suppressLineNumbers/>
              <w:bidi w:val="0"/>
              <w:jc w:val="left"/>
              <w:rPr/>
            </w:pPr>
            <w:r>
              <w:rPr/>
              <w:t>November (freezing above)</w:t>
            </w:r>
          </w:p>
        </w:tc>
      </w:tr>
      <w:tr>
        <w:trPr/>
        <w:tc>
          <w:tcPr>
            <w:tcW w:w="1107" w:type="dxa"/>
            <w:tcBorders/>
            <w:vAlign w:val="center"/>
          </w:tcPr>
          <w:p>
            <w:pPr>
              <w:pStyle w:val="TableContents"/>
              <w:widowControl w:val="false"/>
              <w:suppressLineNumbers/>
              <w:bidi w:val="0"/>
              <w:jc w:val="left"/>
              <w:rPr/>
            </w:pPr>
            <w:r>
              <w:rPr/>
              <w:t>Istanbul</w:t>
            </w:r>
          </w:p>
        </w:tc>
        <w:tc>
          <w:tcPr>
            <w:tcW w:w="9432" w:type="dxa"/>
            <w:tcBorders/>
            <w:vAlign w:val="center"/>
          </w:tcPr>
          <w:p>
            <w:pPr>
              <w:pStyle w:val="TableContents"/>
              <w:widowControl w:val="false"/>
              <w:suppressLineNumbers/>
              <w:bidi w:val="0"/>
              <w:jc w:val="left"/>
              <w:rPr/>
            </w:pPr>
            <w:r>
              <w:rPr/>
              <w:t>January (freezing below); February (freezing above, precipitation above); March (low visibility above); April (freezing above, low visibility above); June (precipitation below); July (low visibility above, precipitation below)</w:t>
            </w:r>
          </w:p>
        </w:tc>
      </w:tr>
    </w:tbl>
    <w:p>
      <w:pPr>
        <w:pStyle w:val="BodyText"/>
        <w:bidi w:val="0"/>
        <w:jc w:val="left"/>
        <w:rPr/>
      </w:pPr>
      <w:r>
        <w:rPr/>
        <w:t>The full tables, one per airport with the 2025 share, the ten-year mean and the range for every month, are the report's Annex E. Istanbul's February, the one airport-month of §8.3 above 500 s that no single row explains, is above its range on freezing and on precipitation; Annex G reads it day by day. The two test months are not in these tables, but §7.3 gives their regime shares against 2025.</w:t>
      </w:r>
    </w:p>
    <w:p>
      <w:pPr>
        <w:pStyle w:val="BodyText"/>
        <w:bidi w:val="0"/>
        <w:jc w:val="left"/>
        <w:rPr/>
      </w:pPr>
      <w:r>
        <w:rPr/>
        <w:t xml:space="preserve">Sources: </w:t>
      </w:r>
      <w:r>
        <w:rPr>
          <w:rStyle w:val="SourceText"/>
        </w:rPr>
        <w:t>reports/monthly_ladder.md</w:t>
      </w:r>
      <w:r>
        <w:rPr/>
        <w:t xml:space="preserve">, </w:t>
      </w:r>
      <w:r>
        <w:rPr>
          <w:rStyle w:val="Emphasis"/>
        </w:rPr>
        <w:t>Annex E: the historic weather context</w:t>
      </w:r>
      <w:r>
        <w:rPr/>
        <w:t>.</w:t>
      </w:r>
    </w:p>
    <w:p>
      <w:pPr>
        <w:pStyle w:val="Heading2"/>
        <w:bidi w:val="0"/>
        <w:jc w:val="left"/>
        <w:rPr/>
      </w:pPr>
      <w:r>
        <w:rPr/>
        <w:t>Annex F: the rows over four hours</w:t>
      </w:r>
    </w:p>
    <w:p>
      <w:pPr>
        <w:pStyle w:val="BodyText"/>
        <w:bidi w:val="0"/>
        <w:jc w:val="left"/>
        <w:rPr/>
      </w:pPr>
      <w:r>
        <w:rPr/>
        <w:t>Every validation row of the held-out year whose recorded taxi-out exceeds four hours and which the record-quality term does not cover: out of every fit, counted by the scorer. For each, the recorded value, the base configuration's prediction at the ladder's seed, the residual, its share of the squared error of its airport-month cell and of its whole month (both excluding the term's rows), and whether it has a flight-plan record. No movement or stand identifier is printed. These seven rows are the whole difference between each figure of §8 and its bracketed reading over rows of four hours or less.</w:t>
      </w:r>
    </w:p>
    <w:tbl>
      <w:tblPr>
        <w:tblW w:w="10539" w:type="dxa"/>
        <w:jc w:val="left"/>
        <w:tblInd w:w="28" w:type="dxa"/>
        <w:tblLayout w:type="fixed"/>
        <w:tblCellMar>
          <w:top w:w="28" w:type="dxa"/>
          <w:left w:w="28" w:type="dxa"/>
          <w:bottom w:w="28" w:type="dxa"/>
          <w:right w:w="28" w:type="dxa"/>
        </w:tblCellMar>
      </w:tblPr>
      <w:tblGrid>
        <w:gridCol w:w="747"/>
        <w:gridCol w:w="772"/>
        <w:gridCol w:w="1193"/>
        <w:gridCol w:w="1247"/>
        <w:gridCol w:w="1100"/>
        <w:gridCol w:w="2240"/>
        <w:gridCol w:w="1609"/>
        <w:gridCol w:w="1631"/>
      </w:tblGrid>
      <w:tr>
        <w:trPr>
          <w:tblHeader w:val="true"/>
        </w:trPr>
        <w:tc>
          <w:tcPr>
            <w:tcW w:w="747" w:type="dxa"/>
            <w:tcBorders/>
            <w:vAlign w:val="center"/>
          </w:tcPr>
          <w:p>
            <w:pPr>
              <w:pStyle w:val="TableHeading"/>
              <w:suppressLineNumbers/>
              <w:bidi w:val="0"/>
              <w:jc w:val="center"/>
              <w:rPr/>
            </w:pPr>
            <w:r>
              <w:rPr/>
              <w:t>ICAO</w:t>
            </w:r>
          </w:p>
        </w:tc>
        <w:tc>
          <w:tcPr>
            <w:tcW w:w="772" w:type="dxa"/>
            <w:tcBorders/>
            <w:vAlign w:val="center"/>
          </w:tcPr>
          <w:p>
            <w:pPr>
              <w:pStyle w:val="TableHeading"/>
              <w:suppressLineNumbers/>
              <w:bidi w:val="0"/>
              <w:jc w:val="center"/>
              <w:rPr/>
            </w:pPr>
            <w:r>
              <w:rPr/>
              <w:t>month</w:t>
            </w:r>
          </w:p>
        </w:tc>
        <w:tc>
          <w:tcPr>
            <w:tcW w:w="1193" w:type="dxa"/>
            <w:tcBorders/>
            <w:vAlign w:val="center"/>
          </w:tcPr>
          <w:p>
            <w:pPr>
              <w:pStyle w:val="TableHeading"/>
              <w:bidi w:val="0"/>
              <w:jc w:val="right"/>
              <w:rPr/>
            </w:pPr>
            <w:r>
              <w:rPr/>
              <w:t>recorded (s)</w:t>
            </w:r>
          </w:p>
        </w:tc>
        <w:tc>
          <w:tcPr>
            <w:tcW w:w="1247" w:type="dxa"/>
            <w:tcBorders/>
            <w:vAlign w:val="center"/>
          </w:tcPr>
          <w:p>
            <w:pPr>
              <w:pStyle w:val="TableHeading"/>
              <w:bidi w:val="0"/>
              <w:jc w:val="right"/>
              <w:rPr/>
            </w:pPr>
            <w:r>
              <w:rPr/>
              <w:t>predicted (s)</w:t>
            </w:r>
          </w:p>
        </w:tc>
        <w:tc>
          <w:tcPr>
            <w:tcW w:w="1100" w:type="dxa"/>
            <w:tcBorders/>
            <w:vAlign w:val="center"/>
          </w:tcPr>
          <w:p>
            <w:pPr>
              <w:pStyle w:val="TableHeading"/>
              <w:bidi w:val="0"/>
              <w:jc w:val="right"/>
              <w:rPr/>
            </w:pPr>
            <w:r>
              <w:rPr/>
              <w:t>residual (s)</w:t>
            </w:r>
          </w:p>
        </w:tc>
        <w:tc>
          <w:tcPr>
            <w:tcW w:w="2240" w:type="dxa"/>
            <w:tcBorders/>
            <w:vAlign w:val="center"/>
          </w:tcPr>
          <w:p>
            <w:pPr>
              <w:pStyle w:val="TableHeading"/>
              <w:bidi w:val="0"/>
              <w:jc w:val="right"/>
              <w:rPr/>
            </w:pPr>
            <w:r>
              <w:rPr/>
              <w:t>share of the cell's squared error</w:t>
            </w:r>
          </w:p>
        </w:tc>
        <w:tc>
          <w:tcPr>
            <w:tcW w:w="1609" w:type="dxa"/>
            <w:tcBorders/>
            <w:vAlign w:val="center"/>
          </w:tcPr>
          <w:p>
            <w:pPr>
              <w:pStyle w:val="TableHeading"/>
              <w:bidi w:val="0"/>
              <w:jc w:val="right"/>
              <w:rPr/>
            </w:pPr>
            <w:r>
              <w:rPr/>
              <w:t>share of the month's</w:t>
            </w:r>
          </w:p>
        </w:tc>
        <w:tc>
          <w:tcPr>
            <w:tcW w:w="1631" w:type="dxa"/>
            <w:tcBorders/>
            <w:vAlign w:val="center"/>
          </w:tcPr>
          <w:p>
            <w:pPr>
              <w:pStyle w:val="TableHeading"/>
              <w:suppressLineNumbers/>
              <w:bidi w:val="0"/>
              <w:jc w:val="center"/>
              <w:rPr/>
            </w:pPr>
            <w:r>
              <w:rPr/>
              <w:t>flight-plan record</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Jan</w:t>
            </w:r>
          </w:p>
        </w:tc>
        <w:tc>
          <w:tcPr>
            <w:tcW w:w="1193" w:type="dxa"/>
            <w:tcBorders/>
            <w:vAlign w:val="center"/>
          </w:tcPr>
          <w:p>
            <w:pPr>
              <w:pStyle w:val="TableContents"/>
              <w:bidi w:val="0"/>
              <w:jc w:val="right"/>
              <w:rPr/>
            </w:pPr>
            <w:r>
              <w:rPr/>
              <w:t>58,206</w:t>
            </w:r>
          </w:p>
        </w:tc>
        <w:tc>
          <w:tcPr>
            <w:tcW w:w="1247" w:type="dxa"/>
            <w:tcBorders/>
            <w:vAlign w:val="center"/>
          </w:tcPr>
          <w:p>
            <w:pPr>
              <w:pStyle w:val="TableContents"/>
              <w:bidi w:val="0"/>
              <w:jc w:val="right"/>
              <w:rPr/>
            </w:pPr>
            <w:r>
              <w:rPr/>
              <w:t>1,128</w:t>
            </w:r>
          </w:p>
        </w:tc>
        <w:tc>
          <w:tcPr>
            <w:tcW w:w="1100" w:type="dxa"/>
            <w:tcBorders/>
            <w:vAlign w:val="center"/>
          </w:tcPr>
          <w:p>
            <w:pPr>
              <w:pStyle w:val="TableContents"/>
              <w:bidi w:val="0"/>
              <w:jc w:val="right"/>
              <w:rPr/>
            </w:pPr>
            <w:r>
              <w:rPr/>
              <w:t>+57,078</w:t>
            </w:r>
          </w:p>
        </w:tc>
        <w:tc>
          <w:tcPr>
            <w:tcW w:w="2240" w:type="dxa"/>
            <w:tcBorders/>
            <w:vAlign w:val="center"/>
          </w:tcPr>
          <w:p>
            <w:pPr>
              <w:pStyle w:val="TableContents"/>
              <w:bidi w:val="0"/>
              <w:jc w:val="right"/>
              <w:rPr/>
            </w:pPr>
            <w:r>
              <w:rPr/>
              <w:t>27.7%</w:t>
            </w:r>
          </w:p>
        </w:tc>
        <w:tc>
          <w:tcPr>
            <w:tcW w:w="1609" w:type="dxa"/>
            <w:tcBorders/>
            <w:vAlign w:val="center"/>
          </w:tcPr>
          <w:p>
            <w:pPr>
              <w:pStyle w:val="TableContents"/>
              <w:bidi w:val="0"/>
              <w:jc w:val="right"/>
              <w:rPr/>
            </w:pPr>
            <w:r>
              <w:rPr/>
              <w:t>17.6%</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Jan</w:t>
            </w:r>
          </w:p>
        </w:tc>
        <w:tc>
          <w:tcPr>
            <w:tcW w:w="1193" w:type="dxa"/>
            <w:tcBorders/>
            <w:vAlign w:val="center"/>
          </w:tcPr>
          <w:p>
            <w:pPr>
              <w:pStyle w:val="TableContents"/>
              <w:bidi w:val="0"/>
              <w:jc w:val="right"/>
              <w:rPr/>
            </w:pPr>
            <w:r>
              <w:rPr/>
              <w:t>84,240</w:t>
            </w:r>
          </w:p>
        </w:tc>
        <w:tc>
          <w:tcPr>
            <w:tcW w:w="1247" w:type="dxa"/>
            <w:tcBorders/>
            <w:vAlign w:val="center"/>
          </w:tcPr>
          <w:p>
            <w:pPr>
              <w:pStyle w:val="TableContents"/>
              <w:bidi w:val="0"/>
              <w:jc w:val="right"/>
              <w:rPr/>
            </w:pPr>
            <w:r>
              <w:rPr/>
              <w:t>901</w:t>
            </w:r>
          </w:p>
        </w:tc>
        <w:tc>
          <w:tcPr>
            <w:tcW w:w="1100" w:type="dxa"/>
            <w:tcBorders/>
            <w:vAlign w:val="center"/>
          </w:tcPr>
          <w:p>
            <w:pPr>
              <w:pStyle w:val="TableContents"/>
              <w:bidi w:val="0"/>
              <w:jc w:val="right"/>
              <w:rPr/>
            </w:pPr>
            <w:r>
              <w:rPr/>
              <w:t>+83,339</w:t>
            </w:r>
          </w:p>
        </w:tc>
        <w:tc>
          <w:tcPr>
            <w:tcW w:w="2240" w:type="dxa"/>
            <w:tcBorders/>
            <w:vAlign w:val="center"/>
          </w:tcPr>
          <w:p>
            <w:pPr>
              <w:pStyle w:val="TableContents"/>
              <w:bidi w:val="0"/>
              <w:jc w:val="right"/>
              <w:rPr/>
            </w:pPr>
            <w:r>
              <w:rPr/>
              <w:t>59.1%</w:t>
            </w:r>
          </w:p>
        </w:tc>
        <w:tc>
          <w:tcPr>
            <w:tcW w:w="1609" w:type="dxa"/>
            <w:tcBorders/>
            <w:vAlign w:val="center"/>
          </w:tcPr>
          <w:p>
            <w:pPr>
              <w:pStyle w:val="TableContents"/>
              <w:bidi w:val="0"/>
              <w:jc w:val="right"/>
              <w:rPr/>
            </w:pPr>
            <w:r>
              <w:rPr/>
              <w:t>37.4%</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Mar</w:t>
            </w:r>
          </w:p>
        </w:tc>
        <w:tc>
          <w:tcPr>
            <w:tcW w:w="1193" w:type="dxa"/>
            <w:tcBorders/>
            <w:vAlign w:val="center"/>
          </w:tcPr>
          <w:p>
            <w:pPr>
              <w:pStyle w:val="TableContents"/>
              <w:bidi w:val="0"/>
              <w:jc w:val="right"/>
              <w:rPr/>
            </w:pPr>
            <w:r>
              <w:rPr/>
              <w:t>21,308</w:t>
            </w:r>
          </w:p>
        </w:tc>
        <w:tc>
          <w:tcPr>
            <w:tcW w:w="1247" w:type="dxa"/>
            <w:tcBorders/>
            <w:vAlign w:val="center"/>
          </w:tcPr>
          <w:p>
            <w:pPr>
              <w:pStyle w:val="TableContents"/>
              <w:bidi w:val="0"/>
              <w:jc w:val="right"/>
              <w:rPr/>
            </w:pPr>
            <w:r>
              <w:rPr/>
              <w:t>5,038</w:t>
            </w:r>
          </w:p>
        </w:tc>
        <w:tc>
          <w:tcPr>
            <w:tcW w:w="1100" w:type="dxa"/>
            <w:tcBorders/>
            <w:vAlign w:val="center"/>
          </w:tcPr>
          <w:p>
            <w:pPr>
              <w:pStyle w:val="TableContents"/>
              <w:bidi w:val="0"/>
              <w:jc w:val="right"/>
              <w:rPr/>
            </w:pPr>
            <w:r>
              <w:rPr/>
              <w:t>+16,270</w:t>
            </w:r>
          </w:p>
        </w:tc>
        <w:tc>
          <w:tcPr>
            <w:tcW w:w="2240" w:type="dxa"/>
            <w:tcBorders/>
            <w:vAlign w:val="center"/>
          </w:tcPr>
          <w:p>
            <w:pPr>
              <w:pStyle w:val="TableContents"/>
              <w:bidi w:val="0"/>
              <w:jc w:val="right"/>
              <w:rPr/>
            </w:pPr>
            <w:r>
              <w:rPr/>
              <w:t>24.6%</w:t>
            </w:r>
          </w:p>
        </w:tc>
        <w:tc>
          <w:tcPr>
            <w:tcW w:w="1609" w:type="dxa"/>
            <w:tcBorders/>
            <w:vAlign w:val="center"/>
          </w:tcPr>
          <w:p>
            <w:pPr>
              <w:pStyle w:val="TableContents"/>
              <w:bidi w:val="0"/>
              <w:jc w:val="right"/>
              <w:rPr/>
            </w:pPr>
            <w:r>
              <w:rPr/>
              <w:t>4.0%</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Jul</w:t>
            </w:r>
          </w:p>
        </w:tc>
        <w:tc>
          <w:tcPr>
            <w:tcW w:w="1193" w:type="dxa"/>
            <w:tcBorders/>
            <w:vAlign w:val="center"/>
          </w:tcPr>
          <w:p>
            <w:pPr>
              <w:pStyle w:val="TableContents"/>
              <w:bidi w:val="0"/>
              <w:jc w:val="right"/>
              <w:rPr/>
            </w:pPr>
            <w:r>
              <w:rPr/>
              <w:t>15,059</w:t>
            </w:r>
          </w:p>
        </w:tc>
        <w:tc>
          <w:tcPr>
            <w:tcW w:w="1247" w:type="dxa"/>
            <w:tcBorders/>
            <w:vAlign w:val="center"/>
          </w:tcPr>
          <w:p>
            <w:pPr>
              <w:pStyle w:val="TableContents"/>
              <w:bidi w:val="0"/>
              <w:jc w:val="right"/>
              <w:rPr/>
            </w:pPr>
            <w:r>
              <w:rPr/>
              <w:t>8,918</w:t>
            </w:r>
          </w:p>
        </w:tc>
        <w:tc>
          <w:tcPr>
            <w:tcW w:w="1100" w:type="dxa"/>
            <w:tcBorders/>
            <w:vAlign w:val="center"/>
          </w:tcPr>
          <w:p>
            <w:pPr>
              <w:pStyle w:val="TableContents"/>
              <w:bidi w:val="0"/>
              <w:jc w:val="right"/>
              <w:rPr/>
            </w:pPr>
            <w:r>
              <w:rPr/>
              <w:t>+6,141</w:t>
            </w:r>
          </w:p>
        </w:tc>
        <w:tc>
          <w:tcPr>
            <w:tcW w:w="2240" w:type="dxa"/>
            <w:tcBorders/>
            <w:vAlign w:val="center"/>
          </w:tcPr>
          <w:p>
            <w:pPr>
              <w:pStyle w:val="TableContents"/>
              <w:bidi w:val="0"/>
              <w:jc w:val="right"/>
              <w:rPr/>
            </w:pPr>
            <w:r>
              <w:rPr/>
              <w:t>2.7%</w:t>
            </w:r>
          </w:p>
        </w:tc>
        <w:tc>
          <w:tcPr>
            <w:tcW w:w="1609" w:type="dxa"/>
            <w:tcBorders/>
            <w:vAlign w:val="center"/>
          </w:tcPr>
          <w:p>
            <w:pPr>
              <w:pStyle w:val="TableContents"/>
              <w:bidi w:val="0"/>
              <w:jc w:val="right"/>
              <w:rPr/>
            </w:pPr>
            <w:r>
              <w:rPr/>
              <w:t>0.2%</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LIRF</w:t>
            </w:r>
          </w:p>
        </w:tc>
        <w:tc>
          <w:tcPr>
            <w:tcW w:w="772" w:type="dxa"/>
            <w:tcBorders/>
            <w:vAlign w:val="center"/>
          </w:tcPr>
          <w:p>
            <w:pPr>
              <w:pStyle w:val="TableContents"/>
              <w:widowControl w:val="false"/>
              <w:suppressLineNumbers/>
              <w:bidi w:val="0"/>
              <w:jc w:val="left"/>
              <w:rPr/>
            </w:pPr>
            <w:r>
              <w:rPr/>
              <w:t>Jul</w:t>
            </w:r>
          </w:p>
        </w:tc>
        <w:tc>
          <w:tcPr>
            <w:tcW w:w="1193" w:type="dxa"/>
            <w:tcBorders/>
            <w:vAlign w:val="center"/>
          </w:tcPr>
          <w:p>
            <w:pPr>
              <w:pStyle w:val="TableContents"/>
              <w:bidi w:val="0"/>
              <w:jc w:val="right"/>
              <w:rPr/>
            </w:pPr>
            <w:r>
              <w:rPr/>
              <w:t>87,002</w:t>
            </w:r>
          </w:p>
        </w:tc>
        <w:tc>
          <w:tcPr>
            <w:tcW w:w="1247" w:type="dxa"/>
            <w:tcBorders/>
            <w:vAlign w:val="center"/>
          </w:tcPr>
          <w:p>
            <w:pPr>
              <w:pStyle w:val="TableContents"/>
              <w:bidi w:val="0"/>
              <w:jc w:val="right"/>
              <w:rPr/>
            </w:pPr>
            <w:r>
              <w:rPr/>
              <w:t>6,743</w:t>
            </w:r>
          </w:p>
        </w:tc>
        <w:tc>
          <w:tcPr>
            <w:tcW w:w="1100" w:type="dxa"/>
            <w:tcBorders/>
            <w:vAlign w:val="center"/>
          </w:tcPr>
          <w:p>
            <w:pPr>
              <w:pStyle w:val="TableContents"/>
              <w:bidi w:val="0"/>
              <w:jc w:val="right"/>
              <w:rPr/>
            </w:pPr>
            <w:r>
              <w:rPr/>
              <w:t>+80,259</w:t>
            </w:r>
          </w:p>
        </w:tc>
        <w:tc>
          <w:tcPr>
            <w:tcW w:w="2240" w:type="dxa"/>
            <w:tcBorders/>
            <w:vAlign w:val="center"/>
          </w:tcPr>
          <w:p>
            <w:pPr>
              <w:pStyle w:val="TableContents"/>
              <w:bidi w:val="0"/>
              <w:jc w:val="right"/>
              <w:rPr/>
            </w:pPr>
            <w:r>
              <w:rPr/>
              <w:t>69.3%</w:t>
            </w:r>
          </w:p>
        </w:tc>
        <w:tc>
          <w:tcPr>
            <w:tcW w:w="1609" w:type="dxa"/>
            <w:tcBorders/>
            <w:vAlign w:val="center"/>
          </w:tcPr>
          <w:p>
            <w:pPr>
              <w:pStyle w:val="TableContents"/>
              <w:bidi w:val="0"/>
              <w:jc w:val="right"/>
              <w:rPr/>
            </w:pPr>
            <w:r>
              <w:rPr/>
              <w:t>34.6%</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LSZH</w:t>
            </w:r>
          </w:p>
        </w:tc>
        <w:tc>
          <w:tcPr>
            <w:tcW w:w="772" w:type="dxa"/>
            <w:tcBorders/>
            <w:vAlign w:val="center"/>
          </w:tcPr>
          <w:p>
            <w:pPr>
              <w:pStyle w:val="TableContents"/>
              <w:widowControl w:val="false"/>
              <w:suppressLineNumbers/>
              <w:bidi w:val="0"/>
              <w:jc w:val="left"/>
              <w:rPr/>
            </w:pPr>
            <w:r>
              <w:rPr/>
              <w:t>Feb</w:t>
            </w:r>
          </w:p>
        </w:tc>
        <w:tc>
          <w:tcPr>
            <w:tcW w:w="1193" w:type="dxa"/>
            <w:tcBorders/>
            <w:vAlign w:val="center"/>
          </w:tcPr>
          <w:p>
            <w:pPr>
              <w:pStyle w:val="TableContents"/>
              <w:bidi w:val="0"/>
              <w:jc w:val="right"/>
              <w:rPr/>
            </w:pPr>
            <w:r>
              <w:rPr/>
              <w:t>18,409</w:t>
            </w:r>
          </w:p>
        </w:tc>
        <w:tc>
          <w:tcPr>
            <w:tcW w:w="1247" w:type="dxa"/>
            <w:tcBorders/>
            <w:vAlign w:val="center"/>
          </w:tcPr>
          <w:p>
            <w:pPr>
              <w:pStyle w:val="TableContents"/>
              <w:bidi w:val="0"/>
              <w:jc w:val="right"/>
              <w:rPr/>
            </w:pPr>
            <w:r>
              <w:rPr/>
              <w:t>1,008</w:t>
            </w:r>
          </w:p>
        </w:tc>
        <w:tc>
          <w:tcPr>
            <w:tcW w:w="1100" w:type="dxa"/>
            <w:tcBorders/>
            <w:vAlign w:val="center"/>
          </w:tcPr>
          <w:p>
            <w:pPr>
              <w:pStyle w:val="TableContents"/>
              <w:bidi w:val="0"/>
              <w:jc w:val="right"/>
              <w:rPr/>
            </w:pPr>
            <w:r>
              <w:rPr/>
              <w:t>+17,401</w:t>
            </w:r>
          </w:p>
        </w:tc>
        <w:tc>
          <w:tcPr>
            <w:tcW w:w="2240" w:type="dxa"/>
            <w:tcBorders/>
            <w:vAlign w:val="center"/>
          </w:tcPr>
          <w:p>
            <w:pPr>
              <w:pStyle w:val="TableContents"/>
              <w:bidi w:val="0"/>
              <w:jc w:val="right"/>
              <w:rPr/>
            </w:pPr>
            <w:r>
              <w:rPr/>
              <w:t>50.7%</w:t>
            </w:r>
          </w:p>
        </w:tc>
        <w:tc>
          <w:tcPr>
            <w:tcW w:w="1609" w:type="dxa"/>
            <w:tcBorders/>
            <w:vAlign w:val="center"/>
          </w:tcPr>
          <w:p>
            <w:pPr>
              <w:pStyle w:val="TableContents"/>
              <w:bidi w:val="0"/>
              <w:jc w:val="right"/>
              <w:rPr/>
            </w:pPr>
            <w:r>
              <w:rPr/>
              <w:t>2.9%</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LSZH</w:t>
            </w:r>
          </w:p>
        </w:tc>
        <w:tc>
          <w:tcPr>
            <w:tcW w:w="772" w:type="dxa"/>
            <w:tcBorders/>
            <w:vAlign w:val="center"/>
          </w:tcPr>
          <w:p>
            <w:pPr>
              <w:pStyle w:val="TableContents"/>
              <w:widowControl w:val="false"/>
              <w:suppressLineNumbers/>
              <w:bidi w:val="0"/>
              <w:jc w:val="left"/>
              <w:rPr/>
            </w:pPr>
            <w:r>
              <w:rPr/>
              <w:t>May</w:t>
            </w:r>
          </w:p>
        </w:tc>
        <w:tc>
          <w:tcPr>
            <w:tcW w:w="1193" w:type="dxa"/>
            <w:tcBorders/>
            <w:vAlign w:val="center"/>
          </w:tcPr>
          <w:p>
            <w:pPr>
              <w:pStyle w:val="TableContents"/>
              <w:bidi w:val="0"/>
              <w:jc w:val="right"/>
              <w:rPr/>
            </w:pPr>
            <w:r>
              <w:rPr/>
              <w:t>87,341</w:t>
            </w:r>
          </w:p>
        </w:tc>
        <w:tc>
          <w:tcPr>
            <w:tcW w:w="1247" w:type="dxa"/>
            <w:tcBorders/>
            <w:vAlign w:val="center"/>
          </w:tcPr>
          <w:p>
            <w:pPr>
              <w:pStyle w:val="TableContents"/>
              <w:bidi w:val="0"/>
              <w:jc w:val="right"/>
              <w:rPr/>
            </w:pPr>
            <w:r>
              <w:rPr/>
              <w:t>208</w:t>
            </w:r>
          </w:p>
        </w:tc>
        <w:tc>
          <w:tcPr>
            <w:tcW w:w="1100" w:type="dxa"/>
            <w:tcBorders/>
            <w:vAlign w:val="center"/>
          </w:tcPr>
          <w:p>
            <w:pPr>
              <w:pStyle w:val="TableContents"/>
              <w:bidi w:val="0"/>
              <w:jc w:val="right"/>
              <w:rPr/>
            </w:pPr>
            <w:r>
              <w:rPr/>
              <w:t>+87,133</w:t>
            </w:r>
          </w:p>
        </w:tc>
        <w:tc>
          <w:tcPr>
            <w:tcW w:w="2240" w:type="dxa"/>
            <w:tcBorders/>
            <w:vAlign w:val="center"/>
          </w:tcPr>
          <w:p>
            <w:pPr>
              <w:pStyle w:val="TableContents"/>
              <w:bidi w:val="0"/>
              <w:jc w:val="right"/>
              <w:rPr/>
            </w:pPr>
            <w:r>
              <w:rPr/>
              <w:t>96.1%</w:t>
            </w:r>
          </w:p>
        </w:tc>
        <w:tc>
          <w:tcPr>
            <w:tcW w:w="1609" w:type="dxa"/>
            <w:tcBorders/>
            <w:vAlign w:val="center"/>
          </w:tcPr>
          <w:p>
            <w:pPr>
              <w:pStyle w:val="TableContents"/>
              <w:bidi w:val="0"/>
              <w:jc w:val="right"/>
              <w:rPr/>
            </w:pPr>
            <w:r>
              <w:rPr/>
              <w:t>51.5%</w:t>
            </w:r>
          </w:p>
        </w:tc>
        <w:tc>
          <w:tcPr>
            <w:tcW w:w="1631" w:type="dxa"/>
            <w:tcBorders/>
            <w:vAlign w:val="center"/>
          </w:tcPr>
          <w:p>
            <w:pPr>
              <w:pStyle w:val="TableContents"/>
              <w:widowControl w:val="false"/>
              <w:suppressLineNumbers/>
              <w:bidi w:val="0"/>
              <w:jc w:val="left"/>
              <w:rPr/>
            </w:pPr>
            <w:r>
              <w:rPr/>
              <w:t>no</w:t>
            </w:r>
          </w:p>
        </w:tc>
      </w:tr>
    </w:tbl>
    <w:p>
      <w:pPr>
        <w:pStyle w:val="BodyText"/>
        <w:bidi w:val="0"/>
        <w:jc w:val="left"/>
        <w:rPr/>
      </w:pPr>
      <w:r>
        <w:rPr/>
        <w:t>Per airport over the year:</w:t>
      </w:r>
    </w:p>
    <w:tbl>
      <w:tblPr>
        <w:tblW w:w="3309" w:type="dxa"/>
        <w:jc w:val="left"/>
        <w:tblInd w:w="28" w:type="dxa"/>
        <w:tblLayout w:type="fixed"/>
        <w:tblCellMar>
          <w:top w:w="28" w:type="dxa"/>
          <w:left w:w="28" w:type="dxa"/>
          <w:bottom w:w="28" w:type="dxa"/>
          <w:right w:w="28" w:type="dxa"/>
        </w:tblCellMar>
      </w:tblPr>
      <w:tblGrid>
        <w:gridCol w:w="827"/>
        <w:gridCol w:w="2482"/>
      </w:tblGrid>
      <w:tr>
        <w:trPr>
          <w:tblHeader w:val="true"/>
        </w:trPr>
        <w:tc>
          <w:tcPr>
            <w:tcW w:w="827" w:type="dxa"/>
            <w:tcBorders/>
            <w:vAlign w:val="center"/>
          </w:tcPr>
          <w:p>
            <w:pPr>
              <w:pStyle w:val="TableHeading"/>
              <w:suppressLineNumbers/>
              <w:bidi w:val="0"/>
              <w:jc w:val="center"/>
              <w:rPr/>
            </w:pPr>
            <w:r>
              <w:rPr/>
              <w:t>ICAO</w:t>
            </w:r>
          </w:p>
        </w:tc>
        <w:tc>
          <w:tcPr>
            <w:tcW w:w="2482" w:type="dxa"/>
            <w:tcBorders/>
            <w:vAlign w:val="center"/>
          </w:tcPr>
          <w:p>
            <w:pPr>
              <w:pStyle w:val="TableHeading"/>
              <w:bidi w:val="0"/>
              <w:jc w:val="right"/>
              <w:rPr/>
            </w:pPr>
            <w:r>
              <w:rPr/>
              <w:t>rows over 4 h, the year</w:t>
            </w:r>
          </w:p>
        </w:tc>
      </w:tr>
      <w:tr>
        <w:trPr/>
        <w:tc>
          <w:tcPr>
            <w:tcW w:w="827" w:type="dxa"/>
            <w:tcBorders/>
            <w:vAlign w:val="center"/>
          </w:tcPr>
          <w:p>
            <w:pPr>
              <w:pStyle w:val="TableContents"/>
              <w:widowControl w:val="false"/>
              <w:suppressLineNumbers/>
              <w:bidi w:val="0"/>
              <w:jc w:val="left"/>
              <w:rPr/>
            </w:pPr>
            <w:r>
              <w:rPr/>
              <w:t>EDDF</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EDDM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EGLL</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EHAM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LEBL</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LEMD</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LFPG</w:t>
            </w:r>
          </w:p>
        </w:tc>
        <w:tc>
          <w:tcPr>
            <w:tcW w:w="2482" w:type="dxa"/>
            <w:tcBorders/>
            <w:vAlign w:val="center"/>
          </w:tcPr>
          <w:p>
            <w:pPr>
              <w:pStyle w:val="TableContents"/>
              <w:bidi w:val="0"/>
              <w:jc w:val="right"/>
              <w:rPr/>
            </w:pPr>
            <w:r>
              <w:rPr/>
              <w:t>4</w:t>
            </w:r>
          </w:p>
        </w:tc>
      </w:tr>
      <w:tr>
        <w:trPr/>
        <w:tc>
          <w:tcPr>
            <w:tcW w:w="827" w:type="dxa"/>
            <w:tcBorders/>
            <w:vAlign w:val="center"/>
          </w:tcPr>
          <w:p>
            <w:pPr>
              <w:pStyle w:val="TableContents"/>
              <w:widowControl w:val="false"/>
              <w:suppressLineNumbers/>
              <w:bidi w:val="0"/>
              <w:jc w:val="left"/>
              <w:rPr/>
            </w:pPr>
            <w:r>
              <w:rPr/>
              <w:t>LIRF</w:t>
            </w:r>
          </w:p>
        </w:tc>
        <w:tc>
          <w:tcPr>
            <w:tcW w:w="2482"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LSZH</w:t>
            </w:r>
          </w:p>
        </w:tc>
        <w:tc>
          <w:tcPr>
            <w:tcW w:w="2482"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LTFM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all</w:t>
            </w:r>
          </w:p>
        </w:tc>
        <w:tc>
          <w:tcPr>
            <w:tcW w:w="2482" w:type="dxa"/>
            <w:tcBorders/>
            <w:vAlign w:val="center"/>
          </w:tcPr>
          <w:p>
            <w:pPr>
              <w:pStyle w:val="TableContents"/>
              <w:bidi w:val="0"/>
              <w:jc w:val="right"/>
              <w:rPr/>
            </w:pPr>
            <w:r>
              <w:rPr/>
              <w:t>7</w:t>
            </w:r>
          </w:p>
        </w:tc>
      </w:tr>
    </w:tbl>
    <w:p>
      <w:pPr>
        <w:pStyle w:val="BodyText"/>
        <w:bidi w:val="0"/>
        <w:jc w:val="left"/>
        <w:rPr/>
      </w:pPr>
      <w:r>
        <w:rPr/>
        <w:t>Three of the seven have a flight-plan record, and two of those are the long departures the rule of §4 was written on; the four without a record take off within minutes of schedule with a recorded block time about a day earlier, and nothing the ranking set exposes marks them.</w:t>
      </w:r>
    </w:p>
    <w:p>
      <w:pPr>
        <w:pStyle w:val="BodyText"/>
        <w:bidi w:val="0"/>
        <w:jc w:val="left"/>
        <w:rPr/>
      </w:pPr>
      <w:r>
        <w:rPr/>
        <w:t xml:space="preserve">Sources: </w:t>
      </w:r>
      <w:r>
        <w:rPr>
          <w:rStyle w:val="SourceText"/>
        </w:rPr>
        <w:t>reports/monthly_ladder.md</w:t>
      </w:r>
      <w:r>
        <w:rPr/>
        <w:t xml:space="preserve">, </w:t>
      </w:r>
      <w:r>
        <w:rPr>
          <w:rStyle w:val="Emphasis"/>
        </w:rPr>
        <w:t>Annex F: the rows over four hours</w:t>
      </w:r>
      <w:r>
        <w:rPr/>
        <w:t xml:space="preserve">; </w:t>
      </w:r>
      <w:r>
        <w:rPr>
          <w:rStyle w:val="SourceText"/>
        </w:rPr>
        <w:t>reports/planshift.md</w:t>
      </w:r>
      <w:r>
        <w:rPr/>
        <w:t xml:space="preserve">, </w:t>
      </w:r>
      <w:r>
        <w:rPr>
          <w:rStyle w:val="Emphasis"/>
        </w:rPr>
        <w:t>The class in the training year</w:t>
      </w:r>
      <w:r>
        <w:rPr/>
        <w:t>.</w:t>
      </w:r>
    </w:p>
    <w:p>
      <w:pPr>
        <w:pStyle w:val="Heading2"/>
        <w:bidi w:val="0"/>
        <w:jc w:val="left"/>
        <w:rPr/>
      </w:pPr>
      <w:r>
        <w:rPr/>
        <w:t>Annex G: Istanbul's February 2025, and its January 2026</w:t>
      </w:r>
    </w:p>
    <w:p>
      <w:pPr>
        <w:pStyle w:val="BodyText"/>
        <w:bidi w:val="0"/>
        <w:jc w:val="left"/>
        <w:rPr/>
      </w:pPr>
      <w:r>
        <w:rPr/>
        <w:t>The one airport-month of the held-out year above 500 s that no single row explains (§8.3), read day by day in the report beside the same days of the other eleven months, with the airport's hours in each regime, the mean plan lag and the arrivals' control; and the ranking month January 2026 at the same airport, for which no error exists and nothing is predicted, read the same way. What follows is what the report concludes.</w:t>
      </w:r>
    </w:p>
    <w:p>
      <w:pPr>
        <w:pStyle w:val="BodyText"/>
        <w:bidi w:val="0"/>
        <w:jc w:val="left"/>
        <w:rPr/>
      </w:pPr>
      <w:r>
        <w:rPr/>
        <w:t>February at LTFM pools to 520.8 s over 18,328 departures. Of its 28 days, 7 read above that figure (6, 11, 19, 20, 22, 23, 24) and 21 at or below it. Rows over 4 h among them: 0, so the second reading over the rows of 4 h or less is the same figure.</w:t>
      </w:r>
    </w:p>
    <w:p>
      <w:pPr>
        <w:pStyle w:val="BodyText"/>
        <w:bidi w:val="0"/>
        <w:jc w:val="left"/>
        <w:rPr/>
      </w:pPr>
      <w:r>
        <w:rPr/>
        <w:t>The regime shares of the two calendar months at the airport, against the history fetched for Annex E (no reports before 2018 at this airport):</w:t>
      </w:r>
    </w:p>
    <w:tbl>
      <w:tblPr>
        <w:tblW w:w="10539" w:type="dxa"/>
        <w:jc w:val="left"/>
        <w:tblInd w:w="28" w:type="dxa"/>
        <w:tblLayout w:type="fixed"/>
        <w:tblCellMar>
          <w:top w:w="28" w:type="dxa"/>
          <w:left w:w="28" w:type="dxa"/>
          <w:bottom w:w="28" w:type="dxa"/>
          <w:right w:w="28" w:type="dxa"/>
        </w:tblCellMar>
      </w:tblPr>
      <w:tblGrid>
        <w:gridCol w:w="987"/>
        <w:gridCol w:w="1352"/>
        <w:gridCol w:w="1124"/>
        <w:gridCol w:w="1236"/>
        <w:gridCol w:w="1249"/>
        <w:gridCol w:w="1260"/>
        <w:gridCol w:w="1617"/>
        <w:gridCol w:w="1714"/>
      </w:tblGrid>
      <w:tr>
        <w:trPr>
          <w:tblHeader w:val="true"/>
        </w:trPr>
        <w:tc>
          <w:tcPr>
            <w:tcW w:w="987" w:type="dxa"/>
            <w:tcBorders/>
            <w:vAlign w:val="center"/>
          </w:tcPr>
          <w:p>
            <w:pPr>
              <w:pStyle w:val="TableHeading"/>
              <w:suppressLineNumbers/>
              <w:bidi w:val="0"/>
              <w:jc w:val="center"/>
              <w:rPr/>
            </w:pPr>
            <w:r>
              <w:rPr/>
              <w:t>month</w:t>
            </w:r>
          </w:p>
        </w:tc>
        <w:tc>
          <w:tcPr>
            <w:tcW w:w="1352" w:type="dxa"/>
            <w:tcBorders/>
            <w:vAlign w:val="center"/>
          </w:tcPr>
          <w:p>
            <w:pPr>
              <w:pStyle w:val="TableHeading"/>
              <w:suppressLineNumbers/>
              <w:bidi w:val="0"/>
              <w:jc w:val="center"/>
              <w:rPr/>
            </w:pPr>
            <w:r>
              <w:rPr/>
              <w:t>history years</w:t>
            </w:r>
          </w:p>
        </w:tc>
        <w:tc>
          <w:tcPr>
            <w:tcW w:w="1124" w:type="dxa"/>
            <w:tcBorders/>
            <w:vAlign w:val="center"/>
          </w:tcPr>
          <w:p>
            <w:pPr>
              <w:pStyle w:val="TableHeading"/>
              <w:bidi w:val="0"/>
              <w:jc w:val="right"/>
              <w:rPr/>
            </w:pPr>
            <w:r>
              <w:rPr/>
              <w:t>freezing, history</w:t>
            </w:r>
          </w:p>
        </w:tc>
        <w:tc>
          <w:tcPr>
            <w:tcW w:w="1236" w:type="dxa"/>
            <w:tcBorders/>
            <w:vAlign w:val="center"/>
          </w:tcPr>
          <w:p>
            <w:pPr>
              <w:pStyle w:val="TableHeading"/>
              <w:bidi w:val="0"/>
              <w:jc w:val="right"/>
              <w:rPr/>
            </w:pPr>
            <w:r>
              <w:rPr/>
              <w:t>freezing, cache</w:t>
            </w:r>
          </w:p>
        </w:tc>
        <w:tc>
          <w:tcPr>
            <w:tcW w:w="1249" w:type="dxa"/>
            <w:tcBorders/>
            <w:vAlign w:val="center"/>
          </w:tcPr>
          <w:p>
            <w:pPr>
              <w:pStyle w:val="TableHeading"/>
              <w:bidi w:val="0"/>
              <w:jc w:val="right"/>
              <w:rPr/>
            </w:pPr>
            <w:r>
              <w:rPr/>
              <w:t>low visibility, history</w:t>
            </w:r>
          </w:p>
        </w:tc>
        <w:tc>
          <w:tcPr>
            <w:tcW w:w="1260" w:type="dxa"/>
            <w:tcBorders/>
            <w:vAlign w:val="center"/>
          </w:tcPr>
          <w:p>
            <w:pPr>
              <w:pStyle w:val="TableHeading"/>
              <w:bidi w:val="0"/>
              <w:jc w:val="right"/>
              <w:rPr/>
            </w:pPr>
            <w:r>
              <w:rPr/>
              <w:t>low visibility, cache</w:t>
            </w:r>
          </w:p>
        </w:tc>
        <w:tc>
          <w:tcPr>
            <w:tcW w:w="1617" w:type="dxa"/>
            <w:tcBorders/>
            <w:vAlign w:val="center"/>
          </w:tcPr>
          <w:p>
            <w:pPr>
              <w:pStyle w:val="TableHeading"/>
              <w:bidi w:val="0"/>
              <w:jc w:val="right"/>
              <w:rPr/>
            </w:pPr>
            <w:r>
              <w:rPr/>
              <w:t>precipitation, history</w:t>
            </w:r>
          </w:p>
        </w:tc>
        <w:tc>
          <w:tcPr>
            <w:tcW w:w="1714" w:type="dxa"/>
            <w:tcBorders/>
            <w:vAlign w:val="center"/>
          </w:tcPr>
          <w:p>
            <w:pPr>
              <w:pStyle w:val="TableHeading"/>
              <w:bidi w:val="0"/>
              <w:jc w:val="right"/>
              <w:rPr/>
            </w:pPr>
            <w:r>
              <w:rPr/>
              <w:t>precipitation, cache</w:t>
            </w:r>
          </w:p>
        </w:tc>
      </w:tr>
      <w:tr>
        <w:trPr/>
        <w:tc>
          <w:tcPr>
            <w:tcW w:w="987" w:type="dxa"/>
            <w:tcBorders/>
            <w:vAlign w:val="center"/>
          </w:tcPr>
          <w:p>
            <w:pPr>
              <w:pStyle w:val="TableContents"/>
              <w:widowControl w:val="false"/>
              <w:suppressLineNumbers/>
              <w:bidi w:val="0"/>
              <w:jc w:val="left"/>
              <w:rPr/>
            </w:pPr>
            <w:r>
              <w:rPr/>
              <w:t>January</w:t>
            </w:r>
          </w:p>
        </w:tc>
        <w:tc>
          <w:tcPr>
            <w:tcW w:w="1352" w:type="dxa"/>
            <w:tcBorders/>
            <w:vAlign w:val="center"/>
          </w:tcPr>
          <w:p>
            <w:pPr>
              <w:pStyle w:val="TableContents"/>
              <w:widowControl w:val="false"/>
              <w:suppressLineNumbers/>
              <w:bidi w:val="0"/>
              <w:jc w:val="left"/>
              <w:rPr/>
            </w:pPr>
            <w:r>
              <w:rPr/>
              <w:t>6 (2019, 2020, 2021, 2022, 2023, 2024)</w:t>
            </w:r>
          </w:p>
        </w:tc>
        <w:tc>
          <w:tcPr>
            <w:tcW w:w="1124" w:type="dxa"/>
            <w:tcBorders/>
            <w:vAlign w:val="center"/>
          </w:tcPr>
          <w:p>
            <w:pPr>
              <w:pStyle w:val="TableContents"/>
              <w:bidi w:val="0"/>
              <w:jc w:val="right"/>
              <w:rPr/>
            </w:pPr>
            <w:r>
              <w:rPr/>
              <w:t>0.3% to 26.2%</w:t>
            </w:r>
          </w:p>
        </w:tc>
        <w:tc>
          <w:tcPr>
            <w:tcW w:w="1236" w:type="dxa"/>
            <w:tcBorders/>
            <w:vAlign w:val="center"/>
          </w:tcPr>
          <w:p>
            <w:pPr>
              <w:pStyle w:val="TableContents"/>
              <w:bidi w:val="0"/>
              <w:jc w:val="right"/>
              <w:rPr/>
            </w:pPr>
            <w:r>
              <w:rPr/>
              <w:t>2025 0.0%; 2026 14.8%</w:t>
            </w:r>
          </w:p>
        </w:tc>
        <w:tc>
          <w:tcPr>
            <w:tcW w:w="1249" w:type="dxa"/>
            <w:tcBorders/>
            <w:vAlign w:val="center"/>
          </w:tcPr>
          <w:p>
            <w:pPr>
              <w:pStyle w:val="TableContents"/>
              <w:bidi w:val="0"/>
              <w:jc w:val="right"/>
              <w:rPr/>
            </w:pPr>
            <w:r>
              <w:rPr/>
              <w:t>0.0% to 2.7%</w:t>
            </w:r>
          </w:p>
        </w:tc>
        <w:tc>
          <w:tcPr>
            <w:tcW w:w="1260" w:type="dxa"/>
            <w:tcBorders/>
            <w:vAlign w:val="center"/>
          </w:tcPr>
          <w:p>
            <w:pPr>
              <w:pStyle w:val="TableContents"/>
              <w:bidi w:val="0"/>
              <w:jc w:val="right"/>
              <w:rPr/>
            </w:pPr>
            <w:r>
              <w:rPr/>
              <w:t>2025 0.0%; 2026 1.1%</w:t>
            </w:r>
          </w:p>
        </w:tc>
        <w:tc>
          <w:tcPr>
            <w:tcW w:w="1617" w:type="dxa"/>
            <w:tcBorders/>
            <w:vAlign w:val="center"/>
          </w:tcPr>
          <w:p>
            <w:pPr>
              <w:pStyle w:val="TableContents"/>
              <w:bidi w:val="0"/>
              <w:jc w:val="right"/>
              <w:rPr/>
            </w:pPr>
            <w:r>
              <w:rPr/>
              <w:t>16.9% to 25.4%</w:t>
            </w:r>
          </w:p>
        </w:tc>
        <w:tc>
          <w:tcPr>
            <w:tcW w:w="1714" w:type="dxa"/>
            <w:tcBorders/>
            <w:vAlign w:val="center"/>
          </w:tcPr>
          <w:p>
            <w:pPr>
              <w:pStyle w:val="TableContents"/>
              <w:bidi w:val="0"/>
              <w:jc w:val="right"/>
              <w:rPr/>
            </w:pPr>
            <w:r>
              <w:rPr/>
              <w:t>2025 17.5%; 2026 32.1%</w:t>
            </w:r>
          </w:p>
        </w:tc>
      </w:tr>
      <w:tr>
        <w:trPr/>
        <w:tc>
          <w:tcPr>
            <w:tcW w:w="987" w:type="dxa"/>
            <w:tcBorders/>
            <w:vAlign w:val="center"/>
          </w:tcPr>
          <w:p>
            <w:pPr>
              <w:pStyle w:val="TableContents"/>
              <w:widowControl w:val="false"/>
              <w:suppressLineNumbers/>
              <w:bidi w:val="0"/>
              <w:jc w:val="left"/>
              <w:rPr/>
            </w:pPr>
            <w:r>
              <w:rPr/>
              <w:t>February</w:t>
            </w:r>
          </w:p>
        </w:tc>
        <w:tc>
          <w:tcPr>
            <w:tcW w:w="1352" w:type="dxa"/>
            <w:tcBorders/>
            <w:vAlign w:val="center"/>
          </w:tcPr>
          <w:p>
            <w:pPr>
              <w:pStyle w:val="TableContents"/>
              <w:widowControl w:val="false"/>
              <w:suppressLineNumbers/>
              <w:bidi w:val="0"/>
              <w:jc w:val="left"/>
              <w:rPr/>
            </w:pPr>
            <w:r>
              <w:rPr/>
              <w:t>6 (2019, 2020, 2021, 2022, 2023, 2024)</w:t>
            </w:r>
          </w:p>
        </w:tc>
        <w:tc>
          <w:tcPr>
            <w:tcW w:w="1124" w:type="dxa"/>
            <w:tcBorders/>
            <w:vAlign w:val="center"/>
          </w:tcPr>
          <w:p>
            <w:pPr>
              <w:pStyle w:val="TableContents"/>
              <w:bidi w:val="0"/>
              <w:jc w:val="right"/>
              <w:rPr/>
            </w:pPr>
            <w:r>
              <w:rPr/>
              <w:t>0.0% to 16.7%</w:t>
            </w:r>
          </w:p>
        </w:tc>
        <w:tc>
          <w:tcPr>
            <w:tcW w:w="1236" w:type="dxa"/>
            <w:tcBorders/>
            <w:vAlign w:val="center"/>
          </w:tcPr>
          <w:p>
            <w:pPr>
              <w:pStyle w:val="TableContents"/>
              <w:bidi w:val="0"/>
              <w:jc w:val="right"/>
              <w:rPr/>
            </w:pPr>
            <w:r>
              <w:rPr/>
              <w:t>2025 22.6%</w:t>
            </w:r>
          </w:p>
        </w:tc>
        <w:tc>
          <w:tcPr>
            <w:tcW w:w="1249" w:type="dxa"/>
            <w:tcBorders/>
            <w:vAlign w:val="center"/>
          </w:tcPr>
          <w:p>
            <w:pPr>
              <w:pStyle w:val="TableContents"/>
              <w:bidi w:val="0"/>
              <w:jc w:val="right"/>
              <w:rPr/>
            </w:pPr>
            <w:r>
              <w:rPr/>
              <w:t>0.1% to 6.4%</w:t>
            </w:r>
          </w:p>
        </w:tc>
        <w:tc>
          <w:tcPr>
            <w:tcW w:w="1260" w:type="dxa"/>
            <w:tcBorders/>
            <w:vAlign w:val="center"/>
          </w:tcPr>
          <w:p>
            <w:pPr>
              <w:pStyle w:val="TableContents"/>
              <w:bidi w:val="0"/>
              <w:jc w:val="right"/>
              <w:rPr/>
            </w:pPr>
            <w:r>
              <w:rPr/>
              <w:t>2025 2.5%</w:t>
            </w:r>
          </w:p>
        </w:tc>
        <w:tc>
          <w:tcPr>
            <w:tcW w:w="1617" w:type="dxa"/>
            <w:tcBorders/>
            <w:vAlign w:val="center"/>
          </w:tcPr>
          <w:p>
            <w:pPr>
              <w:pStyle w:val="TableContents"/>
              <w:bidi w:val="0"/>
              <w:jc w:val="right"/>
              <w:rPr/>
            </w:pPr>
            <w:r>
              <w:rPr/>
              <w:t>9.1% to 23.5%</w:t>
            </w:r>
          </w:p>
        </w:tc>
        <w:tc>
          <w:tcPr>
            <w:tcW w:w="1714" w:type="dxa"/>
            <w:tcBorders/>
            <w:vAlign w:val="center"/>
          </w:tcPr>
          <w:p>
            <w:pPr>
              <w:pStyle w:val="TableContents"/>
              <w:bidi w:val="0"/>
              <w:jc w:val="right"/>
              <w:rPr/>
            </w:pPr>
            <w:r>
              <w:rPr/>
              <w:t>2025 39.1%</w:t>
            </w:r>
          </w:p>
        </w:tc>
      </w:tr>
    </w:tbl>
    <w:p>
      <w:pPr>
        <w:pStyle w:val="BodyText"/>
        <w:bidi w:val="0"/>
        <w:jc w:val="left"/>
        <w:rPr/>
      </w:pPr>
      <w:r>
        <w:rPr/>
        <w:t>January 2026's days against the February 2025 days above and at or below the month's figure, on freezing hours and on the mean plan lag:</w:t>
      </w:r>
    </w:p>
    <w:tbl>
      <w:tblPr>
        <w:tblW w:w="10539" w:type="dxa"/>
        <w:jc w:val="left"/>
        <w:tblInd w:w="28" w:type="dxa"/>
        <w:tblLayout w:type="fixed"/>
        <w:tblCellMar>
          <w:top w:w="28" w:type="dxa"/>
          <w:left w:w="28" w:type="dxa"/>
          <w:bottom w:w="28" w:type="dxa"/>
          <w:right w:w="28" w:type="dxa"/>
        </w:tblCellMar>
      </w:tblPr>
      <w:tblGrid>
        <w:gridCol w:w="2987"/>
        <w:gridCol w:w="1586"/>
        <w:gridCol w:w="1641"/>
        <w:gridCol w:w="1698"/>
        <w:gridCol w:w="1641"/>
        <w:gridCol w:w="986"/>
      </w:tblGrid>
      <w:tr>
        <w:trPr>
          <w:tblHeader w:val="true"/>
        </w:trPr>
        <w:tc>
          <w:tcPr>
            <w:tcW w:w="2987" w:type="dxa"/>
            <w:tcBorders/>
            <w:vAlign w:val="center"/>
          </w:tcPr>
          <w:p>
            <w:pPr>
              <w:pStyle w:val="TableHeading"/>
              <w:suppressLineNumbers/>
              <w:bidi w:val="0"/>
              <w:jc w:val="center"/>
              <w:rPr/>
            </w:pPr>
            <w:r>
              <w:rPr/>
              <w:t>February 2025 days</w:t>
            </w:r>
          </w:p>
        </w:tc>
        <w:tc>
          <w:tcPr>
            <w:tcW w:w="1586" w:type="dxa"/>
            <w:tcBorders/>
            <w:vAlign w:val="center"/>
          </w:tcPr>
          <w:p>
            <w:pPr>
              <w:pStyle w:val="TableHeading"/>
              <w:bidi w:val="0"/>
              <w:jc w:val="right"/>
              <w:rPr/>
            </w:pPr>
            <w:r>
              <w:rPr/>
              <w:t>their freezing hours, range</w:t>
            </w:r>
          </w:p>
        </w:tc>
        <w:tc>
          <w:tcPr>
            <w:tcW w:w="1641" w:type="dxa"/>
            <w:tcBorders/>
            <w:vAlign w:val="center"/>
          </w:tcPr>
          <w:p>
            <w:pPr>
              <w:pStyle w:val="TableHeading"/>
              <w:bidi w:val="0"/>
              <w:jc w:val="right"/>
              <w:rPr/>
            </w:pPr>
            <w:r>
              <w:rPr/>
              <w:t>January 2026 days within it</w:t>
            </w:r>
          </w:p>
        </w:tc>
        <w:tc>
          <w:tcPr>
            <w:tcW w:w="1698" w:type="dxa"/>
            <w:tcBorders/>
            <w:vAlign w:val="center"/>
          </w:tcPr>
          <w:p>
            <w:pPr>
              <w:pStyle w:val="TableHeading"/>
              <w:bidi w:val="0"/>
              <w:jc w:val="right"/>
              <w:rPr/>
            </w:pPr>
            <w:r>
              <w:rPr/>
              <w:t>their plan-lag mean, range (s)</w:t>
            </w:r>
          </w:p>
        </w:tc>
        <w:tc>
          <w:tcPr>
            <w:tcW w:w="1641" w:type="dxa"/>
            <w:tcBorders/>
            <w:vAlign w:val="center"/>
          </w:tcPr>
          <w:p>
            <w:pPr>
              <w:pStyle w:val="TableHeading"/>
              <w:bidi w:val="0"/>
              <w:jc w:val="right"/>
              <w:rPr/>
            </w:pPr>
            <w:r>
              <w:rPr/>
              <w:t>January 2026 days within it</w:t>
            </w:r>
          </w:p>
        </w:tc>
        <w:tc>
          <w:tcPr>
            <w:tcW w:w="986" w:type="dxa"/>
            <w:tcBorders/>
            <w:vAlign w:val="center"/>
          </w:tcPr>
          <w:p>
            <w:pPr>
              <w:pStyle w:val="TableHeading"/>
              <w:bidi w:val="0"/>
              <w:jc w:val="right"/>
              <w:rPr/>
            </w:pPr>
            <w:r>
              <w:rPr/>
              <w:t>within both</w:t>
            </w:r>
          </w:p>
        </w:tc>
      </w:tr>
      <w:tr>
        <w:trPr/>
        <w:tc>
          <w:tcPr>
            <w:tcW w:w="2987" w:type="dxa"/>
            <w:tcBorders/>
            <w:vAlign w:val="center"/>
          </w:tcPr>
          <w:p>
            <w:pPr>
              <w:pStyle w:val="TableContents"/>
              <w:widowControl w:val="false"/>
              <w:suppressLineNumbers/>
              <w:bidi w:val="0"/>
              <w:jc w:val="left"/>
              <w:rPr/>
            </w:pPr>
            <w:r>
              <w:rPr/>
              <w:t>February days whose RMSE is above the month's 520.8 s (7)</w:t>
            </w:r>
          </w:p>
        </w:tc>
        <w:tc>
          <w:tcPr>
            <w:tcW w:w="1586" w:type="dxa"/>
            <w:tcBorders/>
            <w:vAlign w:val="center"/>
          </w:tcPr>
          <w:p>
            <w:pPr>
              <w:pStyle w:val="TableContents"/>
              <w:bidi w:val="0"/>
              <w:jc w:val="right"/>
              <w:rPr/>
            </w:pPr>
            <w:r>
              <w:rPr/>
              <w:t>10 to 20</w:t>
            </w:r>
          </w:p>
        </w:tc>
        <w:tc>
          <w:tcPr>
            <w:tcW w:w="1641" w:type="dxa"/>
            <w:tcBorders/>
            <w:vAlign w:val="center"/>
          </w:tcPr>
          <w:p>
            <w:pPr>
              <w:pStyle w:val="TableContents"/>
              <w:bidi w:val="0"/>
              <w:jc w:val="right"/>
              <w:rPr/>
            </w:pPr>
            <w:r>
              <w:rPr/>
              <w:t>3 of 31</w:t>
            </w:r>
          </w:p>
        </w:tc>
        <w:tc>
          <w:tcPr>
            <w:tcW w:w="1698" w:type="dxa"/>
            <w:tcBorders/>
            <w:vAlign w:val="center"/>
          </w:tcPr>
          <w:p>
            <w:pPr>
              <w:pStyle w:val="TableContents"/>
              <w:bidi w:val="0"/>
              <w:jc w:val="right"/>
              <w:rPr/>
            </w:pPr>
            <w:r>
              <w:rPr/>
              <w:t>+1,454 to +2,486</w:t>
            </w:r>
          </w:p>
        </w:tc>
        <w:tc>
          <w:tcPr>
            <w:tcW w:w="1641" w:type="dxa"/>
            <w:tcBorders/>
            <w:vAlign w:val="center"/>
          </w:tcPr>
          <w:p>
            <w:pPr>
              <w:pStyle w:val="TableContents"/>
              <w:bidi w:val="0"/>
              <w:jc w:val="right"/>
              <w:rPr/>
            </w:pPr>
            <w:r>
              <w:rPr/>
              <w:t>10 of 31</w:t>
            </w:r>
          </w:p>
        </w:tc>
        <w:tc>
          <w:tcPr>
            <w:tcW w:w="986" w:type="dxa"/>
            <w:tcBorders/>
            <w:vAlign w:val="center"/>
          </w:tcPr>
          <w:p>
            <w:pPr>
              <w:pStyle w:val="TableContents"/>
              <w:bidi w:val="0"/>
              <w:jc w:val="right"/>
              <w:rPr/>
            </w:pPr>
            <w:r>
              <w:rPr/>
              <w:t>3 of 31</w:t>
            </w:r>
          </w:p>
        </w:tc>
      </w:tr>
      <w:tr>
        <w:trPr/>
        <w:tc>
          <w:tcPr>
            <w:tcW w:w="2987" w:type="dxa"/>
            <w:tcBorders/>
            <w:vAlign w:val="center"/>
          </w:tcPr>
          <w:p>
            <w:pPr>
              <w:pStyle w:val="TableContents"/>
              <w:widowControl w:val="false"/>
              <w:suppressLineNumbers/>
              <w:bidi w:val="0"/>
              <w:jc w:val="left"/>
              <w:rPr/>
            </w:pPr>
            <w:r>
              <w:rPr/>
              <w:t>February days whose RMSE is at or below the month's 520.8 s (21)</w:t>
            </w:r>
          </w:p>
        </w:tc>
        <w:tc>
          <w:tcPr>
            <w:tcW w:w="1586" w:type="dxa"/>
            <w:tcBorders/>
            <w:vAlign w:val="center"/>
          </w:tcPr>
          <w:p>
            <w:pPr>
              <w:pStyle w:val="TableContents"/>
              <w:bidi w:val="0"/>
              <w:jc w:val="right"/>
              <w:rPr/>
            </w:pPr>
            <w:r>
              <w:rPr/>
              <w:t>0 to 18</w:t>
            </w:r>
          </w:p>
        </w:tc>
        <w:tc>
          <w:tcPr>
            <w:tcW w:w="1641" w:type="dxa"/>
            <w:tcBorders/>
            <w:vAlign w:val="center"/>
          </w:tcPr>
          <w:p>
            <w:pPr>
              <w:pStyle w:val="TableContents"/>
              <w:bidi w:val="0"/>
              <w:jc w:val="right"/>
              <w:rPr/>
            </w:pPr>
            <w:r>
              <w:rPr/>
              <w:t>29 of 31</w:t>
            </w:r>
          </w:p>
        </w:tc>
        <w:tc>
          <w:tcPr>
            <w:tcW w:w="1698" w:type="dxa"/>
            <w:tcBorders/>
            <w:vAlign w:val="center"/>
          </w:tcPr>
          <w:p>
            <w:pPr>
              <w:pStyle w:val="TableContents"/>
              <w:bidi w:val="0"/>
              <w:jc w:val="right"/>
              <w:rPr/>
            </w:pPr>
            <w:r>
              <w:rPr/>
              <w:t>+1,003 to +1,394</w:t>
            </w:r>
          </w:p>
        </w:tc>
        <w:tc>
          <w:tcPr>
            <w:tcW w:w="1641" w:type="dxa"/>
            <w:tcBorders/>
            <w:vAlign w:val="center"/>
          </w:tcPr>
          <w:p>
            <w:pPr>
              <w:pStyle w:val="TableContents"/>
              <w:bidi w:val="0"/>
              <w:jc w:val="right"/>
              <w:rPr/>
            </w:pPr>
            <w:r>
              <w:rPr/>
              <w:t>10 of 31</w:t>
            </w:r>
          </w:p>
        </w:tc>
        <w:tc>
          <w:tcPr>
            <w:tcW w:w="986" w:type="dxa"/>
            <w:tcBorders/>
            <w:vAlign w:val="center"/>
          </w:tcPr>
          <w:p>
            <w:pPr>
              <w:pStyle w:val="TableContents"/>
              <w:bidi w:val="0"/>
              <w:jc w:val="right"/>
              <w:rPr/>
            </w:pPr>
            <w:r>
              <w:rPr/>
              <w:t>10 of 31</w:t>
            </w:r>
          </w:p>
        </w:tc>
      </w:tr>
    </w:tbl>
    <w:p>
      <w:pPr>
        <w:pStyle w:val="BodyText"/>
        <w:bidi w:val="0"/>
        <w:jc w:val="left"/>
        <w:rPr/>
      </w:pPr>
      <w:r>
        <w:rPr/>
        <w:t>In the report's words: this is descriptive and decides nothing. The ranges come from 28 days of one airport-month, the error on a day is not its weather or its plan lag, and no figure here says what January 2026 will score. What it shows is the shape of the exposure §7.3 bounds: a winter month at this airport that froze more than any in its record was the model's worst ordinary month, and the ranking January sits inside the ordinary February days on freezing hours and divides on the plan lag.</w:t>
      </w:r>
    </w:p>
    <w:p>
      <w:pPr>
        <w:pStyle w:val="BodyText"/>
        <w:bidi w:val="0"/>
        <w:jc w:val="left"/>
        <w:rPr/>
      </w:pPr>
      <w:r>
        <w:rPr/>
        <w:t xml:space="preserve">Sources: </w:t>
      </w:r>
      <w:r>
        <w:rPr>
          <w:rStyle w:val="SourceText"/>
        </w:rPr>
        <w:t>reports/istanbul.md</w:t>
      </w:r>
      <w:r>
        <w:rPr/>
        <w:t xml:space="preserve">, </w:t>
      </w:r>
      <w:r>
        <w:rPr>
          <w:rStyle w:val="Emphasis"/>
        </w:rPr>
        <w:t>LTFM, February 2025, day by day</w:t>
      </w:r>
      <w:r>
        <w:rPr/>
        <w:t xml:space="preserve"> and </w:t>
      </w:r>
      <w:r>
        <w:rPr>
          <w:rStyle w:val="Emphasis"/>
        </w:rPr>
        <w:t>January 2026 against February 2025's days</w:t>
      </w:r>
      <w:r>
        <w:rPr/>
        <w:t>.</w:t>
      </w:r>
    </w:p>
    <w:p>
      <w:pPr>
        <w:pStyle w:val="Heading2"/>
        <w:bidi w:val="0"/>
        <w:jc w:val="left"/>
        <w:rPr/>
      </w:pPr>
      <w:r>
        <w:rPr/>
        <w:t>Annex H: where the last three blocks of the ladder lower the error</w:t>
      </w:r>
    </w:p>
    <w:p>
      <w:pPr>
        <w:pStyle w:val="BodyText"/>
        <w:bidi w:val="0"/>
        <w:jc w:val="left"/>
        <w:rPr/>
      </w:pPr>
      <w:r>
        <w:rPr/>
        <w:t>The three blocks above the stand occupancy, read against the rung below each, over the held-out year: their change in RMSE over all ten airports and at Fiumicino alone, and where each block's year-level reduction in squared error sits, by airport, by flight-plan record, by plan-lag band and by airline designator. The report carries every table; here the year-level figures and its three computed sentences.</w:t>
      </w:r>
    </w:p>
    <w:tbl>
      <w:tblPr>
        <w:tblW w:w="10539" w:type="dxa"/>
        <w:jc w:val="left"/>
        <w:tblInd w:w="28" w:type="dxa"/>
        <w:tblLayout w:type="fixed"/>
        <w:tblCellMar>
          <w:top w:w="28" w:type="dxa"/>
          <w:left w:w="28" w:type="dxa"/>
          <w:bottom w:w="28" w:type="dxa"/>
          <w:right w:w="28" w:type="dxa"/>
        </w:tblCellMar>
      </w:tblPr>
      <w:tblGrid>
        <w:gridCol w:w="4779"/>
        <w:gridCol w:w="932"/>
        <w:gridCol w:w="1438"/>
        <w:gridCol w:w="2719"/>
        <w:gridCol w:w="671"/>
      </w:tblGrid>
      <w:tr>
        <w:trPr>
          <w:tblHeader w:val="true"/>
        </w:trPr>
        <w:tc>
          <w:tcPr>
            <w:tcW w:w="4779" w:type="dxa"/>
            <w:tcBorders/>
            <w:vAlign w:val="center"/>
          </w:tcPr>
          <w:p>
            <w:pPr>
              <w:pStyle w:val="TableHeading"/>
              <w:suppressLineNumbers/>
              <w:bidi w:val="0"/>
              <w:jc w:val="center"/>
              <w:rPr/>
            </w:pPr>
            <w:r>
              <w:rPr/>
              <w:t>block</w:t>
            </w:r>
          </w:p>
        </w:tc>
        <w:tc>
          <w:tcPr>
            <w:tcW w:w="932" w:type="dxa"/>
            <w:tcBorders/>
            <w:vAlign w:val="center"/>
          </w:tcPr>
          <w:p>
            <w:pPr>
              <w:pStyle w:val="TableHeading"/>
              <w:suppressLineNumbers/>
              <w:bidi w:val="0"/>
              <w:jc w:val="center"/>
              <w:rPr/>
            </w:pPr>
            <w:r>
              <w:rPr/>
              <w:t>airports</w:t>
            </w:r>
          </w:p>
        </w:tc>
        <w:tc>
          <w:tcPr>
            <w:tcW w:w="1438" w:type="dxa"/>
            <w:tcBorders/>
            <w:vAlign w:val="center"/>
          </w:tcPr>
          <w:p>
            <w:pPr>
              <w:pStyle w:val="TableHeading"/>
              <w:bidi w:val="0"/>
              <w:jc w:val="right"/>
              <w:rPr/>
            </w:pPr>
            <w:r>
              <w:rPr/>
              <w:t>here (s) [4 h or less]</w:t>
            </w:r>
          </w:p>
        </w:tc>
        <w:tc>
          <w:tcPr>
            <w:tcW w:w="2719" w:type="dxa"/>
            <w:tcBorders/>
            <w:vAlign w:val="center"/>
          </w:tcPr>
          <w:p>
            <w:pPr>
              <w:pStyle w:val="TableHeading"/>
              <w:bidi w:val="0"/>
              <w:jc w:val="right"/>
              <w:rPr/>
            </w:pPr>
            <w:r>
              <w:rPr>
                <w:rStyle w:val="SourceText"/>
              </w:rPr>
              <w:t>monthly_ladder.md</w:t>
            </w:r>
            <w:r>
              <w:rPr/>
              <w:t xml:space="preserve"> (s)</w:t>
            </w:r>
          </w:p>
        </w:tc>
        <w:tc>
          <w:tcPr>
            <w:tcW w:w="671" w:type="dxa"/>
            <w:tcBorders/>
            <w:vAlign w:val="center"/>
          </w:tcPr>
          <w:p>
            <w:pPr>
              <w:pStyle w:val="TableHeading"/>
              <w:suppressLineNumbers/>
              <w:bidi w:val="0"/>
              <w:jc w:val="center"/>
              <w:rPr/>
            </w:pPr>
            <w:r>
              <w:rPr/>
              <w:t>same</w:t>
            </w:r>
          </w:p>
        </w:tc>
      </w:tr>
      <w:tr>
        <w:trPr/>
        <w:tc>
          <w:tcPr>
            <w:tcW w:w="4779"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-3.3 [-3.4]</w:t>
            </w:r>
          </w:p>
        </w:tc>
        <w:tc>
          <w:tcPr>
            <w:tcW w:w="2719" w:type="dxa"/>
            <w:tcBorders/>
            <w:vAlign w:val="center"/>
          </w:tcPr>
          <w:p>
            <w:pPr>
              <w:pStyle w:val="TableContents"/>
              <w:bidi w:val="0"/>
              <w:jc w:val="right"/>
              <w:rPr/>
            </w:pPr>
            <w:r>
              <w:rPr/>
              <w:t>-3.3 [-3.4]</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-22.1 [-23.5]</w:t>
            </w:r>
          </w:p>
        </w:tc>
        <w:tc>
          <w:tcPr>
            <w:tcW w:w="2719" w:type="dxa"/>
            <w:tcBorders/>
            <w:vAlign w:val="center"/>
          </w:tcPr>
          <w:p>
            <w:pPr>
              <w:pStyle w:val="TableContents"/>
              <w:bidi w:val="0"/>
              <w:jc w:val="right"/>
              <w:rPr/>
            </w:pPr>
            <w:r>
              <w:rPr/>
              <w:t>-22.1 [-23.5]</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-1.4 [-1.7]</w:t>
            </w:r>
          </w:p>
        </w:tc>
        <w:tc>
          <w:tcPr>
            <w:tcW w:w="2719" w:type="dxa"/>
            <w:tcBorders/>
            <w:vAlign w:val="center"/>
          </w:tcPr>
          <w:p>
            <w:pPr>
              <w:pStyle w:val="TableContents"/>
              <w:bidi w:val="0"/>
              <w:jc w:val="right"/>
              <w:rPr/>
            </w:pPr>
            <w:r>
              <w:rPr/>
              <w:t>-1.4 [-1.7]</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-6.5 [-8.8]</w:t>
            </w:r>
          </w:p>
        </w:tc>
        <w:tc>
          <w:tcPr>
            <w:tcW w:w="2719" w:type="dxa"/>
            <w:tcBorders/>
            <w:vAlign w:val="center"/>
          </w:tcPr>
          <w:p>
            <w:pPr>
              <w:pStyle w:val="TableContents"/>
              <w:bidi w:val="0"/>
              <w:jc w:val="right"/>
              <w:rPr/>
            </w:pPr>
            <w:r>
              <w:rPr/>
              <w:t>-6.5 [-8.8]</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-2.2 [-2.0]</w:t>
            </w:r>
          </w:p>
        </w:tc>
        <w:tc>
          <w:tcPr>
            <w:tcW w:w="2719" w:type="dxa"/>
            <w:tcBorders/>
            <w:vAlign w:val="center"/>
          </w:tcPr>
          <w:p>
            <w:pPr>
              <w:pStyle w:val="TableContents"/>
              <w:bidi w:val="0"/>
              <w:jc w:val="right"/>
              <w:rPr/>
            </w:pPr>
            <w:r>
              <w:rPr/>
              <w:t>-2.2 [-2.0]</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-6.2 [-4.4]</w:t>
            </w:r>
          </w:p>
        </w:tc>
        <w:tc>
          <w:tcPr>
            <w:tcW w:w="2719" w:type="dxa"/>
            <w:tcBorders/>
            <w:vAlign w:val="center"/>
          </w:tcPr>
          <w:p>
            <w:pPr>
              <w:pStyle w:val="TableContents"/>
              <w:bidi w:val="0"/>
              <w:jc w:val="right"/>
              <w:rPr/>
            </w:pPr>
            <w:r>
              <w:rPr/>
              <w:t>-6.2 [-4.4]</w:t>
            </w:r>
          </w:p>
        </w:tc>
        <w:tc>
          <w:tcPr>
            <w:tcW w:w="671" w:type="dxa"/>
            <w:tcBorders/>
            <w:vAlign w:val="center"/>
          </w:tcPr>
          <w:p>
            <w:pPr>
              <w:pStyle w:val="TableContents"/>
              <w:widowControl w:val="false"/>
              <w:suppressLineNumbers/>
              <w:bidi w:val="0"/>
              <w:jc w:val="left"/>
              <w:rPr/>
            </w:pPr>
            <w:r>
              <w:rPr/>
              <w:t>yes</w:t>
            </w:r>
          </w:p>
        </w:tc>
      </w:tr>
    </w:tbl>
    <w:p>
      <w:pPr>
        <w:pStyle w:val="BodyText"/>
        <w:bidi w:val="0"/>
        <w:jc w:val="left"/>
        <w:rPr/>
      </w:pPr>
      <w:r>
        <w:rPr>
          <w:rStyle w:val="SourceText"/>
        </w:rPr>
        <w:t>+ callsign prefix</w:t>
      </w:r>
      <w:r>
        <w:rPr>
          <w:rStyle w:val="Strong"/>
        </w:rPr>
        <w:t xml:space="preserve"> against </w:t>
      </w:r>
      <w:r>
        <w:rPr>
          <w:rStyle w:val="SourceText"/>
        </w:rPr>
        <w:t>+ stand occupancy</w:t>
      </w:r>
      <w:r>
        <w:rPr>
          <w:rStyle w:val="Strong"/>
        </w:rPr>
        <w:t>: 86.0% of the year-level reduction sits at LIRF</w:t>
      </w:r>
      <w:r>
        <w:rPr/>
        <w:t xml:space="preserve"> [85.2% over the rows of 4 h or less, a diagnostic, as is every bracket in this sentence]; the next airport is EGLL at 7.0% [7.5%]. Within LIRF, 100.0% [100.0%] of its change is on rows with a flight-plan record, 42.1% [45.5%] in the 15-30 band, the largest of the bands with 30 rows or more, and 15.4% [16.6%] on one designator, ISR (30.5% [24.9%] on the top three).</w:t>
      </w:r>
    </w:p>
    <w:p>
      <w:pPr>
        <w:pStyle w:val="BodyText"/>
        <w:bidi w:val="0"/>
        <w:jc w:val="left"/>
        <w:rPr/>
      </w:pPr>
      <w:r>
        <w:rPr>
          <w:rStyle w:val="SourceText"/>
        </w:rPr>
        <w:t>+ destination and holidays</w:t>
      </w:r>
      <w:r>
        <w:rPr>
          <w:rStyle w:val="Strong"/>
        </w:rPr>
        <w:t xml:space="preserve"> against </w:t>
      </w:r>
      <w:r>
        <w:rPr>
          <w:rStyle w:val="SourceText"/>
        </w:rPr>
        <w:t>+ callsign prefix</w:t>
      </w:r>
      <w:r>
        <w:rPr>
          <w:rStyle w:val="Strong"/>
        </w:rPr>
        <w:t>: 58.3% of the year-level reduction sits at LIRF</w:t>
      </w:r>
      <w:r>
        <w:rPr/>
        <w:t xml:space="preserve"> [62.8% over the rows of 4 h or less, a diagnostic, as is every bracket in this sentence]; the next airport is LTFM at 23.0% [21.5%]. Within LIRF, 100.0% [100.0%] of its change is on rows with a flight-plan record, 57.2% [49.7%] in the 15-30 band, the largest of the bands with 30 rows or more, and 43.1% [37.5%] on one designator, EXS (76.3% [79.4%] on the top three).</w:t>
      </w:r>
    </w:p>
    <w:p>
      <w:pPr>
        <w:pStyle w:val="BodyText"/>
        <w:bidi w:val="0"/>
        <w:jc w:val="left"/>
        <w:rPr/>
      </w:pPr>
      <w:r>
        <w:rPr>
          <w:rStyle w:val="SourceText"/>
        </w:rPr>
        <w:t>+ plan differences</w:t>
      </w:r>
      <w:r>
        <w:rPr>
          <w:rStyle w:val="Strong"/>
        </w:rPr>
        <w:t xml:space="preserve"> against </w:t>
      </w:r>
      <w:r>
        <w:rPr>
          <w:rStyle w:val="SourceText"/>
        </w:rPr>
        <w:t>+ destination and holidays</w:t>
      </w:r>
      <w:r>
        <w:rPr>
          <w:rStyle w:val="Strong"/>
        </w:rPr>
        <w:t>: 35.4% of the year-level reduction sits at LIRF</w:t>
      </w:r>
      <w:r>
        <w:rPr/>
        <w:t xml:space="preserve"> [26.5% over the rows of 4 h or less, a diagnostic, as is every bracket in this sentence]; the next airport is LFPG at 34.7% [36.4%]. Within LIRF, 100.0% [100.0%] of its change is on rows with a flight-plan record, 24.2% [39.9%] in the 15-30 band, the largest of the bands with 30 rows or more, and 43.9% [7.7%] on one designator, AEZ (70.9% [52.0%] on the top three).</w:t>
      </w:r>
    </w:p>
    <w:p>
      <w:pPr>
        <w:pStyle w:val="BodyText"/>
        <w:bidi w:val="0"/>
        <w:jc w:val="left"/>
        <w:rPr/>
      </w:pPr>
      <w:r>
        <w:rPr/>
        <w:t xml:space="preserve">The designators are printed as </w:t>
      </w:r>
      <w:r>
        <w:rPr>
          <w:rStyle w:val="SourceText"/>
        </w:rPr>
        <w:t>reports/residual.md</w:t>
      </w:r>
      <w:r>
        <w:rPr/>
        <w:t xml:space="preserve"> prints them. What the three sentences say together: the last three blocks are, over the year, mostly a Fiumicino correction, all of it on rows that have a flight-plan record, and for the plan differences much of the Fiumicino share rests on the one July day-shift row of Annex F, since the share falls from 35.4% to 26.5% when that row is left out. On the forward splits the same blocks are worth 2.11, 1.79 and 1.14 s in December and 4.64, 1.49 and 4.55 in July (§7.2).</w:t>
      </w:r>
    </w:p>
    <w:p>
      <w:pPr>
        <w:pStyle w:val="BodyText"/>
        <w:bidi w:val="0"/>
        <w:jc w:val="left"/>
        <w:rPr/>
      </w:pPr>
      <w:r>
        <w:rPr/>
        <w:t xml:space="preserve">Sources: </w:t>
      </w:r>
      <w:r>
        <w:rPr>
          <w:rStyle w:val="SourceText"/>
        </w:rPr>
        <w:t>reports/fiumicino.md</w:t>
      </w:r>
      <w:r>
        <w:rPr/>
        <w:t xml:space="preserve">, </w:t>
      </w:r>
      <w:r>
        <w:rPr>
          <w:rStyle w:val="Emphasis"/>
        </w:rPr>
        <w:t>The held-out-month ladder's year-level changes, recomputed</w:t>
      </w:r>
      <w:r>
        <w:rPr/>
        <w:t xml:space="preserve">, </w:t>
      </w:r>
      <w:r>
        <w:rPr>
          <w:rStyle w:val="SourceText"/>
        </w:rPr>
        <w:t>+ callsign prefix</w:t>
      </w:r>
      <w:r>
        <w:rPr>
          <w:rStyle w:val="Emphasis"/>
        </w:rPr>
        <w:t xml:space="preserve"> against </w:t>
      </w:r>
      <w:r>
        <w:rPr>
          <w:rStyle w:val="SourceText"/>
        </w:rPr>
        <w:t>+ stand occupancy</w:t>
      </w:r>
      <w:r>
        <w:rPr/>
        <w:t xml:space="preserve">, </w:t>
      </w:r>
      <w:r>
        <w:rPr>
          <w:rStyle w:val="SourceText"/>
        </w:rPr>
        <w:t>+ destination and holidays</w:t>
      </w:r>
      <w:r>
        <w:rPr>
          <w:rStyle w:val="Emphasis"/>
        </w:rPr>
        <w:t xml:space="preserve"> against </w:t>
      </w:r>
      <w:r>
        <w:rPr>
          <w:rStyle w:val="SourceText"/>
        </w:rPr>
        <w:t>+ callsign prefix</w:t>
      </w:r>
      <w:r>
        <w:rPr/>
        <w:t xml:space="preserve"> and </w:t>
      </w:r>
      <w:r>
        <w:rPr>
          <w:rStyle w:val="SourceText"/>
        </w:rPr>
        <w:t>+ plan differences</w:t>
      </w:r>
      <w:r>
        <w:rPr>
          <w:rStyle w:val="Emphasis"/>
        </w:rPr>
        <w:t xml:space="preserve"> against </w:t>
      </w:r>
      <w:r>
        <w:rPr>
          <w:rStyle w:val="SourceText"/>
        </w:rPr>
        <w:t>+ destination and holidays</w:t>
      </w:r>
      <w:r>
        <w:rPr/>
        <w:t xml:space="preserve">; </w:t>
      </w:r>
      <w:r>
        <w:rPr>
          <w:rStyle w:val="SourceText"/>
        </w:rPr>
        <w:t>reports/baseline.md</w:t>
      </w:r>
      <w:r>
        <w:rPr/>
        <w:t xml:space="preserve">, </w:t>
      </w:r>
      <w:r>
        <w:rPr>
          <w:rStyle w:val="Emphasis"/>
        </w:rPr>
        <w:t>The Gate 2c blocks</w:t>
      </w:r>
      <w:r>
        <w:rPr/>
        <w:t>.</w:t>
      </w:r>
    </w:p>
    <w:p>
      <w:pPr>
        <w:pStyle w:val="Heading2"/>
        <w:bidi w:val="0"/>
        <w:jc w:val="left"/>
        <w:rPr/>
      </w:pPr>
      <w:r>
        <w:rPr/>
        <w:t>Annex I: the plan-shifted departures, evaluated after the rule was fixed</w:t>
      </w:r>
    </w:p>
    <w:p>
      <w:pPr>
        <w:pStyle w:val="BodyText"/>
        <w:bidi w:val="0"/>
        <w:jc w:val="left"/>
        <w:rPr/>
      </w:pPr>
      <w:r>
        <w:rPr/>
        <w:t>The rule of §4 as the report evaluated it on the stored residuals, after the pre-registration fixed it and before it was built into the submitted file. The class in the training year, per departure (no identifiers):</w:t>
      </w:r>
    </w:p>
    <w:tbl>
      <w:tblPr>
        <w:tblW w:w="10539" w:type="dxa"/>
        <w:jc w:val="left"/>
        <w:tblInd w:w="28" w:type="dxa"/>
        <w:tblLayout w:type="fixed"/>
        <w:tblCellMar>
          <w:top w:w="28" w:type="dxa"/>
          <w:left w:w="28" w:type="dxa"/>
          <w:bottom w:w="28" w:type="dxa"/>
          <w:right w:w="28" w:type="dxa"/>
        </w:tblCellMar>
      </w:tblPr>
      <w:tblGrid>
        <w:gridCol w:w="854"/>
        <w:gridCol w:w="909"/>
        <w:gridCol w:w="1557"/>
        <w:gridCol w:w="1760"/>
        <w:gridCol w:w="1520"/>
        <w:gridCol w:w="1734"/>
        <w:gridCol w:w="1613"/>
        <w:gridCol w:w="592"/>
      </w:tblGrid>
      <w:tr>
        <w:trPr>
          <w:tblHeader w:val="true"/>
        </w:trPr>
        <w:tc>
          <w:tcPr>
            <w:tcW w:w="854" w:type="dxa"/>
            <w:tcBorders/>
            <w:vAlign w:val="center"/>
          </w:tcPr>
          <w:p>
            <w:pPr>
              <w:pStyle w:val="TableHeading"/>
              <w:suppressLineNumbers/>
              <w:bidi w:val="0"/>
              <w:jc w:val="center"/>
              <w:rPr/>
            </w:pPr>
            <w:r>
              <w:rPr/>
              <w:t>airport</w:t>
            </w:r>
          </w:p>
        </w:tc>
        <w:tc>
          <w:tcPr>
            <w:tcW w:w="909" w:type="dxa"/>
            <w:tcBorders/>
            <w:vAlign w:val="center"/>
          </w:tcPr>
          <w:p>
            <w:pPr>
              <w:pStyle w:val="TableHeading"/>
              <w:suppressLineNumbers/>
              <w:bidi w:val="0"/>
              <w:jc w:val="center"/>
              <w:rPr/>
            </w:pPr>
            <w:r>
              <w:rPr/>
              <w:t>month</w:t>
            </w:r>
          </w:p>
        </w:tc>
        <w:tc>
          <w:tcPr>
            <w:tcW w:w="1557" w:type="dxa"/>
            <w:tcBorders/>
            <w:vAlign w:val="center"/>
          </w:tcPr>
          <w:p>
            <w:pPr>
              <w:pStyle w:val="TableHeading"/>
              <w:suppressLineNumbers/>
              <w:bidi w:val="0"/>
              <w:jc w:val="center"/>
              <w:rPr/>
            </w:pPr>
            <w:r>
              <w:rPr/>
              <w:t>flight-plan record</w:t>
            </w:r>
          </w:p>
        </w:tc>
        <w:tc>
          <w:tcPr>
            <w:tcW w:w="1760" w:type="dxa"/>
            <w:tcBorders/>
            <w:vAlign w:val="center"/>
          </w:tcPr>
          <w:p>
            <w:pPr>
              <w:pStyle w:val="TableHeading"/>
              <w:bidi w:val="0"/>
              <w:jc w:val="right"/>
              <w:rPr/>
            </w:pPr>
            <w:r>
              <w:rPr/>
              <w:t>take-off - EOBT_1 (h)</w:t>
            </w:r>
          </w:p>
        </w:tc>
        <w:tc>
          <w:tcPr>
            <w:tcW w:w="1520" w:type="dxa"/>
            <w:tcBorders/>
            <w:vAlign w:val="center"/>
          </w:tcPr>
          <w:p>
            <w:pPr>
              <w:pStyle w:val="TableHeading"/>
              <w:bidi w:val="0"/>
              <w:jc w:val="right"/>
              <w:rPr/>
            </w:pPr>
            <w:r>
              <w:rPr/>
              <w:t>take-off - LOBT (h)</w:t>
            </w:r>
          </w:p>
        </w:tc>
        <w:tc>
          <w:tcPr>
            <w:tcW w:w="1734" w:type="dxa"/>
            <w:tcBorders/>
            <w:vAlign w:val="center"/>
          </w:tcPr>
          <w:p>
            <w:pPr>
              <w:pStyle w:val="TableHeading"/>
              <w:bidi w:val="0"/>
              <w:jc w:val="right"/>
              <w:rPr/>
            </w:pPr>
            <w:r>
              <w:rPr/>
              <w:t>take-off - schedule (h)</w:t>
            </w:r>
          </w:p>
        </w:tc>
        <w:tc>
          <w:tcPr>
            <w:tcW w:w="1613" w:type="dxa"/>
            <w:tcBorders/>
            <w:vAlign w:val="center"/>
          </w:tcPr>
          <w:p>
            <w:pPr>
              <w:pStyle w:val="TableHeading"/>
              <w:bidi w:val="0"/>
              <w:jc w:val="right"/>
              <w:rPr/>
            </w:pPr>
            <w:r>
              <w:rPr/>
              <w:t>recorded taxi-out (s)</w:t>
            </w:r>
          </w:p>
        </w:tc>
        <w:tc>
          <w:tcPr>
            <w:tcW w:w="592" w:type="dxa"/>
            <w:tcBorders/>
            <w:vAlign w:val="center"/>
          </w:tcPr>
          <w:p>
            <w:pPr>
              <w:pStyle w:val="TableHeading"/>
              <w:suppressLineNumbers/>
              <w:bidi w:val="0"/>
              <w:jc w:val="center"/>
              <w:rPr/>
            </w:pPr>
            <w:r>
              <w:rPr/>
              <w:t>long</w:t>
            </w:r>
          </w:p>
        </w:tc>
      </w:tr>
      <w:tr>
        <w:trPr/>
        <w:tc>
          <w:tcPr>
            <w:tcW w:w="854" w:type="dxa"/>
            <w:tcBorders/>
            <w:vAlign w:val="center"/>
          </w:tcPr>
          <w:p>
            <w:pPr>
              <w:pStyle w:val="TableContents"/>
              <w:widowControl w:val="false"/>
              <w:suppressLineNumbers/>
              <w:bidi w:val="0"/>
              <w:jc w:val="left"/>
              <w:rPr/>
            </w:pPr>
            <w:r>
              <w:rPr/>
              <w:t>LIRF</w:t>
            </w:r>
          </w:p>
        </w:tc>
        <w:tc>
          <w:tcPr>
            <w:tcW w:w="909" w:type="dxa"/>
            <w:tcBorders/>
            <w:vAlign w:val="center"/>
          </w:tcPr>
          <w:p>
            <w:pPr>
              <w:pStyle w:val="TableContents"/>
              <w:widowControl w:val="false"/>
              <w:suppressLineNumbers/>
              <w:bidi w:val="0"/>
              <w:jc w:val="left"/>
              <w:rPr/>
            </w:pPr>
            <w:r>
              <w:rPr/>
              <w:t>Feb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4.58</w:t>
            </w:r>
          </w:p>
        </w:tc>
        <w:tc>
          <w:tcPr>
            <w:tcW w:w="1520" w:type="dxa"/>
            <w:tcBorders/>
            <w:vAlign w:val="center"/>
          </w:tcPr>
          <w:p>
            <w:pPr>
              <w:pStyle w:val="TableContents"/>
              <w:bidi w:val="0"/>
              <w:jc w:val="right"/>
              <w:rPr/>
            </w:pPr>
            <w:r>
              <w:rPr/>
              <w:t>4.60</w:t>
            </w:r>
          </w:p>
        </w:tc>
        <w:tc>
          <w:tcPr>
            <w:tcW w:w="1734" w:type="dxa"/>
            <w:tcBorders/>
            <w:vAlign w:val="center"/>
          </w:tcPr>
          <w:p>
            <w:pPr>
              <w:pStyle w:val="TableContents"/>
              <w:bidi w:val="0"/>
              <w:jc w:val="right"/>
              <w:rPr/>
            </w:pPr>
            <w:r>
              <w:rPr/>
              <w:t>3.85</w:t>
            </w:r>
          </w:p>
        </w:tc>
        <w:tc>
          <w:tcPr>
            <w:tcW w:w="1613" w:type="dxa"/>
            <w:tcBorders/>
            <w:vAlign w:val="center"/>
          </w:tcPr>
          <w:p>
            <w:pPr>
              <w:pStyle w:val="TableContents"/>
              <w:bidi w:val="0"/>
              <w:jc w:val="right"/>
              <w:rPr/>
            </w:pPr>
            <w:r>
              <w:rPr/>
              <w:t>13,865</w:t>
            </w:r>
          </w:p>
        </w:tc>
        <w:tc>
          <w:tcPr>
            <w:tcW w:w="592" w:type="dxa"/>
            <w:tcBorders/>
            <w:vAlign w:val="center"/>
          </w:tcPr>
          <w:p>
            <w:pPr>
              <w:pStyle w:val="TableContents"/>
              <w:widowControl w:val="false"/>
              <w:suppressLineNumbers/>
              <w:bidi w:val="0"/>
              <w:jc w:val="left"/>
              <w:rPr/>
            </w:pPr>
            <w:r>
              <w:rPr/>
              <w:t>no</w:t>
            </w:r>
          </w:p>
        </w:tc>
      </w:tr>
      <w:tr>
        <w:trPr/>
        <w:tc>
          <w:tcPr>
            <w:tcW w:w="854" w:type="dxa"/>
            <w:tcBorders/>
            <w:vAlign w:val="center"/>
          </w:tcPr>
          <w:p>
            <w:pPr>
              <w:pStyle w:val="TableContents"/>
              <w:widowControl w:val="false"/>
              <w:suppressLineNumbers/>
              <w:bidi w:val="0"/>
              <w:jc w:val="left"/>
              <w:rPr/>
            </w:pPr>
            <w:r>
              <w:rPr/>
              <w:t>LFPG</w:t>
            </w:r>
          </w:p>
        </w:tc>
        <w:tc>
          <w:tcPr>
            <w:tcW w:w="909" w:type="dxa"/>
            <w:tcBorders/>
            <w:vAlign w:val="center"/>
          </w:tcPr>
          <w:p>
            <w:pPr>
              <w:pStyle w:val="TableContents"/>
              <w:widowControl w:val="false"/>
              <w:suppressLineNumbers/>
              <w:bidi w:val="0"/>
              <w:jc w:val="left"/>
              <w:rPr/>
            </w:pPr>
            <w:r>
              <w:rPr/>
              <w:t>Mar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5.65</w:t>
            </w:r>
          </w:p>
        </w:tc>
        <w:tc>
          <w:tcPr>
            <w:tcW w:w="1520" w:type="dxa"/>
            <w:tcBorders/>
            <w:vAlign w:val="center"/>
          </w:tcPr>
          <w:p>
            <w:pPr>
              <w:pStyle w:val="TableContents"/>
              <w:bidi w:val="0"/>
              <w:jc w:val="right"/>
              <w:rPr/>
            </w:pPr>
            <w:r>
              <w:rPr/>
              <w:t>5.85</w:t>
            </w:r>
          </w:p>
        </w:tc>
        <w:tc>
          <w:tcPr>
            <w:tcW w:w="1734" w:type="dxa"/>
            <w:tcBorders/>
            <w:vAlign w:val="center"/>
          </w:tcPr>
          <w:p>
            <w:pPr>
              <w:pStyle w:val="TableContents"/>
              <w:bidi w:val="0"/>
              <w:jc w:val="right"/>
              <w:rPr/>
            </w:pPr>
            <w:r>
              <w:rPr/>
              <w:t>5.85</w:t>
            </w:r>
          </w:p>
        </w:tc>
        <w:tc>
          <w:tcPr>
            <w:tcW w:w="1613" w:type="dxa"/>
            <w:tcBorders/>
            <w:vAlign w:val="center"/>
          </w:tcPr>
          <w:p>
            <w:pPr>
              <w:pStyle w:val="TableContents"/>
              <w:bidi w:val="0"/>
              <w:jc w:val="right"/>
              <w:rPr/>
            </w:pPr>
            <w:r>
              <w:rPr/>
              <w:t>21,308</w:t>
            </w:r>
          </w:p>
        </w:tc>
        <w:tc>
          <w:tcPr>
            <w:tcW w:w="592" w:type="dxa"/>
            <w:tcBorders/>
            <w:vAlign w:val="center"/>
          </w:tcPr>
          <w:p>
            <w:pPr>
              <w:pStyle w:val="TableContents"/>
              <w:widowControl w:val="false"/>
              <w:suppressLineNumbers/>
              <w:bidi w:val="0"/>
              <w:jc w:val="left"/>
              <w:rPr/>
            </w:pPr>
            <w:r>
              <w:rPr/>
              <w:t>yes</w:t>
            </w:r>
          </w:p>
        </w:tc>
      </w:tr>
      <w:tr>
        <w:trPr/>
        <w:tc>
          <w:tcPr>
            <w:tcW w:w="854" w:type="dxa"/>
            <w:tcBorders/>
            <w:vAlign w:val="center"/>
          </w:tcPr>
          <w:p>
            <w:pPr>
              <w:pStyle w:val="TableContents"/>
              <w:widowControl w:val="false"/>
              <w:suppressLineNumbers/>
              <w:bidi w:val="0"/>
              <w:jc w:val="left"/>
              <w:rPr/>
            </w:pPr>
            <w:r>
              <w:rPr/>
              <w:t>LIRF</w:t>
            </w:r>
          </w:p>
        </w:tc>
        <w:tc>
          <w:tcPr>
            <w:tcW w:w="909" w:type="dxa"/>
            <w:tcBorders/>
            <w:vAlign w:val="center"/>
          </w:tcPr>
          <w:p>
            <w:pPr>
              <w:pStyle w:val="TableContents"/>
              <w:widowControl w:val="false"/>
              <w:suppressLineNumbers/>
              <w:bidi w:val="0"/>
              <w:jc w:val="left"/>
              <w:rPr/>
            </w:pPr>
            <w:r>
              <w:rPr/>
              <w:t>Jul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24.17</w:t>
            </w:r>
          </w:p>
        </w:tc>
        <w:tc>
          <w:tcPr>
            <w:tcW w:w="1520" w:type="dxa"/>
            <w:tcBorders/>
            <w:vAlign w:val="center"/>
          </w:tcPr>
          <w:p>
            <w:pPr>
              <w:pStyle w:val="TableContents"/>
              <w:bidi w:val="0"/>
              <w:jc w:val="right"/>
              <w:rPr/>
            </w:pPr>
            <w:r>
              <w:rPr/>
              <w:t>24.17</w:t>
            </w:r>
          </w:p>
        </w:tc>
        <w:tc>
          <w:tcPr>
            <w:tcW w:w="1734" w:type="dxa"/>
            <w:tcBorders/>
            <w:vAlign w:val="center"/>
          </w:tcPr>
          <w:p>
            <w:pPr>
              <w:pStyle w:val="TableContents"/>
              <w:bidi w:val="0"/>
              <w:jc w:val="right"/>
              <w:rPr/>
            </w:pPr>
            <w:r>
              <w:rPr/>
              <w:t>24.17</w:t>
            </w:r>
          </w:p>
        </w:tc>
        <w:tc>
          <w:tcPr>
            <w:tcW w:w="1613" w:type="dxa"/>
            <w:tcBorders/>
            <w:vAlign w:val="center"/>
          </w:tcPr>
          <w:p>
            <w:pPr>
              <w:pStyle w:val="TableContents"/>
              <w:bidi w:val="0"/>
              <w:jc w:val="right"/>
              <w:rPr/>
            </w:pPr>
            <w:r>
              <w:rPr/>
              <w:t>87,002</w:t>
            </w:r>
          </w:p>
        </w:tc>
        <w:tc>
          <w:tcPr>
            <w:tcW w:w="592" w:type="dxa"/>
            <w:tcBorders/>
            <w:vAlign w:val="center"/>
          </w:tcPr>
          <w:p>
            <w:pPr>
              <w:pStyle w:val="TableContents"/>
              <w:widowControl w:val="false"/>
              <w:suppressLineNumbers/>
              <w:bidi w:val="0"/>
              <w:jc w:val="left"/>
              <w:rPr/>
            </w:pPr>
            <w:r>
              <w:rPr/>
              <w:t>yes</w:t>
            </w:r>
          </w:p>
        </w:tc>
      </w:tr>
    </w:tbl>
    <w:p>
      <w:pPr>
        <w:pStyle w:val="BodyText"/>
        <w:bidi w:val="0"/>
        <w:jc w:val="left"/>
        <w:rPr/>
      </w:pPr>
      <w:r>
        <w:rPr>
          <w:rStyle w:val="SourceText"/>
        </w:rPr>
        <w:t>n</w:t>
      </w:r>
      <w:r>
        <w:rPr/>
        <w:t xml:space="preserve"> = 3, </w:t>
      </w:r>
      <w:r>
        <w:rPr>
          <w:rStyle w:val="SourceText"/>
        </w:rPr>
        <w:t>long</w:t>
      </w:r>
      <w:r>
        <w:rPr/>
        <w:t xml:space="preserve"> = 2, share = (2 + 1) / (3 + 2) = 0.6000. The rest mean per airport, over the training departures with a flight-plan record and a recorded taxi-out of 4 h or less:</w:t>
      </w:r>
    </w:p>
    <w:tbl>
      <w:tblPr>
        <w:tblW w:w="2322" w:type="dxa"/>
        <w:jc w:val="left"/>
        <w:tblInd w:w="28" w:type="dxa"/>
        <w:tblLayout w:type="fixed"/>
        <w:tblCellMar>
          <w:top w:w="28" w:type="dxa"/>
          <w:left w:w="28" w:type="dxa"/>
          <w:bottom w:w="28" w:type="dxa"/>
          <w:right w:w="28" w:type="dxa"/>
        </w:tblCellMar>
      </w:tblPr>
      <w:tblGrid>
        <w:gridCol w:w="854"/>
        <w:gridCol w:w="1468"/>
      </w:tblGrid>
      <w:tr>
        <w:trPr>
          <w:tblHeader w:val="true"/>
        </w:trPr>
        <w:tc>
          <w:tcPr>
            <w:tcW w:w="854" w:type="dxa"/>
            <w:tcBorders/>
            <w:vAlign w:val="center"/>
          </w:tcPr>
          <w:p>
            <w:pPr>
              <w:pStyle w:val="TableHeading"/>
              <w:suppressLineNumbers/>
              <w:bidi w:val="0"/>
              <w:jc w:val="center"/>
              <w:rPr/>
            </w:pPr>
            <w:r>
              <w:rPr/>
              <w:t>airport</w:t>
            </w:r>
          </w:p>
        </w:tc>
        <w:tc>
          <w:tcPr>
            <w:tcW w:w="1468" w:type="dxa"/>
            <w:tcBorders/>
            <w:vAlign w:val="center"/>
          </w:tcPr>
          <w:p>
            <w:pPr>
              <w:pStyle w:val="TableHeading"/>
              <w:bidi w:val="0"/>
              <w:jc w:val="right"/>
              <w:rPr/>
            </w:pPr>
            <w:r>
              <w:rPr/>
              <w:t>rest mean (s)</w:t>
            </w:r>
          </w:p>
        </w:tc>
      </w:tr>
      <w:tr>
        <w:trPr/>
        <w:tc>
          <w:tcPr>
            <w:tcW w:w="854" w:type="dxa"/>
            <w:tcBorders/>
            <w:vAlign w:val="center"/>
          </w:tcPr>
          <w:p>
            <w:pPr>
              <w:pStyle w:val="TableContents"/>
              <w:widowControl w:val="false"/>
              <w:suppressLineNumbers/>
              <w:bidi w:val="0"/>
              <w:jc w:val="left"/>
              <w:rPr/>
            </w:pPr>
            <w:r>
              <w:rPr/>
              <w:t>EDDF</w:t>
            </w:r>
          </w:p>
        </w:tc>
        <w:tc>
          <w:tcPr>
            <w:tcW w:w="1468" w:type="dxa"/>
            <w:tcBorders/>
            <w:vAlign w:val="center"/>
          </w:tcPr>
          <w:p>
            <w:pPr>
              <w:pStyle w:val="TableContents"/>
              <w:bidi w:val="0"/>
              <w:jc w:val="right"/>
              <w:rPr/>
            </w:pPr>
            <w:r>
              <w:rPr/>
              <w:t>862.5</w:t>
            </w:r>
          </w:p>
        </w:tc>
      </w:tr>
      <w:tr>
        <w:trPr/>
        <w:tc>
          <w:tcPr>
            <w:tcW w:w="854" w:type="dxa"/>
            <w:tcBorders/>
            <w:vAlign w:val="center"/>
          </w:tcPr>
          <w:p>
            <w:pPr>
              <w:pStyle w:val="TableContents"/>
              <w:widowControl w:val="false"/>
              <w:suppressLineNumbers/>
              <w:bidi w:val="0"/>
              <w:jc w:val="left"/>
              <w:rPr/>
            </w:pPr>
            <w:r>
              <w:rPr/>
              <w:t>EDDM</w:t>
            </w:r>
          </w:p>
        </w:tc>
        <w:tc>
          <w:tcPr>
            <w:tcW w:w="1468" w:type="dxa"/>
            <w:tcBorders/>
            <w:vAlign w:val="center"/>
          </w:tcPr>
          <w:p>
            <w:pPr>
              <w:pStyle w:val="TableContents"/>
              <w:bidi w:val="0"/>
              <w:jc w:val="right"/>
              <w:rPr/>
            </w:pPr>
            <w:r>
              <w:rPr/>
              <w:t>810.6</w:t>
            </w:r>
          </w:p>
        </w:tc>
      </w:tr>
      <w:tr>
        <w:trPr/>
        <w:tc>
          <w:tcPr>
            <w:tcW w:w="854" w:type="dxa"/>
            <w:tcBorders/>
            <w:vAlign w:val="center"/>
          </w:tcPr>
          <w:p>
            <w:pPr>
              <w:pStyle w:val="TableContents"/>
              <w:widowControl w:val="false"/>
              <w:suppressLineNumbers/>
              <w:bidi w:val="0"/>
              <w:jc w:val="left"/>
              <w:rPr/>
            </w:pPr>
            <w:r>
              <w:rPr/>
              <w:t>EGLL</w:t>
            </w:r>
          </w:p>
        </w:tc>
        <w:tc>
          <w:tcPr>
            <w:tcW w:w="1468" w:type="dxa"/>
            <w:tcBorders/>
            <w:vAlign w:val="center"/>
          </w:tcPr>
          <w:p>
            <w:pPr>
              <w:pStyle w:val="TableContents"/>
              <w:bidi w:val="0"/>
              <w:jc w:val="right"/>
              <w:rPr/>
            </w:pPr>
            <w:r>
              <w:rPr/>
              <w:t>1,363.0</w:t>
            </w:r>
          </w:p>
        </w:tc>
      </w:tr>
      <w:tr>
        <w:trPr/>
        <w:tc>
          <w:tcPr>
            <w:tcW w:w="854" w:type="dxa"/>
            <w:tcBorders/>
            <w:vAlign w:val="center"/>
          </w:tcPr>
          <w:p>
            <w:pPr>
              <w:pStyle w:val="TableContents"/>
              <w:widowControl w:val="false"/>
              <w:suppressLineNumbers/>
              <w:bidi w:val="0"/>
              <w:jc w:val="left"/>
              <w:rPr/>
            </w:pPr>
            <w:r>
              <w:rPr/>
              <w:t>EHAM</w:t>
            </w:r>
          </w:p>
        </w:tc>
        <w:tc>
          <w:tcPr>
            <w:tcW w:w="1468" w:type="dxa"/>
            <w:tcBorders/>
            <w:vAlign w:val="center"/>
          </w:tcPr>
          <w:p>
            <w:pPr>
              <w:pStyle w:val="TableContents"/>
              <w:bidi w:val="0"/>
              <w:jc w:val="right"/>
              <w:rPr/>
            </w:pPr>
            <w:r>
              <w:rPr/>
              <w:t>787.6</w:t>
            </w:r>
          </w:p>
        </w:tc>
      </w:tr>
      <w:tr>
        <w:trPr/>
        <w:tc>
          <w:tcPr>
            <w:tcW w:w="854" w:type="dxa"/>
            <w:tcBorders/>
            <w:vAlign w:val="center"/>
          </w:tcPr>
          <w:p>
            <w:pPr>
              <w:pStyle w:val="TableContents"/>
              <w:widowControl w:val="false"/>
              <w:suppressLineNumbers/>
              <w:bidi w:val="0"/>
              <w:jc w:val="left"/>
              <w:rPr/>
            </w:pPr>
            <w:r>
              <w:rPr/>
              <w:t>LEBL</w:t>
            </w:r>
          </w:p>
        </w:tc>
        <w:tc>
          <w:tcPr>
            <w:tcW w:w="1468" w:type="dxa"/>
            <w:tcBorders/>
            <w:vAlign w:val="center"/>
          </w:tcPr>
          <w:p>
            <w:pPr>
              <w:pStyle w:val="TableContents"/>
              <w:bidi w:val="0"/>
              <w:jc w:val="right"/>
              <w:rPr/>
            </w:pPr>
            <w:r>
              <w:rPr/>
              <w:t>955.6</w:t>
            </w:r>
          </w:p>
        </w:tc>
      </w:tr>
      <w:tr>
        <w:trPr/>
        <w:tc>
          <w:tcPr>
            <w:tcW w:w="854" w:type="dxa"/>
            <w:tcBorders/>
            <w:vAlign w:val="center"/>
          </w:tcPr>
          <w:p>
            <w:pPr>
              <w:pStyle w:val="TableContents"/>
              <w:widowControl w:val="false"/>
              <w:suppressLineNumbers/>
              <w:bidi w:val="0"/>
              <w:jc w:val="left"/>
              <w:rPr/>
            </w:pPr>
            <w:r>
              <w:rPr/>
              <w:t>LEMD</w:t>
            </w:r>
          </w:p>
        </w:tc>
        <w:tc>
          <w:tcPr>
            <w:tcW w:w="1468" w:type="dxa"/>
            <w:tcBorders/>
            <w:vAlign w:val="center"/>
          </w:tcPr>
          <w:p>
            <w:pPr>
              <w:pStyle w:val="TableContents"/>
              <w:bidi w:val="0"/>
              <w:jc w:val="right"/>
              <w:rPr/>
            </w:pPr>
            <w:r>
              <w:rPr/>
              <w:t>1,014.3</w:t>
            </w:r>
          </w:p>
        </w:tc>
      </w:tr>
      <w:tr>
        <w:trPr/>
        <w:tc>
          <w:tcPr>
            <w:tcW w:w="854" w:type="dxa"/>
            <w:tcBorders/>
            <w:vAlign w:val="center"/>
          </w:tcPr>
          <w:p>
            <w:pPr>
              <w:pStyle w:val="TableContents"/>
              <w:widowControl w:val="false"/>
              <w:suppressLineNumbers/>
              <w:bidi w:val="0"/>
              <w:jc w:val="left"/>
              <w:rPr/>
            </w:pPr>
            <w:r>
              <w:rPr/>
              <w:t>LFPG</w:t>
            </w:r>
          </w:p>
        </w:tc>
        <w:tc>
          <w:tcPr>
            <w:tcW w:w="1468" w:type="dxa"/>
            <w:tcBorders/>
            <w:vAlign w:val="center"/>
          </w:tcPr>
          <w:p>
            <w:pPr>
              <w:pStyle w:val="TableContents"/>
              <w:bidi w:val="0"/>
              <w:jc w:val="right"/>
              <w:rPr/>
            </w:pPr>
            <w:r>
              <w:rPr/>
              <w:t>1,016.7</w:t>
            </w:r>
          </w:p>
        </w:tc>
      </w:tr>
      <w:tr>
        <w:trPr/>
        <w:tc>
          <w:tcPr>
            <w:tcW w:w="854" w:type="dxa"/>
            <w:tcBorders/>
            <w:vAlign w:val="center"/>
          </w:tcPr>
          <w:p>
            <w:pPr>
              <w:pStyle w:val="TableContents"/>
              <w:widowControl w:val="false"/>
              <w:suppressLineNumbers/>
              <w:bidi w:val="0"/>
              <w:jc w:val="left"/>
              <w:rPr/>
            </w:pPr>
            <w:r>
              <w:rPr/>
              <w:t>LIRF</w:t>
            </w:r>
          </w:p>
        </w:tc>
        <w:tc>
          <w:tcPr>
            <w:tcW w:w="1468" w:type="dxa"/>
            <w:tcBorders/>
            <w:vAlign w:val="center"/>
          </w:tcPr>
          <w:p>
            <w:pPr>
              <w:pStyle w:val="TableContents"/>
              <w:bidi w:val="0"/>
              <w:jc w:val="right"/>
              <w:rPr/>
            </w:pPr>
            <w:r>
              <w:rPr/>
              <w:t>1,144.2</w:t>
            </w:r>
          </w:p>
        </w:tc>
      </w:tr>
      <w:tr>
        <w:trPr/>
        <w:tc>
          <w:tcPr>
            <w:tcW w:w="854" w:type="dxa"/>
            <w:tcBorders/>
            <w:vAlign w:val="center"/>
          </w:tcPr>
          <w:p>
            <w:pPr>
              <w:pStyle w:val="TableContents"/>
              <w:widowControl w:val="false"/>
              <w:suppressLineNumbers/>
              <w:bidi w:val="0"/>
              <w:jc w:val="left"/>
              <w:rPr/>
            </w:pPr>
            <w:r>
              <w:rPr/>
              <w:t>LSZH</w:t>
            </w:r>
          </w:p>
        </w:tc>
        <w:tc>
          <w:tcPr>
            <w:tcW w:w="1468" w:type="dxa"/>
            <w:tcBorders/>
            <w:vAlign w:val="center"/>
          </w:tcPr>
          <w:p>
            <w:pPr>
              <w:pStyle w:val="TableContents"/>
              <w:bidi w:val="0"/>
              <w:jc w:val="right"/>
              <w:rPr/>
            </w:pPr>
            <w:r>
              <w:rPr/>
              <w:t>741.6</w:t>
            </w:r>
          </w:p>
        </w:tc>
      </w:tr>
      <w:tr>
        <w:trPr/>
        <w:tc>
          <w:tcPr>
            <w:tcW w:w="854" w:type="dxa"/>
            <w:tcBorders/>
            <w:vAlign w:val="center"/>
          </w:tcPr>
          <w:p>
            <w:pPr>
              <w:pStyle w:val="TableContents"/>
              <w:widowControl w:val="false"/>
              <w:suppressLineNumbers/>
              <w:bidi w:val="0"/>
              <w:jc w:val="left"/>
              <w:rPr/>
            </w:pPr>
            <w:r>
              <w:rPr/>
              <w:t>LTFM</w:t>
            </w:r>
          </w:p>
        </w:tc>
        <w:tc>
          <w:tcPr>
            <w:tcW w:w="1468" w:type="dxa"/>
            <w:tcBorders/>
            <w:vAlign w:val="center"/>
          </w:tcPr>
          <w:p>
            <w:pPr>
              <w:pStyle w:val="TableContents"/>
              <w:bidi w:val="0"/>
              <w:jc w:val="right"/>
              <w:rPr/>
            </w:pPr>
            <w:r>
              <w:rPr/>
              <w:t>1,049.6</w:t>
            </w:r>
          </w:p>
        </w:tc>
      </w:tr>
    </w:tbl>
    <w:p>
      <w:pPr>
        <w:pStyle w:val="BodyText"/>
        <w:bidi w:val="0"/>
        <w:jc w:val="left"/>
        <w:rPr/>
      </w:pPr>
      <w:r>
        <w:rPr/>
        <w:t xml:space="preserve">One departure of the ranking set is in the class: LIRF, Jul 2026, take-off minus </w:t>
      </w:r>
      <w:r>
        <w:rPr>
          <w:rStyle w:val="SourceText"/>
        </w:rPr>
        <w:t>LOBT_flt</w:t>
      </w:r>
      <w:r>
        <w:rPr/>
        <w:t xml:space="preserve"> 86,820 s (24.12 h), minus </w:t>
      </w:r>
      <w:r>
        <w:rPr>
          <w:rStyle w:val="SourceText"/>
        </w:rPr>
        <w:t>EOBT_1_flt</w:t>
      </w:r>
      <w:r>
        <w:rPr/>
        <w:t xml:space="preserve"> 23.97 h, minus the schedule 26.27 h. The rule fitted on the full year predicts 0.6000 x 86,820 + (1 - 0.6000) x 1,144.2 = </w:t>
      </w:r>
      <w:r>
        <w:rPr>
          <w:rStyle w:val="Strong"/>
        </w:rPr>
        <w:t>52,549.7 s</w:t>
      </w:r>
      <w:r>
        <w:rPr/>
        <w:t xml:space="preserve"> (52,550 s after the submission's rounding). v6, the file built before the rule was added, predicts </w:t>
      </w:r>
      <w:r>
        <w:rPr>
          <w:rStyle w:val="Strong"/>
        </w:rPr>
        <w:t>3,120 s</w:t>
      </w:r>
      <w:r>
        <w:rPr/>
        <w:t xml:space="preserve"> for it, read from </w:t>
      </w:r>
      <w:r>
        <w:rPr>
          <w:rStyle w:val="SourceText"/>
        </w:rPr>
        <w:t>data/submissions/funny-firefly_v6.parquet</w:t>
      </w:r>
      <w:r>
        <w:rPr/>
        <w:t xml:space="preserve"> through the template's identifier, which is not printed. The difference is +49,430 s. What the departure in question recorded is hidden, and nothing here says which is right.</w:t>
      </w:r>
    </w:p>
    <w:p>
      <w:pPr>
        <w:pStyle w:val="BodyText"/>
        <w:bidi w:val="0"/>
        <w:jc w:val="left"/>
        <w:rPr/>
      </w:pPr>
      <w:r>
        <w:rPr/>
        <w:t xml:space="preserve">On every leg the term and the rule are fitted on the leg's training rows and applied to its validation rows; </w:t>
      </w:r>
      <w:r>
        <w:rPr>
          <w:rStyle w:val="Emphasis"/>
        </w:rPr>
        <w:t>stored</w:t>
      </w:r>
      <w:r>
        <w:rPr/>
        <w:t xml:space="preserve"> is the booster's prediction on the class's row at the ladder's seed. The RMSEs are every row, with the term on its rows (what the submission scores) and with the booster on them, each without and with the rule; the bracket is over the rows of four hours or less, a diagnostic that leaves out exactly the rows the rule is for when they are long.</w:t>
      </w:r>
    </w:p>
    <w:tbl>
      <w:tblPr>
        <w:tblW w:w="10539" w:type="dxa"/>
        <w:jc w:val="left"/>
        <w:tblInd w:w="28" w:type="dxa"/>
        <w:tblLayout w:type="fixed"/>
        <w:tblCellMar>
          <w:top w:w="28" w:type="dxa"/>
          <w:left w:w="28" w:type="dxa"/>
          <w:bottom w:w="28" w:type="dxa"/>
          <w:right w:w="28" w:type="dxa"/>
        </w:tblCellMar>
      </w:tblPr>
      <w:tblGrid>
        <w:gridCol w:w="1395"/>
        <w:gridCol w:w="886"/>
        <w:gridCol w:w="2207"/>
        <w:gridCol w:w="1135"/>
        <w:gridCol w:w="4916"/>
      </w:tblGrid>
      <w:tr>
        <w:trPr>
          <w:tblHeader w:val="true"/>
        </w:trPr>
        <w:tc>
          <w:tcPr>
            <w:tcW w:w="1395" w:type="dxa"/>
            <w:tcBorders/>
            <w:vAlign w:val="center"/>
          </w:tcPr>
          <w:p>
            <w:pPr>
              <w:pStyle w:val="TableHeading"/>
              <w:suppressLineNumbers/>
              <w:bidi w:val="0"/>
              <w:jc w:val="center"/>
              <w:rPr/>
            </w:pPr>
            <w:r>
              <w:rPr/>
              <w:t>leg</w:t>
            </w:r>
          </w:p>
        </w:tc>
        <w:tc>
          <w:tcPr>
            <w:tcW w:w="886" w:type="dxa"/>
            <w:tcBorders/>
            <w:vAlign w:val="center"/>
          </w:tcPr>
          <w:p>
            <w:pPr>
              <w:pStyle w:val="TableHeading"/>
              <w:bidi w:val="0"/>
              <w:jc w:val="right"/>
              <w:rPr/>
            </w:pPr>
            <w:r>
              <w:rPr/>
              <w:t>rows</w:t>
            </w:r>
          </w:p>
        </w:tc>
        <w:tc>
          <w:tcPr>
            <w:tcW w:w="2207" w:type="dxa"/>
            <w:tcBorders/>
            <w:vAlign w:val="center"/>
          </w:tcPr>
          <w:p>
            <w:pPr>
              <w:pStyle w:val="TableHeading"/>
              <w:bidi w:val="0"/>
              <w:jc w:val="right"/>
              <w:rPr/>
            </w:pPr>
            <w:r>
              <w:rPr/>
              <w:t>fitted n / long / share</w:t>
            </w:r>
          </w:p>
        </w:tc>
        <w:tc>
          <w:tcPr>
            <w:tcW w:w="1135" w:type="dxa"/>
            <w:tcBorders/>
            <w:vAlign w:val="center"/>
          </w:tcPr>
          <w:p>
            <w:pPr>
              <w:pStyle w:val="TableHeading"/>
              <w:bidi w:val="0"/>
              <w:jc w:val="right"/>
              <w:rPr/>
            </w:pPr>
            <w:r>
              <w:rPr/>
              <w:t>class rows</w:t>
            </w:r>
          </w:p>
        </w:tc>
        <w:tc>
          <w:tcPr>
            <w:tcW w:w="4916" w:type="dxa"/>
            <w:tcBorders/>
            <w:vAlign w:val="center"/>
          </w:tcPr>
          <w:p>
            <w:pPr>
              <w:pStyle w:val="TableHeading"/>
              <w:suppressLineNumbers/>
              <w:bidi w:val="0"/>
              <w:jc w:val="center"/>
              <w:rPr/>
            </w:pPr>
            <w:r>
              <w:rPr/>
              <w:t>the class's rows (s)</w:t>
            </w:r>
          </w:p>
        </w:tc>
      </w:tr>
      <w:tr>
        <w:trPr/>
        <w:tc>
          <w:tcPr>
            <w:tcW w:w="1395" w:type="dxa"/>
            <w:tcBorders/>
            <w:vAlign w:val="center"/>
          </w:tcPr>
          <w:p>
            <w:pPr>
              <w:pStyle w:val="TableContents"/>
              <w:widowControl w:val="false"/>
              <w:suppressLineNumbers/>
              <w:bidi w:val="0"/>
              <w:jc w:val="left"/>
              <w:rPr/>
            </w:pPr>
            <w:r>
              <w:rPr/>
              <w:t>forward Dec</w:t>
            </w:r>
          </w:p>
        </w:tc>
        <w:tc>
          <w:tcPr>
            <w:tcW w:w="886" w:type="dxa"/>
            <w:tcBorders/>
            <w:vAlign w:val="center"/>
          </w:tcPr>
          <w:p>
            <w:pPr>
              <w:pStyle w:val="TableContents"/>
              <w:bidi w:val="0"/>
              <w:jc w:val="right"/>
              <w:rPr/>
            </w:pPr>
            <w:r>
              <w:rPr/>
              <w:t>165,677</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forward Jul</w:t>
            </w:r>
          </w:p>
        </w:tc>
        <w:tc>
          <w:tcPr>
            <w:tcW w:w="886" w:type="dxa"/>
            <w:tcBorders/>
            <w:vAlign w:val="center"/>
          </w:tcPr>
          <w:p>
            <w:pPr>
              <w:pStyle w:val="TableContents"/>
              <w:bidi w:val="0"/>
              <w:jc w:val="right"/>
              <w:rPr/>
            </w:pPr>
            <w:r>
              <w:rPr/>
              <w:t>190,713</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87,002, rule 44,062, stored 5,214</w:t>
            </w:r>
          </w:p>
        </w:tc>
      </w:tr>
      <w:tr>
        <w:trPr/>
        <w:tc>
          <w:tcPr>
            <w:tcW w:w="1395" w:type="dxa"/>
            <w:tcBorders/>
            <w:vAlign w:val="center"/>
          </w:tcPr>
          <w:p>
            <w:pPr>
              <w:pStyle w:val="TableContents"/>
              <w:widowControl w:val="false"/>
              <w:suppressLineNumbers/>
              <w:bidi w:val="0"/>
              <w:jc w:val="left"/>
              <w:rPr/>
            </w:pPr>
            <w:r>
              <w:rPr/>
              <w:t>held out Jan</w:t>
            </w:r>
          </w:p>
        </w:tc>
        <w:tc>
          <w:tcPr>
            <w:tcW w:w="886" w:type="dxa"/>
            <w:tcBorders/>
            <w:vAlign w:val="center"/>
          </w:tcPr>
          <w:p>
            <w:pPr>
              <w:pStyle w:val="TableContents"/>
              <w:bidi w:val="0"/>
              <w:jc w:val="right"/>
              <w:rPr/>
            </w:pPr>
            <w:r>
              <w:rPr/>
              <w:t>153,706</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Feb</w:t>
            </w:r>
          </w:p>
        </w:tc>
        <w:tc>
          <w:tcPr>
            <w:tcW w:w="886" w:type="dxa"/>
            <w:tcBorders/>
            <w:vAlign w:val="center"/>
          </w:tcPr>
          <w:p>
            <w:pPr>
              <w:pStyle w:val="TableContents"/>
              <w:bidi w:val="0"/>
              <w:jc w:val="right"/>
              <w:rPr/>
            </w:pPr>
            <w:r>
              <w:rPr/>
              <w:t>143,732</w:t>
            </w:r>
          </w:p>
        </w:tc>
        <w:tc>
          <w:tcPr>
            <w:tcW w:w="2207" w:type="dxa"/>
            <w:tcBorders/>
            <w:vAlign w:val="center"/>
          </w:tcPr>
          <w:p>
            <w:pPr>
              <w:pStyle w:val="TableContents"/>
              <w:bidi w:val="0"/>
              <w:jc w:val="right"/>
              <w:rPr/>
            </w:pPr>
            <w:r>
              <w:rPr/>
              <w:t>2 / 2 / 0.750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13,865, rule 12,710, stored 5,646</w:t>
            </w:r>
          </w:p>
        </w:tc>
      </w:tr>
      <w:tr>
        <w:trPr/>
        <w:tc>
          <w:tcPr>
            <w:tcW w:w="1395" w:type="dxa"/>
            <w:tcBorders/>
            <w:vAlign w:val="center"/>
          </w:tcPr>
          <w:p>
            <w:pPr>
              <w:pStyle w:val="TableContents"/>
              <w:widowControl w:val="false"/>
              <w:suppressLineNumbers/>
              <w:bidi w:val="0"/>
              <w:jc w:val="left"/>
              <w:rPr/>
            </w:pPr>
            <w:r>
              <w:rPr/>
              <w:t>held out Mar</w:t>
            </w:r>
          </w:p>
        </w:tc>
        <w:tc>
          <w:tcPr>
            <w:tcW w:w="886" w:type="dxa"/>
            <w:tcBorders/>
            <w:vAlign w:val="center"/>
          </w:tcPr>
          <w:p>
            <w:pPr>
              <w:pStyle w:val="TableContents"/>
              <w:bidi w:val="0"/>
              <w:jc w:val="right"/>
              <w:rPr/>
            </w:pPr>
            <w:r>
              <w:rPr/>
              <w:t>164,449</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LFPG: recorded 21,308, rule 11,048, stored 5,038</w:t>
            </w:r>
          </w:p>
        </w:tc>
      </w:tr>
      <w:tr>
        <w:trPr/>
        <w:tc>
          <w:tcPr>
            <w:tcW w:w="1395" w:type="dxa"/>
            <w:tcBorders/>
            <w:vAlign w:val="center"/>
          </w:tcPr>
          <w:p>
            <w:pPr>
              <w:pStyle w:val="TableContents"/>
              <w:widowControl w:val="false"/>
              <w:suppressLineNumbers/>
              <w:bidi w:val="0"/>
              <w:jc w:val="left"/>
              <w:rPr/>
            </w:pPr>
            <w:r>
              <w:rPr/>
              <w:t>held out Apr</w:t>
            </w:r>
          </w:p>
        </w:tc>
        <w:tc>
          <w:tcPr>
            <w:tcW w:w="886" w:type="dxa"/>
            <w:tcBorders/>
            <w:vAlign w:val="center"/>
          </w:tcPr>
          <w:p>
            <w:pPr>
              <w:pStyle w:val="TableContents"/>
              <w:bidi w:val="0"/>
              <w:jc w:val="right"/>
              <w:rPr/>
            </w:pPr>
            <w:r>
              <w:rPr/>
              <w:t>175,288</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May</w:t>
            </w:r>
          </w:p>
        </w:tc>
        <w:tc>
          <w:tcPr>
            <w:tcW w:w="886" w:type="dxa"/>
            <w:tcBorders/>
            <w:vAlign w:val="center"/>
          </w:tcPr>
          <w:p>
            <w:pPr>
              <w:pStyle w:val="TableContents"/>
              <w:bidi w:val="0"/>
              <w:jc w:val="right"/>
              <w:rPr/>
            </w:pPr>
            <w:r>
              <w:rPr/>
              <w:t>185,202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Jun</w:t>
            </w:r>
          </w:p>
        </w:tc>
        <w:tc>
          <w:tcPr>
            <w:tcW w:w="886" w:type="dxa"/>
            <w:tcBorders/>
            <w:vAlign w:val="center"/>
          </w:tcPr>
          <w:p>
            <w:pPr>
              <w:pStyle w:val="TableContents"/>
              <w:bidi w:val="0"/>
              <w:jc w:val="right"/>
              <w:rPr/>
            </w:pPr>
            <w:r>
              <w:rPr/>
              <w:t>183,142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Jul</w:t>
            </w:r>
          </w:p>
        </w:tc>
        <w:tc>
          <w:tcPr>
            <w:tcW w:w="886" w:type="dxa"/>
            <w:tcBorders/>
            <w:vAlign w:val="center"/>
          </w:tcPr>
          <w:p>
            <w:pPr>
              <w:pStyle w:val="TableContents"/>
              <w:bidi w:val="0"/>
              <w:jc w:val="right"/>
              <w:rPr/>
            </w:pPr>
            <w:r>
              <w:rPr/>
              <w:t>190,713</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87,002, rule 44,065, stored 6,743</w:t>
            </w:r>
          </w:p>
        </w:tc>
      </w:tr>
      <w:tr>
        <w:trPr/>
        <w:tc>
          <w:tcPr>
            <w:tcW w:w="1395" w:type="dxa"/>
            <w:tcBorders/>
            <w:vAlign w:val="center"/>
          </w:tcPr>
          <w:p>
            <w:pPr>
              <w:pStyle w:val="TableContents"/>
              <w:widowControl w:val="false"/>
              <w:suppressLineNumbers/>
              <w:bidi w:val="0"/>
              <w:jc w:val="left"/>
              <w:rPr/>
            </w:pPr>
            <w:r>
              <w:rPr/>
              <w:t>held out Aug</w:t>
            </w:r>
          </w:p>
        </w:tc>
        <w:tc>
          <w:tcPr>
            <w:tcW w:w="886" w:type="dxa"/>
            <w:tcBorders/>
            <w:vAlign w:val="center"/>
          </w:tcPr>
          <w:p>
            <w:pPr>
              <w:pStyle w:val="TableContents"/>
              <w:bidi w:val="0"/>
              <w:jc w:val="right"/>
              <w:rPr/>
            </w:pPr>
            <w:r>
              <w:rPr/>
              <w:t>191,182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Sep</w:t>
            </w:r>
          </w:p>
        </w:tc>
        <w:tc>
          <w:tcPr>
            <w:tcW w:w="886" w:type="dxa"/>
            <w:tcBorders/>
            <w:vAlign w:val="center"/>
          </w:tcPr>
          <w:p>
            <w:pPr>
              <w:pStyle w:val="TableContents"/>
              <w:bidi w:val="0"/>
              <w:jc w:val="right"/>
              <w:rPr/>
            </w:pPr>
            <w:r>
              <w:rPr/>
              <w:t>183,950</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Oct</w:t>
            </w:r>
          </w:p>
        </w:tc>
        <w:tc>
          <w:tcPr>
            <w:tcW w:w="886" w:type="dxa"/>
            <w:tcBorders/>
            <w:vAlign w:val="center"/>
          </w:tcPr>
          <w:p>
            <w:pPr>
              <w:pStyle w:val="TableContents"/>
              <w:bidi w:val="0"/>
              <w:jc w:val="right"/>
              <w:rPr/>
            </w:pPr>
            <w:r>
              <w:rPr/>
              <w:t>185,674</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Nov</w:t>
            </w:r>
          </w:p>
        </w:tc>
        <w:tc>
          <w:tcPr>
            <w:tcW w:w="886" w:type="dxa"/>
            <w:tcBorders/>
            <w:vAlign w:val="center"/>
          </w:tcPr>
          <w:p>
            <w:pPr>
              <w:pStyle w:val="TableContents"/>
              <w:bidi w:val="0"/>
              <w:jc w:val="right"/>
              <w:rPr/>
            </w:pPr>
            <w:r>
              <w:rPr/>
              <w:t>162,332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Dec</w:t>
            </w:r>
          </w:p>
        </w:tc>
        <w:tc>
          <w:tcPr>
            <w:tcW w:w="886" w:type="dxa"/>
            <w:tcBorders/>
            <w:vAlign w:val="center"/>
          </w:tcPr>
          <w:p>
            <w:pPr>
              <w:pStyle w:val="TableContents"/>
              <w:bidi w:val="0"/>
              <w:jc w:val="right"/>
              <w:rPr/>
            </w:pPr>
            <w:r>
              <w:rPr/>
              <w:t>165,677</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bl>
    <w:tbl>
      <w:tblPr>
        <w:tblW w:w="10539" w:type="dxa"/>
        <w:jc w:val="left"/>
        <w:tblInd w:w="28" w:type="dxa"/>
        <w:tblLayout w:type="fixed"/>
        <w:tblCellMar>
          <w:top w:w="28" w:type="dxa"/>
          <w:left w:w="28" w:type="dxa"/>
          <w:bottom w:w="28" w:type="dxa"/>
          <w:right w:w="28" w:type="dxa"/>
        </w:tblCellMar>
      </w:tblPr>
      <w:tblGrid>
        <w:gridCol w:w="2209"/>
        <w:gridCol w:w="1018"/>
        <w:gridCol w:w="1515"/>
        <w:gridCol w:w="1562"/>
        <w:gridCol w:w="1071"/>
        <w:gridCol w:w="1553"/>
        <w:gridCol w:w="1611"/>
      </w:tblGrid>
      <w:tr>
        <w:trPr>
          <w:tblHeader w:val="true"/>
        </w:trPr>
        <w:tc>
          <w:tcPr>
            <w:tcW w:w="2209" w:type="dxa"/>
            <w:tcBorders/>
            <w:vAlign w:val="center"/>
          </w:tcPr>
          <w:p>
            <w:pPr>
              <w:pStyle w:val="TableHeading"/>
              <w:suppressLineNumbers/>
              <w:bidi w:val="0"/>
              <w:jc w:val="center"/>
              <w:rPr/>
            </w:pPr>
            <w:r>
              <w:rPr/>
              <w:t>leg</w:t>
            </w:r>
          </w:p>
        </w:tc>
        <w:tc>
          <w:tcPr>
            <w:tcW w:w="1018" w:type="dxa"/>
            <w:tcBorders/>
            <w:vAlign w:val="center"/>
          </w:tcPr>
          <w:p>
            <w:pPr>
              <w:pStyle w:val="TableHeading"/>
              <w:bidi w:val="0"/>
              <w:jc w:val="right"/>
              <w:rPr/>
            </w:pPr>
            <w:r>
              <w:rPr/>
              <w:t>with the term</w:t>
            </w:r>
          </w:p>
        </w:tc>
        <w:tc>
          <w:tcPr>
            <w:tcW w:w="1515" w:type="dxa"/>
            <w:tcBorders/>
            <w:vAlign w:val="center"/>
          </w:tcPr>
          <w:p>
            <w:pPr>
              <w:pStyle w:val="TableHeading"/>
              <w:bidi w:val="0"/>
              <w:jc w:val="right"/>
              <w:rPr/>
            </w:pPr>
            <w:r>
              <w:rPr/>
              <w:t>with the term and the rule</w:t>
            </w:r>
          </w:p>
        </w:tc>
        <w:tc>
          <w:tcPr>
            <w:tcW w:w="1562" w:type="dxa"/>
            <w:tcBorders/>
            <w:vAlign w:val="center"/>
          </w:tcPr>
          <w:p>
            <w:pPr>
              <w:pStyle w:val="TableHeading"/>
              <w:bidi w:val="0"/>
              <w:jc w:val="right"/>
              <w:rPr/>
            </w:pPr>
            <w:r>
              <w:rPr/>
              <w:t>change in squared error</w:t>
            </w:r>
          </w:p>
        </w:tc>
        <w:tc>
          <w:tcPr>
            <w:tcW w:w="1071" w:type="dxa"/>
            <w:tcBorders/>
            <w:vAlign w:val="center"/>
          </w:tcPr>
          <w:p>
            <w:pPr>
              <w:pStyle w:val="TableHeading"/>
              <w:bidi w:val="0"/>
              <w:jc w:val="right"/>
              <w:rPr/>
            </w:pPr>
            <w:r>
              <w:rPr/>
              <w:t>booster only</w:t>
            </w:r>
          </w:p>
        </w:tc>
        <w:tc>
          <w:tcPr>
            <w:tcW w:w="1553" w:type="dxa"/>
            <w:tcBorders/>
            <w:vAlign w:val="center"/>
          </w:tcPr>
          <w:p>
            <w:pPr>
              <w:pStyle w:val="TableHeading"/>
              <w:bidi w:val="0"/>
              <w:jc w:val="right"/>
              <w:rPr/>
            </w:pPr>
            <w:r>
              <w:rPr/>
              <w:t>booster only and the rule</w:t>
            </w:r>
          </w:p>
        </w:tc>
        <w:tc>
          <w:tcPr>
            <w:tcW w:w="1611" w:type="dxa"/>
            <w:tcBorders/>
            <w:vAlign w:val="center"/>
          </w:tcPr>
          <w:p>
            <w:pPr>
              <w:pStyle w:val="TableHeading"/>
              <w:bidi w:val="0"/>
              <w:jc w:val="right"/>
              <w:rPr/>
            </w:pPr>
            <w:r>
              <w:rPr/>
              <w:t>change in squared error</w:t>
            </w:r>
          </w:p>
        </w:tc>
      </w:tr>
      <w:tr>
        <w:trPr/>
        <w:tc>
          <w:tcPr>
            <w:tcW w:w="2209" w:type="dxa"/>
            <w:tcBorders/>
            <w:vAlign w:val="center"/>
          </w:tcPr>
          <w:p>
            <w:pPr>
              <w:pStyle w:val="TableContents"/>
              <w:widowControl w:val="false"/>
              <w:suppressLineNumbers/>
              <w:bidi w:val="0"/>
              <w:jc w:val="left"/>
              <w:rPr/>
            </w:pPr>
            <w:r>
              <w:rPr/>
              <w:t>forward Dec</w:t>
            </w:r>
          </w:p>
        </w:tc>
        <w:tc>
          <w:tcPr>
            <w:tcW w:w="1018" w:type="dxa"/>
            <w:tcBorders/>
            <w:vAlign w:val="center"/>
          </w:tcPr>
          <w:p>
            <w:pPr>
              <w:pStyle w:val="TableContents"/>
              <w:bidi w:val="0"/>
              <w:jc w:val="right"/>
              <w:rPr/>
            </w:pPr>
            <w:r>
              <w:rPr/>
              <w:t>234.0 [230.0]</w:t>
            </w:r>
          </w:p>
        </w:tc>
        <w:tc>
          <w:tcPr>
            <w:tcW w:w="1515" w:type="dxa"/>
            <w:tcBorders/>
            <w:vAlign w:val="center"/>
          </w:tcPr>
          <w:p>
            <w:pPr>
              <w:pStyle w:val="TableContents"/>
              <w:bidi w:val="0"/>
              <w:jc w:val="right"/>
              <w:rPr/>
            </w:pPr>
            <w:r>
              <w:rPr/>
              <w:t>234.0 [230.0]</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364.8 [240.3]</w:t>
            </w:r>
          </w:p>
        </w:tc>
        <w:tc>
          <w:tcPr>
            <w:tcW w:w="1553" w:type="dxa"/>
            <w:tcBorders/>
            <w:vAlign w:val="center"/>
          </w:tcPr>
          <w:p>
            <w:pPr>
              <w:pStyle w:val="TableContents"/>
              <w:bidi w:val="0"/>
              <w:jc w:val="right"/>
              <w:rPr/>
            </w:pPr>
            <w:r>
              <w:rPr/>
              <w:t>364.8 [240.3]</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t>forward Jul</w:t>
            </w:r>
          </w:p>
        </w:tc>
        <w:tc>
          <w:tcPr>
            <w:tcW w:w="1018" w:type="dxa"/>
            <w:tcBorders/>
            <w:vAlign w:val="center"/>
          </w:tcPr>
          <w:p>
            <w:pPr>
              <w:pStyle w:val="TableContents"/>
              <w:bidi w:val="0"/>
              <w:jc w:val="right"/>
              <w:rPr/>
            </w:pPr>
            <w:r>
              <w:rPr/>
              <w:t>368.2 [300.3]</w:t>
            </w:r>
          </w:p>
        </w:tc>
        <w:tc>
          <w:tcPr>
            <w:tcW w:w="1515" w:type="dxa"/>
            <w:tcBorders/>
            <w:vAlign w:val="center"/>
          </w:tcPr>
          <w:p>
            <w:pPr>
              <w:pStyle w:val="TableContents"/>
              <w:bidi w:val="0"/>
              <w:jc w:val="right"/>
              <w:rPr/>
            </w:pPr>
            <w:r>
              <w:rPr/>
              <w:t>331.9 [300.3]</w:t>
            </w:r>
          </w:p>
        </w:tc>
        <w:tc>
          <w:tcPr>
            <w:tcW w:w="1562" w:type="dxa"/>
            <w:tcBorders/>
            <w:vAlign w:val="center"/>
          </w:tcPr>
          <w:p>
            <w:pPr>
              <w:pStyle w:val="TableContents"/>
              <w:bidi w:val="0"/>
              <w:jc w:val="right"/>
              <w:rPr/>
            </w:pPr>
            <w:r>
              <w:rPr/>
              <w:t>-4,845.4 [+0.0; 37 out]</w:t>
            </w:r>
          </w:p>
        </w:tc>
        <w:tc>
          <w:tcPr>
            <w:tcW w:w="1071" w:type="dxa"/>
            <w:tcBorders/>
            <w:vAlign w:val="center"/>
          </w:tcPr>
          <w:p>
            <w:pPr>
              <w:pStyle w:val="TableContents"/>
              <w:bidi w:val="0"/>
              <w:jc w:val="right"/>
              <w:rPr/>
            </w:pPr>
            <w:r>
              <w:rPr/>
              <w:t>620.5 [293.0]</w:t>
            </w:r>
          </w:p>
        </w:tc>
        <w:tc>
          <w:tcPr>
            <w:tcW w:w="1553" w:type="dxa"/>
            <w:tcBorders/>
            <w:vAlign w:val="center"/>
          </w:tcPr>
          <w:p>
            <w:pPr>
              <w:pStyle w:val="TableContents"/>
              <w:bidi w:val="0"/>
              <w:jc w:val="right"/>
              <w:rPr/>
            </w:pPr>
            <w:r>
              <w:rPr/>
              <w:t>599.7 [293.0]</w:t>
            </w:r>
          </w:p>
        </w:tc>
        <w:tc>
          <w:tcPr>
            <w:tcW w:w="1611" w:type="dxa"/>
            <w:tcBorders/>
            <w:vAlign w:val="center"/>
          </w:tcPr>
          <w:p>
            <w:pPr>
              <w:pStyle w:val="TableContents"/>
              <w:bidi w:val="0"/>
              <w:jc w:val="right"/>
              <w:rPr/>
            </w:pPr>
            <w:r>
              <w:rPr/>
              <w:t>-4,845.4 [+0.0; 37 out]</w:t>
            </w:r>
          </w:p>
        </w:tc>
      </w:tr>
      <w:tr>
        <w:trPr/>
        <w:tc>
          <w:tcPr>
            <w:tcW w:w="2209" w:type="dxa"/>
            <w:tcBorders/>
            <w:vAlign w:val="center"/>
          </w:tcPr>
          <w:p>
            <w:pPr>
              <w:pStyle w:val="TableContents"/>
              <w:widowControl w:val="false"/>
              <w:suppressLineNumbers/>
              <w:bidi w:val="0"/>
              <w:jc w:val="left"/>
              <w:rPr/>
            </w:pPr>
            <w:r>
              <w:rPr/>
              <w:t>held out Jan</w:t>
            </w:r>
          </w:p>
        </w:tc>
        <w:tc>
          <w:tcPr>
            <w:tcW w:w="1018" w:type="dxa"/>
            <w:tcBorders/>
            <w:vAlign w:val="center"/>
          </w:tcPr>
          <w:p>
            <w:pPr>
              <w:pStyle w:val="TableContents"/>
              <w:bidi w:val="0"/>
              <w:jc w:val="right"/>
              <w:rPr/>
            </w:pPr>
            <w:r>
              <w:rPr/>
              <w:t>356.8 [239.9]</w:t>
            </w:r>
          </w:p>
        </w:tc>
        <w:tc>
          <w:tcPr>
            <w:tcW w:w="1515" w:type="dxa"/>
            <w:tcBorders/>
            <w:vAlign w:val="center"/>
          </w:tcPr>
          <w:p>
            <w:pPr>
              <w:pStyle w:val="TableContents"/>
              <w:bidi w:val="0"/>
              <w:jc w:val="right"/>
              <w:rPr/>
            </w:pPr>
            <w:r>
              <w:rPr/>
              <w:t>356.8 [239.9]</w:t>
            </w:r>
          </w:p>
        </w:tc>
        <w:tc>
          <w:tcPr>
            <w:tcW w:w="1562" w:type="dxa"/>
            <w:tcBorders/>
            <w:vAlign w:val="center"/>
          </w:tcPr>
          <w:p>
            <w:pPr>
              <w:pStyle w:val="TableContents"/>
              <w:bidi w:val="0"/>
              <w:jc w:val="right"/>
              <w:rPr/>
            </w:pPr>
            <w:r>
              <w:rPr/>
              <w:t>+0.0 [+0.0; 8 out]</w:t>
            </w:r>
          </w:p>
        </w:tc>
        <w:tc>
          <w:tcPr>
            <w:tcW w:w="1071" w:type="dxa"/>
            <w:tcBorders/>
            <w:vAlign w:val="center"/>
          </w:tcPr>
          <w:p>
            <w:pPr>
              <w:pStyle w:val="TableContents"/>
              <w:bidi w:val="0"/>
              <w:jc w:val="right"/>
              <w:rPr/>
            </w:pPr>
            <w:r>
              <w:rPr/>
              <w:t>465.7 [241.1]</w:t>
            </w:r>
          </w:p>
        </w:tc>
        <w:tc>
          <w:tcPr>
            <w:tcW w:w="1553" w:type="dxa"/>
            <w:tcBorders/>
            <w:vAlign w:val="center"/>
          </w:tcPr>
          <w:p>
            <w:pPr>
              <w:pStyle w:val="TableContents"/>
              <w:bidi w:val="0"/>
              <w:jc w:val="right"/>
              <w:rPr/>
            </w:pPr>
            <w:r>
              <w:rPr/>
              <w:t>465.7 [241.1]</w:t>
            </w:r>
          </w:p>
        </w:tc>
        <w:tc>
          <w:tcPr>
            <w:tcW w:w="1611" w:type="dxa"/>
            <w:tcBorders/>
            <w:vAlign w:val="center"/>
          </w:tcPr>
          <w:p>
            <w:pPr>
              <w:pStyle w:val="TableContents"/>
              <w:bidi w:val="0"/>
              <w:jc w:val="right"/>
              <w:rPr/>
            </w:pPr>
            <w:r>
              <w:rPr/>
              <w:t>+0.0 [+0.0; 8 out]</w:t>
            </w:r>
          </w:p>
        </w:tc>
      </w:tr>
      <w:tr>
        <w:trPr/>
        <w:tc>
          <w:tcPr>
            <w:tcW w:w="2209" w:type="dxa"/>
            <w:tcBorders/>
            <w:vAlign w:val="center"/>
          </w:tcPr>
          <w:p>
            <w:pPr>
              <w:pStyle w:val="TableContents"/>
              <w:widowControl w:val="false"/>
              <w:suppressLineNumbers/>
              <w:bidi w:val="0"/>
              <w:jc w:val="left"/>
              <w:rPr/>
            </w:pPr>
            <w:r>
              <w:rPr/>
              <w:t>held out Feb</w:t>
            </w:r>
          </w:p>
        </w:tc>
        <w:tc>
          <w:tcPr>
            <w:tcW w:w="1018" w:type="dxa"/>
            <w:tcBorders/>
            <w:vAlign w:val="center"/>
          </w:tcPr>
          <w:p>
            <w:pPr>
              <w:pStyle w:val="TableContents"/>
              <w:bidi w:val="0"/>
              <w:jc w:val="right"/>
              <w:rPr/>
            </w:pPr>
            <w:r>
              <w:rPr/>
              <w:t>282.2 [274.0]</w:t>
            </w:r>
          </w:p>
        </w:tc>
        <w:tc>
          <w:tcPr>
            <w:tcW w:w="1515" w:type="dxa"/>
            <w:tcBorders/>
            <w:vAlign w:val="center"/>
          </w:tcPr>
          <w:p>
            <w:pPr>
              <w:pStyle w:val="TableContents"/>
              <w:bidi w:val="0"/>
              <w:jc w:val="right"/>
              <w:rPr/>
            </w:pPr>
            <w:r>
              <w:rPr/>
              <w:t>281.4 [273.1]</w:t>
            </w:r>
          </w:p>
        </w:tc>
        <w:tc>
          <w:tcPr>
            <w:tcW w:w="1562" w:type="dxa"/>
            <w:tcBorders/>
            <w:vAlign w:val="center"/>
          </w:tcPr>
          <w:p>
            <w:pPr>
              <w:pStyle w:val="TableContents"/>
              <w:bidi w:val="0"/>
              <w:jc w:val="right"/>
              <w:rPr/>
            </w:pPr>
            <w:r>
              <w:rPr/>
              <w:t>-66.2 [-66.2; 7 out]</w:t>
            </w:r>
          </w:p>
        </w:tc>
        <w:tc>
          <w:tcPr>
            <w:tcW w:w="1071" w:type="dxa"/>
            <w:tcBorders/>
            <w:vAlign w:val="center"/>
          </w:tcPr>
          <w:p>
            <w:pPr>
              <w:pStyle w:val="TableContents"/>
              <w:bidi w:val="0"/>
              <w:jc w:val="right"/>
              <w:rPr/>
            </w:pPr>
            <w:r>
              <w:rPr/>
              <w:t>463.1 [282.6]</w:t>
            </w:r>
          </w:p>
        </w:tc>
        <w:tc>
          <w:tcPr>
            <w:tcW w:w="1553" w:type="dxa"/>
            <w:tcBorders/>
            <w:vAlign w:val="center"/>
          </w:tcPr>
          <w:p>
            <w:pPr>
              <w:pStyle w:val="TableContents"/>
              <w:bidi w:val="0"/>
              <w:jc w:val="right"/>
              <w:rPr/>
            </w:pPr>
            <w:r>
              <w:rPr/>
              <w:t>462.6 [281.8]</w:t>
            </w:r>
          </w:p>
        </w:tc>
        <w:tc>
          <w:tcPr>
            <w:tcW w:w="1611" w:type="dxa"/>
            <w:tcBorders/>
            <w:vAlign w:val="center"/>
          </w:tcPr>
          <w:p>
            <w:pPr>
              <w:pStyle w:val="TableContents"/>
              <w:bidi w:val="0"/>
              <w:jc w:val="right"/>
              <w:rPr/>
            </w:pPr>
            <w:r>
              <w:rPr/>
              <w:t>-66.2 [-66.2; 7 out]</w:t>
            </w:r>
          </w:p>
        </w:tc>
      </w:tr>
      <w:tr>
        <w:trPr/>
        <w:tc>
          <w:tcPr>
            <w:tcW w:w="2209" w:type="dxa"/>
            <w:tcBorders/>
            <w:vAlign w:val="center"/>
          </w:tcPr>
          <w:p>
            <w:pPr>
              <w:pStyle w:val="TableContents"/>
              <w:widowControl w:val="false"/>
              <w:suppressLineNumbers/>
              <w:bidi w:val="0"/>
              <w:jc w:val="left"/>
              <w:rPr/>
            </w:pPr>
            <w:r>
              <w:rPr/>
              <w:t>held out Mar</w:t>
            </w:r>
          </w:p>
        </w:tc>
        <w:tc>
          <w:tcPr>
            <w:tcW w:w="1018" w:type="dxa"/>
            <w:tcBorders/>
            <w:vAlign w:val="center"/>
          </w:tcPr>
          <w:p>
            <w:pPr>
              <w:pStyle w:val="TableContents"/>
              <w:bidi w:val="0"/>
              <w:jc w:val="right"/>
              <w:rPr/>
            </w:pPr>
            <w:r>
              <w:rPr/>
              <w:t>216.8 [210.0]</w:t>
            </w:r>
          </w:p>
        </w:tc>
        <w:tc>
          <w:tcPr>
            <w:tcW w:w="1515" w:type="dxa"/>
            <w:tcBorders/>
            <w:vAlign w:val="center"/>
          </w:tcPr>
          <w:p>
            <w:pPr>
              <w:pStyle w:val="TableContents"/>
              <w:bidi w:val="0"/>
              <w:jc w:val="right"/>
              <w:rPr/>
            </w:pPr>
            <w:r>
              <w:rPr/>
              <w:t>214.6 [210.0]</w:t>
            </w:r>
          </w:p>
        </w:tc>
        <w:tc>
          <w:tcPr>
            <w:tcW w:w="1562" w:type="dxa"/>
            <w:tcBorders/>
            <w:vAlign w:val="center"/>
          </w:tcPr>
          <w:p>
            <w:pPr>
              <w:pStyle w:val="TableContents"/>
              <w:bidi w:val="0"/>
              <w:jc w:val="right"/>
              <w:rPr/>
            </w:pPr>
            <w:r>
              <w:rPr/>
              <w:t>-159.4 [+0.0; 5 out]</w:t>
            </w:r>
          </w:p>
        </w:tc>
        <w:tc>
          <w:tcPr>
            <w:tcW w:w="1071" w:type="dxa"/>
            <w:tcBorders/>
            <w:vAlign w:val="center"/>
          </w:tcPr>
          <w:p>
            <w:pPr>
              <w:pStyle w:val="TableContents"/>
              <w:bidi w:val="0"/>
              <w:jc w:val="right"/>
              <w:rPr/>
            </w:pPr>
            <w:r>
              <w:rPr/>
              <w:t>317.4 [221.6]</w:t>
            </w:r>
          </w:p>
        </w:tc>
        <w:tc>
          <w:tcPr>
            <w:tcW w:w="1553" w:type="dxa"/>
            <w:tcBorders/>
            <w:vAlign w:val="center"/>
          </w:tcPr>
          <w:p>
            <w:pPr>
              <w:pStyle w:val="TableContents"/>
              <w:bidi w:val="0"/>
              <w:jc w:val="right"/>
              <w:rPr/>
            </w:pPr>
            <w:r>
              <w:rPr/>
              <w:t>315.9 [221.6]</w:t>
            </w:r>
          </w:p>
        </w:tc>
        <w:tc>
          <w:tcPr>
            <w:tcW w:w="1611" w:type="dxa"/>
            <w:tcBorders/>
            <w:vAlign w:val="center"/>
          </w:tcPr>
          <w:p>
            <w:pPr>
              <w:pStyle w:val="TableContents"/>
              <w:bidi w:val="0"/>
              <w:jc w:val="right"/>
              <w:rPr/>
            </w:pPr>
            <w:r>
              <w:rPr/>
              <w:t>-159.4 [+0.0; 5 out]</w:t>
            </w:r>
          </w:p>
        </w:tc>
      </w:tr>
      <w:tr>
        <w:trPr/>
        <w:tc>
          <w:tcPr>
            <w:tcW w:w="2209" w:type="dxa"/>
            <w:tcBorders/>
            <w:vAlign w:val="center"/>
          </w:tcPr>
          <w:p>
            <w:pPr>
              <w:pStyle w:val="TableContents"/>
              <w:widowControl w:val="false"/>
              <w:suppressLineNumbers/>
              <w:bidi w:val="0"/>
              <w:jc w:val="left"/>
              <w:rPr/>
            </w:pPr>
            <w:r>
              <w:rPr/>
              <w:t>held out Apr</w:t>
            </w:r>
          </w:p>
        </w:tc>
        <w:tc>
          <w:tcPr>
            <w:tcW w:w="1018" w:type="dxa"/>
            <w:tcBorders/>
            <w:vAlign w:val="center"/>
          </w:tcPr>
          <w:p>
            <w:pPr>
              <w:pStyle w:val="TableContents"/>
              <w:bidi w:val="0"/>
              <w:jc w:val="right"/>
              <w:rPr/>
            </w:pPr>
            <w:r>
              <w:rPr/>
              <w:t>206.2 [203.3]</w:t>
            </w:r>
          </w:p>
        </w:tc>
        <w:tc>
          <w:tcPr>
            <w:tcW w:w="1515" w:type="dxa"/>
            <w:tcBorders/>
            <w:vAlign w:val="center"/>
          </w:tcPr>
          <w:p>
            <w:pPr>
              <w:pStyle w:val="TableContents"/>
              <w:bidi w:val="0"/>
              <w:jc w:val="right"/>
              <w:rPr/>
            </w:pPr>
            <w:r>
              <w:rPr/>
              <w:t>206.2 [203.3]</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288.7 [209.5]</w:t>
            </w:r>
          </w:p>
        </w:tc>
        <w:tc>
          <w:tcPr>
            <w:tcW w:w="1553" w:type="dxa"/>
            <w:tcBorders/>
            <w:vAlign w:val="center"/>
          </w:tcPr>
          <w:p>
            <w:pPr>
              <w:pStyle w:val="TableContents"/>
              <w:bidi w:val="0"/>
              <w:jc w:val="right"/>
              <w:rPr/>
            </w:pPr>
            <w:r>
              <w:rPr/>
              <w:t>288.7 [209.5]</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t>held out May</w:t>
            </w:r>
          </w:p>
        </w:tc>
        <w:tc>
          <w:tcPr>
            <w:tcW w:w="1018" w:type="dxa"/>
            <w:tcBorders/>
            <w:vAlign w:val="center"/>
          </w:tcPr>
          <w:p>
            <w:pPr>
              <w:pStyle w:val="TableContents"/>
              <w:bidi w:val="0"/>
              <w:jc w:val="right"/>
              <w:rPr/>
            </w:pPr>
            <w:r>
              <w:rPr/>
              <w:t>302.7 [214.2]</w:t>
            </w:r>
          </w:p>
        </w:tc>
        <w:tc>
          <w:tcPr>
            <w:tcW w:w="1515" w:type="dxa"/>
            <w:tcBorders/>
            <w:vAlign w:val="center"/>
          </w:tcPr>
          <w:p>
            <w:pPr>
              <w:pStyle w:val="TableContents"/>
              <w:bidi w:val="0"/>
              <w:jc w:val="right"/>
              <w:rPr/>
            </w:pPr>
            <w:r>
              <w:rPr/>
              <w:t>302.7 [214.2]</w:t>
            </w:r>
          </w:p>
        </w:tc>
        <w:tc>
          <w:tcPr>
            <w:tcW w:w="1562" w:type="dxa"/>
            <w:tcBorders/>
            <w:vAlign w:val="center"/>
          </w:tcPr>
          <w:p>
            <w:pPr>
              <w:pStyle w:val="TableContents"/>
              <w:bidi w:val="0"/>
              <w:jc w:val="right"/>
              <w:rPr/>
            </w:pPr>
            <w:r>
              <w:rPr/>
              <w:t>+0.0 [+0.0; 8 out]</w:t>
            </w:r>
          </w:p>
        </w:tc>
        <w:tc>
          <w:tcPr>
            <w:tcW w:w="1071" w:type="dxa"/>
            <w:tcBorders/>
            <w:vAlign w:val="center"/>
          </w:tcPr>
          <w:p>
            <w:pPr>
              <w:pStyle w:val="TableContents"/>
              <w:bidi w:val="0"/>
              <w:jc w:val="right"/>
              <w:rPr/>
            </w:pPr>
            <w:r>
              <w:rPr/>
              <w:t>321.6 [222.4]</w:t>
            </w:r>
          </w:p>
        </w:tc>
        <w:tc>
          <w:tcPr>
            <w:tcW w:w="1553" w:type="dxa"/>
            <w:tcBorders/>
            <w:vAlign w:val="center"/>
          </w:tcPr>
          <w:p>
            <w:pPr>
              <w:pStyle w:val="TableContents"/>
              <w:bidi w:val="0"/>
              <w:jc w:val="right"/>
              <w:rPr/>
            </w:pPr>
            <w:r>
              <w:rPr/>
              <w:t>321.6 [222.4]</w:t>
            </w:r>
          </w:p>
        </w:tc>
        <w:tc>
          <w:tcPr>
            <w:tcW w:w="1611" w:type="dxa"/>
            <w:tcBorders/>
            <w:vAlign w:val="center"/>
          </w:tcPr>
          <w:p>
            <w:pPr>
              <w:pStyle w:val="TableContents"/>
              <w:bidi w:val="0"/>
              <w:jc w:val="right"/>
              <w:rPr/>
            </w:pPr>
            <w:r>
              <w:rPr/>
              <w:t>+0.0 [+0.0; 8 out]</w:t>
            </w:r>
          </w:p>
        </w:tc>
      </w:tr>
      <w:tr>
        <w:trPr/>
        <w:tc>
          <w:tcPr>
            <w:tcW w:w="2209" w:type="dxa"/>
            <w:tcBorders/>
            <w:vAlign w:val="center"/>
          </w:tcPr>
          <w:p>
            <w:pPr>
              <w:pStyle w:val="TableContents"/>
              <w:widowControl w:val="false"/>
              <w:suppressLineNumbers/>
              <w:bidi w:val="0"/>
              <w:jc w:val="left"/>
              <w:rPr/>
            </w:pPr>
            <w:r>
              <w:rPr/>
              <w:t>held out Jun</w:t>
            </w:r>
          </w:p>
        </w:tc>
        <w:tc>
          <w:tcPr>
            <w:tcW w:w="1018" w:type="dxa"/>
            <w:tcBorders/>
            <w:vAlign w:val="center"/>
          </w:tcPr>
          <w:p>
            <w:pPr>
              <w:pStyle w:val="TableContents"/>
              <w:bidi w:val="0"/>
              <w:jc w:val="right"/>
              <w:rPr/>
            </w:pPr>
            <w:r>
              <w:rPr/>
              <w:t>318.9 [248.9]</w:t>
            </w:r>
          </w:p>
        </w:tc>
        <w:tc>
          <w:tcPr>
            <w:tcW w:w="1515" w:type="dxa"/>
            <w:tcBorders/>
            <w:vAlign w:val="center"/>
          </w:tcPr>
          <w:p>
            <w:pPr>
              <w:pStyle w:val="TableContents"/>
              <w:bidi w:val="0"/>
              <w:jc w:val="right"/>
              <w:rPr/>
            </w:pPr>
            <w:r>
              <w:rPr/>
              <w:t>318.9 [248.9]</w:t>
            </w:r>
          </w:p>
        </w:tc>
        <w:tc>
          <w:tcPr>
            <w:tcW w:w="1562" w:type="dxa"/>
            <w:tcBorders/>
            <w:vAlign w:val="center"/>
          </w:tcPr>
          <w:p>
            <w:pPr>
              <w:pStyle w:val="TableContents"/>
              <w:bidi w:val="0"/>
              <w:jc w:val="right"/>
              <w:rPr/>
            </w:pPr>
            <w:r>
              <w:rPr/>
              <w:t>+0.0 [+0.0; 10 out]</w:t>
            </w:r>
          </w:p>
        </w:tc>
        <w:tc>
          <w:tcPr>
            <w:tcW w:w="1071" w:type="dxa"/>
            <w:tcBorders/>
            <w:vAlign w:val="center"/>
          </w:tcPr>
          <w:p>
            <w:pPr>
              <w:pStyle w:val="TableContents"/>
              <w:bidi w:val="0"/>
              <w:jc w:val="right"/>
              <w:rPr/>
            </w:pPr>
            <w:r>
              <w:rPr/>
              <w:t>424.3 [253.1]</w:t>
            </w:r>
          </w:p>
        </w:tc>
        <w:tc>
          <w:tcPr>
            <w:tcW w:w="1553" w:type="dxa"/>
            <w:tcBorders/>
            <w:vAlign w:val="center"/>
          </w:tcPr>
          <w:p>
            <w:pPr>
              <w:pStyle w:val="TableContents"/>
              <w:bidi w:val="0"/>
              <w:jc w:val="right"/>
              <w:rPr/>
            </w:pPr>
            <w:r>
              <w:rPr/>
              <w:t>424.3 [253.1]</w:t>
            </w:r>
          </w:p>
        </w:tc>
        <w:tc>
          <w:tcPr>
            <w:tcW w:w="1611" w:type="dxa"/>
            <w:tcBorders/>
            <w:vAlign w:val="center"/>
          </w:tcPr>
          <w:p>
            <w:pPr>
              <w:pStyle w:val="TableContents"/>
              <w:bidi w:val="0"/>
              <w:jc w:val="right"/>
              <w:rPr/>
            </w:pPr>
            <w:r>
              <w:rPr/>
              <w:t>+0.0 [+0.0; 10 out]</w:t>
            </w:r>
          </w:p>
        </w:tc>
      </w:tr>
      <w:tr>
        <w:trPr/>
        <w:tc>
          <w:tcPr>
            <w:tcW w:w="2209" w:type="dxa"/>
            <w:tcBorders/>
            <w:vAlign w:val="center"/>
          </w:tcPr>
          <w:p>
            <w:pPr>
              <w:pStyle w:val="TableContents"/>
              <w:widowControl w:val="false"/>
              <w:suppressLineNumbers/>
              <w:bidi w:val="0"/>
              <w:jc w:val="left"/>
              <w:rPr/>
            </w:pPr>
            <w:r>
              <w:rPr/>
              <w:t>held out Jul</w:t>
            </w:r>
          </w:p>
        </w:tc>
        <w:tc>
          <w:tcPr>
            <w:tcW w:w="1018" w:type="dxa"/>
            <w:tcBorders/>
            <w:vAlign w:val="center"/>
          </w:tcPr>
          <w:p>
            <w:pPr>
              <w:pStyle w:val="TableContents"/>
              <w:bidi w:val="0"/>
              <w:jc w:val="right"/>
              <w:rPr/>
            </w:pPr>
            <w:r>
              <w:rPr/>
              <w:t>356.2 [290.1]</w:t>
            </w:r>
          </w:p>
        </w:tc>
        <w:tc>
          <w:tcPr>
            <w:tcW w:w="1515" w:type="dxa"/>
            <w:tcBorders/>
            <w:vAlign w:val="center"/>
          </w:tcPr>
          <w:p>
            <w:pPr>
              <w:pStyle w:val="TableContents"/>
              <w:bidi w:val="0"/>
              <w:jc w:val="right"/>
              <w:rPr/>
            </w:pPr>
            <w:r>
              <w:rPr/>
              <w:t>320.6 [290.1]</w:t>
            </w:r>
          </w:p>
        </w:tc>
        <w:tc>
          <w:tcPr>
            <w:tcW w:w="1562" w:type="dxa"/>
            <w:tcBorders/>
            <w:vAlign w:val="center"/>
          </w:tcPr>
          <w:p>
            <w:pPr>
              <w:pStyle w:val="TableContents"/>
              <w:bidi w:val="0"/>
              <w:jc w:val="right"/>
              <w:rPr/>
            </w:pPr>
            <w:r>
              <w:rPr/>
              <w:t>-4,598.0 [+0.0; 37 out]</w:t>
            </w:r>
          </w:p>
        </w:tc>
        <w:tc>
          <w:tcPr>
            <w:tcW w:w="1071" w:type="dxa"/>
            <w:tcBorders/>
            <w:vAlign w:val="center"/>
          </w:tcPr>
          <w:p>
            <w:pPr>
              <w:pStyle w:val="TableContents"/>
              <w:bidi w:val="0"/>
              <w:jc w:val="right"/>
              <w:rPr/>
            </w:pPr>
            <w:r>
              <w:rPr/>
              <w:t>616.3 [284.9]</w:t>
            </w:r>
          </w:p>
        </w:tc>
        <w:tc>
          <w:tcPr>
            <w:tcW w:w="1553" w:type="dxa"/>
            <w:tcBorders/>
            <w:vAlign w:val="center"/>
          </w:tcPr>
          <w:p>
            <w:pPr>
              <w:pStyle w:val="TableContents"/>
              <w:bidi w:val="0"/>
              <w:jc w:val="right"/>
              <w:rPr/>
            </w:pPr>
            <w:r>
              <w:rPr/>
              <w:t>596.5 [284.9]</w:t>
            </w:r>
          </w:p>
        </w:tc>
        <w:tc>
          <w:tcPr>
            <w:tcW w:w="1611" w:type="dxa"/>
            <w:tcBorders/>
            <w:vAlign w:val="center"/>
          </w:tcPr>
          <w:p>
            <w:pPr>
              <w:pStyle w:val="TableContents"/>
              <w:bidi w:val="0"/>
              <w:jc w:val="right"/>
              <w:rPr/>
            </w:pPr>
            <w:r>
              <w:rPr/>
              <w:t>-4,598.0 [+0.0; 37 out]</w:t>
            </w:r>
          </w:p>
        </w:tc>
      </w:tr>
      <w:tr>
        <w:trPr/>
        <w:tc>
          <w:tcPr>
            <w:tcW w:w="2209" w:type="dxa"/>
            <w:tcBorders/>
            <w:vAlign w:val="center"/>
          </w:tcPr>
          <w:p>
            <w:pPr>
              <w:pStyle w:val="TableContents"/>
              <w:widowControl w:val="false"/>
              <w:suppressLineNumbers/>
              <w:bidi w:val="0"/>
              <w:jc w:val="left"/>
              <w:rPr/>
            </w:pPr>
            <w:r>
              <w:rPr/>
              <w:t>held out Aug</w:t>
            </w:r>
          </w:p>
        </w:tc>
        <w:tc>
          <w:tcPr>
            <w:tcW w:w="1018" w:type="dxa"/>
            <w:tcBorders/>
            <w:vAlign w:val="center"/>
          </w:tcPr>
          <w:p>
            <w:pPr>
              <w:pStyle w:val="TableContents"/>
              <w:bidi w:val="0"/>
              <w:jc w:val="right"/>
              <w:rPr/>
            </w:pPr>
            <w:r>
              <w:rPr/>
              <w:t>274.1 [251.7]</w:t>
            </w:r>
          </w:p>
        </w:tc>
        <w:tc>
          <w:tcPr>
            <w:tcW w:w="1515" w:type="dxa"/>
            <w:tcBorders/>
            <w:vAlign w:val="center"/>
          </w:tcPr>
          <w:p>
            <w:pPr>
              <w:pStyle w:val="TableContents"/>
              <w:bidi w:val="0"/>
              <w:jc w:val="right"/>
              <w:rPr/>
            </w:pPr>
            <w:r>
              <w:rPr/>
              <w:t>274.1 [251.7]</w:t>
            </w:r>
          </w:p>
        </w:tc>
        <w:tc>
          <w:tcPr>
            <w:tcW w:w="1562" w:type="dxa"/>
            <w:tcBorders/>
            <w:vAlign w:val="center"/>
          </w:tcPr>
          <w:p>
            <w:pPr>
              <w:pStyle w:val="TableContents"/>
              <w:bidi w:val="0"/>
              <w:jc w:val="right"/>
              <w:rPr/>
            </w:pPr>
            <w:r>
              <w:rPr/>
              <w:t>+0.0 [+0.0; 15 out]</w:t>
            </w:r>
          </w:p>
        </w:tc>
        <w:tc>
          <w:tcPr>
            <w:tcW w:w="1071" w:type="dxa"/>
            <w:tcBorders/>
            <w:vAlign w:val="center"/>
          </w:tcPr>
          <w:p>
            <w:pPr>
              <w:pStyle w:val="TableContents"/>
              <w:bidi w:val="0"/>
              <w:jc w:val="right"/>
              <w:rPr/>
            </w:pPr>
            <w:r>
              <w:rPr/>
              <w:t>395.8 [253.8]</w:t>
            </w:r>
          </w:p>
        </w:tc>
        <w:tc>
          <w:tcPr>
            <w:tcW w:w="1553" w:type="dxa"/>
            <w:tcBorders/>
            <w:vAlign w:val="center"/>
          </w:tcPr>
          <w:p>
            <w:pPr>
              <w:pStyle w:val="TableContents"/>
              <w:bidi w:val="0"/>
              <w:jc w:val="right"/>
              <w:rPr/>
            </w:pPr>
            <w:r>
              <w:rPr/>
              <w:t>395.8 [253.8]</w:t>
            </w:r>
          </w:p>
        </w:tc>
        <w:tc>
          <w:tcPr>
            <w:tcW w:w="1611" w:type="dxa"/>
            <w:tcBorders/>
            <w:vAlign w:val="center"/>
          </w:tcPr>
          <w:p>
            <w:pPr>
              <w:pStyle w:val="TableContents"/>
              <w:bidi w:val="0"/>
              <w:jc w:val="right"/>
              <w:rPr/>
            </w:pPr>
            <w:r>
              <w:rPr/>
              <w:t>+0.0 [+0.0; 15 out]</w:t>
            </w:r>
          </w:p>
        </w:tc>
      </w:tr>
      <w:tr>
        <w:trPr/>
        <w:tc>
          <w:tcPr>
            <w:tcW w:w="2209" w:type="dxa"/>
            <w:tcBorders/>
            <w:vAlign w:val="center"/>
          </w:tcPr>
          <w:p>
            <w:pPr>
              <w:pStyle w:val="TableContents"/>
              <w:widowControl w:val="false"/>
              <w:suppressLineNumbers/>
              <w:bidi w:val="0"/>
              <w:jc w:val="left"/>
              <w:rPr/>
            </w:pPr>
            <w:r>
              <w:rPr/>
              <w:t>held out Sep</w:t>
            </w:r>
          </w:p>
        </w:tc>
        <w:tc>
          <w:tcPr>
            <w:tcW w:w="1018" w:type="dxa"/>
            <w:tcBorders/>
            <w:vAlign w:val="center"/>
          </w:tcPr>
          <w:p>
            <w:pPr>
              <w:pStyle w:val="TableContents"/>
              <w:bidi w:val="0"/>
              <w:jc w:val="right"/>
              <w:rPr/>
            </w:pPr>
            <w:r>
              <w:rPr/>
              <w:t>251.7 [240.0]</w:t>
            </w:r>
          </w:p>
        </w:tc>
        <w:tc>
          <w:tcPr>
            <w:tcW w:w="1515" w:type="dxa"/>
            <w:tcBorders/>
            <w:vAlign w:val="center"/>
          </w:tcPr>
          <w:p>
            <w:pPr>
              <w:pStyle w:val="TableContents"/>
              <w:bidi w:val="0"/>
              <w:jc w:val="right"/>
              <w:rPr/>
            </w:pPr>
            <w:r>
              <w:rPr/>
              <w:t>251.7 [240.0]</w:t>
            </w:r>
          </w:p>
        </w:tc>
        <w:tc>
          <w:tcPr>
            <w:tcW w:w="1562" w:type="dxa"/>
            <w:tcBorders/>
            <w:vAlign w:val="center"/>
          </w:tcPr>
          <w:p>
            <w:pPr>
              <w:pStyle w:val="TableContents"/>
              <w:bidi w:val="0"/>
              <w:jc w:val="right"/>
              <w:rPr/>
            </w:pPr>
            <w:r>
              <w:rPr/>
              <w:t>+0.0 [+0.0; 12 out]</w:t>
            </w:r>
          </w:p>
        </w:tc>
        <w:tc>
          <w:tcPr>
            <w:tcW w:w="1071" w:type="dxa"/>
            <w:tcBorders/>
            <w:vAlign w:val="center"/>
          </w:tcPr>
          <w:p>
            <w:pPr>
              <w:pStyle w:val="TableContents"/>
              <w:bidi w:val="0"/>
              <w:jc w:val="right"/>
              <w:rPr/>
            </w:pPr>
            <w:r>
              <w:rPr/>
              <w:t>431.3 [241.3]</w:t>
            </w:r>
          </w:p>
        </w:tc>
        <w:tc>
          <w:tcPr>
            <w:tcW w:w="1553" w:type="dxa"/>
            <w:tcBorders/>
            <w:vAlign w:val="center"/>
          </w:tcPr>
          <w:p>
            <w:pPr>
              <w:pStyle w:val="TableContents"/>
              <w:bidi w:val="0"/>
              <w:jc w:val="right"/>
              <w:rPr/>
            </w:pPr>
            <w:r>
              <w:rPr/>
              <w:t>431.3 [241.3]</w:t>
            </w:r>
          </w:p>
        </w:tc>
        <w:tc>
          <w:tcPr>
            <w:tcW w:w="1611" w:type="dxa"/>
            <w:tcBorders/>
            <w:vAlign w:val="center"/>
          </w:tcPr>
          <w:p>
            <w:pPr>
              <w:pStyle w:val="TableContents"/>
              <w:bidi w:val="0"/>
              <w:jc w:val="right"/>
              <w:rPr/>
            </w:pPr>
            <w:r>
              <w:rPr/>
              <w:t>+0.0 [+0.0; 12 out]</w:t>
            </w:r>
          </w:p>
        </w:tc>
      </w:tr>
      <w:tr>
        <w:trPr/>
        <w:tc>
          <w:tcPr>
            <w:tcW w:w="2209" w:type="dxa"/>
            <w:tcBorders/>
            <w:vAlign w:val="center"/>
          </w:tcPr>
          <w:p>
            <w:pPr>
              <w:pStyle w:val="TableContents"/>
              <w:widowControl w:val="false"/>
              <w:suppressLineNumbers/>
              <w:bidi w:val="0"/>
              <w:jc w:val="left"/>
              <w:rPr/>
            </w:pPr>
            <w:r>
              <w:rPr/>
              <w:t>held out Oct</w:t>
            </w:r>
          </w:p>
        </w:tc>
        <w:tc>
          <w:tcPr>
            <w:tcW w:w="1018" w:type="dxa"/>
            <w:tcBorders/>
            <w:vAlign w:val="center"/>
          </w:tcPr>
          <w:p>
            <w:pPr>
              <w:pStyle w:val="TableContents"/>
              <w:bidi w:val="0"/>
              <w:jc w:val="right"/>
              <w:rPr/>
            </w:pPr>
            <w:r>
              <w:rPr/>
              <w:t>229.5 [229.0]</w:t>
            </w:r>
          </w:p>
        </w:tc>
        <w:tc>
          <w:tcPr>
            <w:tcW w:w="1515" w:type="dxa"/>
            <w:tcBorders/>
            <w:vAlign w:val="center"/>
          </w:tcPr>
          <w:p>
            <w:pPr>
              <w:pStyle w:val="TableContents"/>
              <w:bidi w:val="0"/>
              <w:jc w:val="right"/>
              <w:rPr/>
            </w:pPr>
            <w:r>
              <w:rPr/>
              <w:t>229.5 [229.0]</w:t>
            </w:r>
          </w:p>
        </w:tc>
        <w:tc>
          <w:tcPr>
            <w:tcW w:w="1562" w:type="dxa"/>
            <w:tcBorders/>
            <w:vAlign w:val="center"/>
          </w:tcPr>
          <w:p>
            <w:pPr>
              <w:pStyle w:val="TableContents"/>
              <w:bidi w:val="0"/>
              <w:jc w:val="right"/>
              <w:rPr/>
            </w:pPr>
            <w:r>
              <w:rPr/>
              <w:t>+0.0 [+0.0; 4 out]</w:t>
            </w:r>
          </w:p>
        </w:tc>
        <w:tc>
          <w:tcPr>
            <w:tcW w:w="1071" w:type="dxa"/>
            <w:tcBorders/>
            <w:vAlign w:val="center"/>
          </w:tcPr>
          <w:p>
            <w:pPr>
              <w:pStyle w:val="TableContents"/>
              <w:bidi w:val="0"/>
              <w:jc w:val="right"/>
              <w:rPr/>
            </w:pPr>
            <w:r>
              <w:rPr/>
              <w:t>251.1 [234.6]</w:t>
            </w:r>
          </w:p>
        </w:tc>
        <w:tc>
          <w:tcPr>
            <w:tcW w:w="1553" w:type="dxa"/>
            <w:tcBorders/>
            <w:vAlign w:val="center"/>
          </w:tcPr>
          <w:p>
            <w:pPr>
              <w:pStyle w:val="TableContents"/>
              <w:bidi w:val="0"/>
              <w:jc w:val="right"/>
              <w:rPr/>
            </w:pPr>
            <w:r>
              <w:rPr/>
              <w:t>251.1 [234.6]</w:t>
            </w:r>
          </w:p>
        </w:tc>
        <w:tc>
          <w:tcPr>
            <w:tcW w:w="1611" w:type="dxa"/>
            <w:tcBorders/>
            <w:vAlign w:val="center"/>
          </w:tcPr>
          <w:p>
            <w:pPr>
              <w:pStyle w:val="TableContents"/>
              <w:bidi w:val="0"/>
              <w:jc w:val="right"/>
              <w:rPr/>
            </w:pPr>
            <w:r>
              <w:rPr/>
              <w:t>+0.0 [+0.0; 4 out]</w:t>
            </w:r>
          </w:p>
        </w:tc>
      </w:tr>
      <w:tr>
        <w:trPr/>
        <w:tc>
          <w:tcPr>
            <w:tcW w:w="2209" w:type="dxa"/>
            <w:tcBorders/>
            <w:vAlign w:val="center"/>
          </w:tcPr>
          <w:p>
            <w:pPr>
              <w:pStyle w:val="TableContents"/>
              <w:widowControl w:val="false"/>
              <w:suppressLineNumbers/>
              <w:bidi w:val="0"/>
              <w:jc w:val="left"/>
              <w:rPr/>
            </w:pPr>
            <w:r>
              <w:rPr/>
              <w:t>held out Nov</w:t>
            </w:r>
          </w:p>
        </w:tc>
        <w:tc>
          <w:tcPr>
            <w:tcW w:w="1018" w:type="dxa"/>
            <w:tcBorders/>
            <w:vAlign w:val="center"/>
          </w:tcPr>
          <w:p>
            <w:pPr>
              <w:pStyle w:val="TableContents"/>
              <w:bidi w:val="0"/>
              <w:jc w:val="right"/>
              <w:rPr/>
            </w:pPr>
            <w:r>
              <w:rPr/>
              <w:t>230.9 [219.9]</w:t>
            </w:r>
          </w:p>
        </w:tc>
        <w:tc>
          <w:tcPr>
            <w:tcW w:w="1515" w:type="dxa"/>
            <w:tcBorders/>
            <w:vAlign w:val="center"/>
          </w:tcPr>
          <w:p>
            <w:pPr>
              <w:pStyle w:val="TableContents"/>
              <w:bidi w:val="0"/>
              <w:jc w:val="right"/>
              <w:rPr/>
            </w:pPr>
            <w:r>
              <w:rPr/>
              <w:t>230.9 [219.9]</w:t>
            </w:r>
          </w:p>
        </w:tc>
        <w:tc>
          <w:tcPr>
            <w:tcW w:w="1562" w:type="dxa"/>
            <w:tcBorders/>
            <w:vAlign w:val="center"/>
          </w:tcPr>
          <w:p>
            <w:pPr>
              <w:pStyle w:val="TableContents"/>
              <w:bidi w:val="0"/>
              <w:jc w:val="right"/>
              <w:rPr/>
            </w:pPr>
            <w:r>
              <w:rPr/>
              <w:t>+0.0 [+0.0; 4 out]</w:t>
            </w:r>
          </w:p>
        </w:tc>
        <w:tc>
          <w:tcPr>
            <w:tcW w:w="1071" w:type="dxa"/>
            <w:tcBorders/>
            <w:vAlign w:val="center"/>
          </w:tcPr>
          <w:p>
            <w:pPr>
              <w:pStyle w:val="TableContents"/>
              <w:bidi w:val="0"/>
              <w:jc w:val="right"/>
              <w:rPr/>
            </w:pPr>
            <w:r>
              <w:rPr/>
              <w:t>391.3 [225.8]</w:t>
            </w:r>
          </w:p>
        </w:tc>
        <w:tc>
          <w:tcPr>
            <w:tcW w:w="1553" w:type="dxa"/>
            <w:tcBorders/>
            <w:vAlign w:val="center"/>
          </w:tcPr>
          <w:p>
            <w:pPr>
              <w:pStyle w:val="TableContents"/>
              <w:bidi w:val="0"/>
              <w:jc w:val="right"/>
              <w:rPr/>
            </w:pPr>
            <w:r>
              <w:rPr/>
              <w:t>391.3 [225.8]</w:t>
            </w:r>
          </w:p>
        </w:tc>
        <w:tc>
          <w:tcPr>
            <w:tcW w:w="1611" w:type="dxa"/>
            <w:tcBorders/>
            <w:vAlign w:val="center"/>
          </w:tcPr>
          <w:p>
            <w:pPr>
              <w:pStyle w:val="TableContents"/>
              <w:bidi w:val="0"/>
              <w:jc w:val="right"/>
              <w:rPr/>
            </w:pPr>
            <w:r>
              <w:rPr/>
              <w:t>+0.0 [+0.0; 4 out]</w:t>
            </w:r>
          </w:p>
        </w:tc>
      </w:tr>
      <w:tr>
        <w:trPr/>
        <w:tc>
          <w:tcPr>
            <w:tcW w:w="2209" w:type="dxa"/>
            <w:tcBorders/>
            <w:vAlign w:val="center"/>
          </w:tcPr>
          <w:p>
            <w:pPr>
              <w:pStyle w:val="TableContents"/>
              <w:widowControl w:val="false"/>
              <w:suppressLineNumbers/>
              <w:bidi w:val="0"/>
              <w:jc w:val="left"/>
              <w:rPr/>
            </w:pPr>
            <w:r>
              <w:rPr/>
              <w:t>held out Dec</w:t>
            </w:r>
          </w:p>
        </w:tc>
        <w:tc>
          <w:tcPr>
            <w:tcW w:w="1018" w:type="dxa"/>
            <w:tcBorders/>
            <w:vAlign w:val="center"/>
          </w:tcPr>
          <w:p>
            <w:pPr>
              <w:pStyle w:val="TableContents"/>
              <w:bidi w:val="0"/>
              <w:jc w:val="right"/>
              <w:rPr/>
            </w:pPr>
            <w:r>
              <w:rPr/>
              <w:t>234.0 [230.0]</w:t>
            </w:r>
          </w:p>
        </w:tc>
        <w:tc>
          <w:tcPr>
            <w:tcW w:w="1515" w:type="dxa"/>
            <w:tcBorders/>
            <w:vAlign w:val="center"/>
          </w:tcPr>
          <w:p>
            <w:pPr>
              <w:pStyle w:val="TableContents"/>
              <w:bidi w:val="0"/>
              <w:jc w:val="right"/>
              <w:rPr/>
            </w:pPr>
            <w:r>
              <w:rPr/>
              <w:t>234.0 [230.0]</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364.8 [240.3]</w:t>
            </w:r>
          </w:p>
        </w:tc>
        <w:tc>
          <w:tcPr>
            <w:tcW w:w="1553" w:type="dxa"/>
            <w:tcBorders/>
            <w:vAlign w:val="center"/>
          </w:tcPr>
          <w:p>
            <w:pPr>
              <w:pStyle w:val="TableContents"/>
              <w:bidi w:val="0"/>
              <w:jc w:val="right"/>
              <w:rPr/>
            </w:pPr>
            <w:r>
              <w:rPr/>
              <w:t>364.8 [240.3]</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rStyle w:val="Strong"/>
              </w:rPr>
              <w:t>the year, twelve held-out months pooled</w:t>
            </w:r>
          </w:p>
        </w:tc>
        <w:tc>
          <w:tcPr>
            <w:tcW w:w="1018" w:type="dxa"/>
            <w:tcBorders/>
            <w:vAlign w:val="center"/>
          </w:tcPr>
          <w:p>
            <w:pPr>
              <w:pStyle w:val="TableContents"/>
              <w:bidi w:val="0"/>
              <w:jc w:val="right"/>
              <w:rPr/>
            </w:pPr>
            <w:r>
              <w:rPr/>
              <w:t>276.6 [239.0]</w:t>
            </w:r>
          </w:p>
        </w:tc>
        <w:tc>
          <w:tcPr>
            <w:tcW w:w="1515" w:type="dxa"/>
            <w:tcBorders/>
            <w:vAlign w:val="center"/>
          </w:tcPr>
          <w:p>
            <w:pPr>
              <w:pStyle w:val="TableContents"/>
              <w:bidi w:val="0"/>
              <w:jc w:val="right"/>
              <w:rPr/>
            </w:pPr>
            <w:r>
              <w:rPr/>
              <w:t>272.4 [238.9]</w:t>
            </w:r>
          </w:p>
        </w:tc>
        <w:tc>
          <w:tcPr>
            <w:tcW w:w="1562" w:type="dxa"/>
            <w:tcBorders/>
            <w:vAlign w:val="center"/>
          </w:tcPr>
          <w:p>
            <w:pPr>
              <w:pStyle w:val="TableContents"/>
              <w:bidi w:val="0"/>
              <w:jc w:val="right"/>
              <w:rPr/>
            </w:pPr>
            <w:r>
              <w:rPr/>
              <w:t>-4,823.6 [-66.2; 122 out]</w:t>
            </w:r>
          </w:p>
        </w:tc>
        <w:tc>
          <w:tcPr>
            <w:tcW w:w="1071" w:type="dxa"/>
            <w:tcBorders/>
            <w:vAlign w:val="center"/>
          </w:tcPr>
          <w:p>
            <w:pPr>
              <w:pStyle w:val="TableContents"/>
              <w:bidi w:val="0"/>
              <w:jc w:val="right"/>
              <w:rPr/>
            </w:pPr>
            <w:r>
              <w:rPr/>
              <w:t>405.4 [243.5]</w:t>
            </w:r>
          </w:p>
        </w:tc>
        <w:tc>
          <w:tcPr>
            <w:tcW w:w="1553" w:type="dxa"/>
            <w:tcBorders/>
            <w:vAlign w:val="center"/>
          </w:tcPr>
          <w:p>
            <w:pPr>
              <w:pStyle w:val="TableContents"/>
              <w:bidi w:val="0"/>
              <w:jc w:val="right"/>
              <w:rPr/>
            </w:pPr>
            <w:r>
              <w:rPr/>
              <w:t>402.6 [243.5]</w:t>
            </w:r>
          </w:p>
        </w:tc>
        <w:tc>
          <w:tcPr>
            <w:tcW w:w="1611" w:type="dxa"/>
            <w:tcBorders/>
            <w:vAlign w:val="center"/>
          </w:tcPr>
          <w:p>
            <w:pPr>
              <w:pStyle w:val="TableContents"/>
              <w:bidi w:val="0"/>
              <w:jc w:val="right"/>
              <w:rPr/>
            </w:pPr>
            <w:r>
              <w:rPr/>
              <w:t>-4,823.6 [-66.2; 122 out]</w:t>
            </w:r>
          </w:p>
        </w:tc>
      </w:tr>
    </w:tbl>
    <w:p>
      <w:pPr>
        <w:pStyle w:val="BodyText"/>
        <w:bidi w:val="0"/>
        <w:jc w:val="left"/>
        <w:rPr/>
      </w:pPr>
      <w:r>
        <w:rPr/>
        <w:t>In the pre-registration's own words, this evaluation shows what the rule does to three rows and nothing more: each held-out month that holds one of the three fits the rule on the other two, so the share it applies was computed from the very rows the rule was written after seeing. Nothing here settles whether the rule is right for the 2026 departure.</w:t>
      </w:r>
    </w:p>
    <w:p>
      <w:pPr>
        <w:pStyle w:val="BodyText"/>
        <w:bidi w:val="0"/>
        <w:jc w:val="left"/>
        <w:rPr/>
      </w:pPr>
      <w:r>
        <w:rPr/>
        <w:t xml:space="preserve">Sources: </w:t>
      </w:r>
      <w:r>
        <w:rPr>
          <w:rStyle w:val="SourceText"/>
        </w:rPr>
        <w:t>reports/planshift.md</w:t>
      </w:r>
      <w:r>
        <w:rPr/>
        <w:t xml:space="preserve">, </w:t>
      </w:r>
      <w:r>
        <w:rPr>
          <w:rStyle w:val="Emphasis"/>
        </w:rPr>
        <w:t>The class in the training year</w:t>
      </w:r>
      <w:r>
        <w:rPr/>
        <w:t xml:space="preserve">, </w:t>
      </w:r>
      <w:r>
        <w:rPr>
          <w:rStyle w:val="Emphasis"/>
        </w:rPr>
        <w:t>The rule fitted on the full year</w:t>
      </w:r>
      <w:r>
        <w:rPr/>
        <w:t xml:space="preserve">, </w:t>
      </w:r>
      <w:r>
        <w:rPr>
          <w:rStyle w:val="Emphasis"/>
        </w:rPr>
        <w:t>The one ranking departure</w:t>
      </w:r>
      <w:r>
        <w:rPr/>
        <w:t xml:space="preserve">, </w:t>
      </w:r>
      <w:r>
        <w:rPr>
          <w:rStyle w:val="Emphasis"/>
        </w:rPr>
        <w:t>Per held-out month and on the two forward legs</w:t>
      </w:r>
      <w:r>
        <w:rPr/>
        <w:t xml:space="preserve"> and </w:t>
      </w:r>
      <w:r>
        <w:rPr>
          <w:rStyle w:val="Emphasis"/>
        </w:rPr>
        <w:t>What this evaluation can show</w:t>
      </w:r>
      <w:r>
        <w:rPr/>
        <w:t>.</w:t>
      </w:r>
    </w:p>
    <w:p>
      <w:pPr>
        <w:pStyle w:val="Heading2"/>
        <w:bidi w:val="0"/>
        <w:jc w:val="left"/>
        <w:rPr/>
      </w:pPr>
      <w:r>
        <w:rPr/>
        <w:t>Annex J: the three candidates measured on the final configuration</w:t>
      </w:r>
    </w:p>
    <w:p>
      <w:pPr>
        <w:pStyle w:val="BodyText"/>
        <w:bidi w:val="0"/>
        <w:jc w:val="left"/>
        <w:rPr/>
      </w:pPr>
      <w:r>
        <w:rPr/>
        <w:t>Three candidates, each measured once before the freeze and left on the table, were fitted on top of the base configuration and read under a rule fixed in writing before any of their figures existed. The first pre-registration named the candidates, the legs, the reference and four conditions. The second kept all of those, read every figure over the rows that neither the term nor the plan-shift rule covers, added a fifth condition on the twelve held-out months, and changed what adoption would mean: a candidate would be added to the existing model rather than trigger a full refit of the final configuration. Both are published in the repository as dated records. The candidates: the runway-saturation block appended to the base configuration's features; row weights halving every twelve months over the fitting rows; 8,000 trees in place of 6,000. The reference is the shipped rung's own fit on each leg, which reproduced the ladder's stored December and July residuals to zero and October's printed figure before anything was read.</w:t>
      </w:r>
    </w:p>
    <w:p>
      <w:pPr>
        <w:pStyle w:val="BodyText"/>
        <w:bidi w:val="0"/>
        <w:jc w:val="left"/>
        <w:rPr/>
      </w:pPr>
      <w:r>
        <w:rPr/>
        <w:t>A candidate is adopted only if, on the paired contrast against the reference at the same seed, it is better by more than the floor on December and on July over all ten airports, and not worse by more than the floor on the three July airports and on October; a candidate that holds those four is then read on the twelve held-out months against the year's floor, refitted at a second seed for a sign check, and ships as an increment on the rung. Every contrast is read at the precision the ladder's report prints, two decimals; negative is better.</w:t>
      </w:r>
    </w:p>
    <w:tbl>
      <w:tblPr>
        <w:tblW w:w="10539" w:type="dxa"/>
        <w:jc w:val="left"/>
        <w:tblInd w:w="28" w:type="dxa"/>
        <w:tblLayout w:type="fixed"/>
        <w:tblCellMar>
          <w:top w:w="28" w:type="dxa"/>
          <w:left w:w="28" w:type="dxa"/>
          <w:bottom w:w="28" w:type="dxa"/>
          <w:right w:w="28" w:type="dxa"/>
        </w:tblCellMar>
      </w:tblPr>
      <w:tblGrid>
        <w:gridCol w:w="2413"/>
        <w:gridCol w:w="1367"/>
        <w:gridCol w:w="1140"/>
        <w:gridCol w:w="1181"/>
        <w:gridCol w:w="1020"/>
        <w:gridCol w:w="1047"/>
        <w:gridCol w:w="1334"/>
        <w:gridCol w:w="1037"/>
      </w:tblGrid>
      <w:tr>
        <w:trPr>
          <w:tblHeader w:val="true"/>
        </w:trPr>
        <w:tc>
          <w:tcPr>
            <w:tcW w:w="2413" w:type="dxa"/>
            <w:tcBorders/>
            <w:vAlign w:val="center"/>
          </w:tcPr>
          <w:p>
            <w:pPr>
              <w:pStyle w:val="TableHeading"/>
              <w:suppressLineNumbers/>
              <w:bidi w:val="0"/>
              <w:jc w:val="center"/>
              <w:rPr/>
            </w:pPr>
            <w:r>
              <w:rPr/>
              <w:t>candidate</w:t>
            </w:r>
          </w:p>
        </w:tc>
        <w:tc>
          <w:tcPr>
            <w:tcW w:w="1367" w:type="dxa"/>
            <w:tcBorders/>
            <w:vAlign w:val="center"/>
          </w:tcPr>
          <w:p>
            <w:pPr>
              <w:pStyle w:val="TableHeading"/>
              <w:suppressLineNumbers/>
              <w:bidi w:val="0"/>
              <w:jc w:val="center"/>
              <w:rPr/>
            </w:pPr>
            <w:r>
              <w:rPr/>
              <w:t>read on</w:t>
            </w:r>
          </w:p>
        </w:tc>
        <w:tc>
          <w:tcPr>
            <w:tcW w:w="1140" w:type="dxa"/>
            <w:tcBorders/>
            <w:vAlign w:val="center"/>
          </w:tcPr>
          <w:p>
            <w:pPr>
              <w:pStyle w:val="TableHeading"/>
              <w:bidi w:val="0"/>
              <w:jc w:val="right"/>
              <w:rPr/>
            </w:pPr>
            <w:r>
              <w:rPr/>
              <w:t>reference (s)</w:t>
            </w:r>
          </w:p>
        </w:tc>
        <w:tc>
          <w:tcPr>
            <w:tcW w:w="1181" w:type="dxa"/>
            <w:tcBorders/>
            <w:vAlign w:val="center"/>
          </w:tcPr>
          <w:p>
            <w:pPr>
              <w:pStyle w:val="TableHeading"/>
              <w:bidi w:val="0"/>
              <w:jc w:val="right"/>
              <w:rPr/>
            </w:pPr>
            <w:r>
              <w:rPr/>
              <w:t>candidate (s)</w:t>
            </w:r>
          </w:p>
        </w:tc>
        <w:tc>
          <w:tcPr>
            <w:tcW w:w="1020" w:type="dxa"/>
            <w:tcBorders/>
            <w:vAlign w:val="center"/>
          </w:tcPr>
          <w:p>
            <w:pPr>
              <w:pStyle w:val="TableHeading"/>
              <w:bidi w:val="0"/>
              <w:jc w:val="right"/>
              <w:rPr/>
            </w:pPr>
            <w:r>
              <w:rPr/>
              <w:t>contrast (s)</w:t>
            </w:r>
          </w:p>
        </w:tc>
        <w:tc>
          <w:tcPr>
            <w:tcW w:w="1047" w:type="dxa"/>
            <w:tcBorders/>
            <w:vAlign w:val="center"/>
          </w:tcPr>
          <w:p>
            <w:pPr>
              <w:pStyle w:val="TableHeading"/>
              <w:bidi w:val="0"/>
              <w:jc w:val="right"/>
              <w:rPr/>
            </w:pPr>
            <w:r>
              <w:rPr/>
              <w:t>interval (s)</w:t>
            </w:r>
          </w:p>
        </w:tc>
        <w:tc>
          <w:tcPr>
            <w:tcW w:w="1334" w:type="dxa"/>
            <w:tcBorders/>
            <w:vAlign w:val="center"/>
          </w:tcPr>
          <w:p>
            <w:pPr>
              <w:pStyle w:val="TableHeading"/>
              <w:suppressLineNumbers/>
              <w:bidi w:val="0"/>
              <w:jc w:val="center"/>
              <w:rPr/>
            </w:pPr>
            <w:r>
              <w:rPr/>
              <w:t>condition, floor (s)</w:t>
            </w:r>
          </w:p>
        </w:tc>
        <w:tc>
          <w:tcPr>
            <w:tcW w:w="1037" w:type="dxa"/>
            <w:tcBorders/>
            <w:vAlign w:val="center"/>
          </w:tcPr>
          <w:p>
            <w:pPr>
              <w:pStyle w:val="TableHeading"/>
              <w:suppressLineNumbers/>
              <w:bidi w:val="0"/>
              <w:jc w:val="center"/>
              <w:rPr/>
            </w:pPr>
            <w:r>
              <w:rPr/>
              <w:t>verdict</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214.83</w:t>
            </w:r>
          </w:p>
        </w:tc>
        <w:tc>
          <w:tcPr>
            <w:tcW w:w="1020" w:type="dxa"/>
            <w:tcBorders/>
            <w:vAlign w:val="center"/>
          </w:tcPr>
          <w:p>
            <w:pPr>
              <w:pStyle w:val="TableContents"/>
              <w:bidi w:val="0"/>
              <w:jc w:val="right"/>
              <w:rPr/>
            </w:pPr>
            <w:r>
              <w:rPr/>
              <w:t>+0.17</w:t>
            </w:r>
          </w:p>
        </w:tc>
        <w:tc>
          <w:tcPr>
            <w:tcW w:w="1047" w:type="dxa"/>
            <w:tcBorders/>
            <w:vAlign w:val="center"/>
          </w:tcPr>
          <w:p>
            <w:pPr>
              <w:pStyle w:val="TableContents"/>
              <w:bidi w:val="0"/>
              <w:jc w:val="right"/>
              <w:rPr/>
            </w:pPr>
            <w:r>
              <w:rPr/>
              <w:t>[-0.32, +0.74]</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203.16</w:t>
            </w:r>
          </w:p>
        </w:tc>
        <w:tc>
          <w:tcPr>
            <w:tcW w:w="1020" w:type="dxa"/>
            <w:tcBorders/>
            <w:vAlign w:val="center"/>
          </w:tcPr>
          <w:p>
            <w:pPr>
              <w:pStyle w:val="TableContents"/>
              <w:bidi w:val="0"/>
              <w:jc w:val="right"/>
              <w:rPr/>
            </w:pPr>
            <w:r>
              <w:rPr/>
              <w:t>-0.30</w:t>
            </w:r>
          </w:p>
        </w:tc>
        <w:tc>
          <w:tcPr>
            <w:tcW w:w="1047" w:type="dxa"/>
            <w:tcBorders/>
            <w:vAlign w:val="center"/>
          </w:tcPr>
          <w:p>
            <w:pPr>
              <w:pStyle w:val="TableContents"/>
              <w:bidi w:val="0"/>
              <w:jc w:val="right"/>
              <w:rPr/>
            </w:pPr>
            <w:r>
              <w:rPr/>
              <w:t>[-1.25, +0.69]</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262.25</w:t>
            </w:r>
          </w:p>
        </w:tc>
        <w:tc>
          <w:tcPr>
            <w:tcW w:w="1020" w:type="dxa"/>
            <w:tcBorders/>
            <w:vAlign w:val="center"/>
          </w:tcPr>
          <w:p>
            <w:pPr>
              <w:pStyle w:val="TableContents"/>
              <w:bidi w:val="0"/>
              <w:jc w:val="right"/>
              <w:rPr/>
            </w:pPr>
            <w:r>
              <w:rPr/>
              <w:t>+0.00</w:t>
            </w:r>
          </w:p>
        </w:tc>
        <w:tc>
          <w:tcPr>
            <w:tcW w:w="1047" w:type="dxa"/>
            <w:tcBorders/>
            <w:vAlign w:val="center"/>
          </w:tcPr>
          <w:p>
            <w:pPr>
              <w:pStyle w:val="TableContents"/>
              <w:bidi w:val="0"/>
              <w:jc w:val="right"/>
              <w:rPr/>
            </w:pPr>
            <w:r>
              <w:rPr/>
              <w:t>[-0.40, +0.41]</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235.05</w:t>
            </w:r>
          </w:p>
        </w:tc>
        <w:tc>
          <w:tcPr>
            <w:tcW w:w="1020" w:type="dxa"/>
            <w:tcBorders/>
            <w:vAlign w:val="center"/>
          </w:tcPr>
          <w:p>
            <w:pPr>
              <w:pStyle w:val="TableContents"/>
              <w:bidi w:val="0"/>
              <w:jc w:val="right"/>
              <w:rPr/>
            </w:pPr>
            <w:r>
              <w:rPr/>
              <w:t>-0.06</w:t>
            </w:r>
          </w:p>
        </w:tc>
        <w:tc>
          <w:tcPr>
            <w:tcW w:w="1047" w:type="dxa"/>
            <w:tcBorders/>
            <w:vAlign w:val="center"/>
          </w:tcPr>
          <w:p>
            <w:pPr>
              <w:pStyle w:val="TableContents"/>
              <w:bidi w:val="0"/>
              <w:jc w:val="right"/>
              <w:rPr/>
            </w:pPr>
            <w:r>
              <w:rPr/>
              <w:t>[-0.80, +0.72]</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214.50</w:t>
            </w:r>
          </w:p>
        </w:tc>
        <w:tc>
          <w:tcPr>
            <w:tcW w:w="1020" w:type="dxa"/>
            <w:tcBorders/>
            <w:vAlign w:val="center"/>
          </w:tcPr>
          <w:p>
            <w:pPr>
              <w:pStyle w:val="TableContents"/>
              <w:bidi w:val="0"/>
              <w:jc w:val="right"/>
              <w:rPr/>
            </w:pPr>
            <w:r>
              <w:rPr/>
              <w:t>+0.06</w:t>
            </w:r>
          </w:p>
        </w:tc>
        <w:tc>
          <w:tcPr>
            <w:tcW w:w="1047" w:type="dxa"/>
            <w:tcBorders/>
            <w:vAlign w:val="center"/>
          </w:tcPr>
          <w:p>
            <w:pPr>
              <w:pStyle w:val="TableContents"/>
              <w:bidi w:val="0"/>
              <w:jc w:val="right"/>
              <w:rPr/>
            </w:pPr>
            <w:r>
              <w:rPr/>
              <w:t>[-0.34, +0.50]</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214.71</w:t>
            </w:r>
          </w:p>
        </w:tc>
        <w:tc>
          <w:tcPr>
            <w:tcW w:w="1020" w:type="dxa"/>
            <w:tcBorders/>
            <w:vAlign w:val="center"/>
          </w:tcPr>
          <w:p>
            <w:pPr>
              <w:pStyle w:val="TableContents"/>
              <w:bidi w:val="0"/>
              <w:jc w:val="right"/>
              <w:rPr/>
            </w:pPr>
            <w:r>
              <w:rPr/>
              <w:t>+0.05</w:t>
            </w:r>
          </w:p>
        </w:tc>
        <w:tc>
          <w:tcPr>
            <w:tcW w:w="1047" w:type="dxa"/>
            <w:tcBorders/>
            <w:vAlign w:val="center"/>
          </w:tcPr>
          <w:p>
            <w:pPr>
              <w:pStyle w:val="TableContents"/>
              <w:bidi w:val="0"/>
              <w:jc w:val="right"/>
              <w:rPr/>
            </w:pPr>
            <w:r>
              <w:rPr/>
              <w:t>[-0.43, +0.54]</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203.51</w:t>
            </w:r>
          </w:p>
        </w:tc>
        <w:tc>
          <w:tcPr>
            <w:tcW w:w="1020" w:type="dxa"/>
            <w:tcBorders/>
            <w:vAlign w:val="center"/>
          </w:tcPr>
          <w:p>
            <w:pPr>
              <w:pStyle w:val="TableContents"/>
              <w:bidi w:val="0"/>
              <w:jc w:val="right"/>
              <w:rPr/>
            </w:pPr>
            <w:r>
              <w:rPr/>
              <w:t>+0.05</w:t>
            </w:r>
          </w:p>
        </w:tc>
        <w:tc>
          <w:tcPr>
            <w:tcW w:w="1047" w:type="dxa"/>
            <w:tcBorders/>
            <w:vAlign w:val="center"/>
          </w:tcPr>
          <w:p>
            <w:pPr>
              <w:pStyle w:val="TableContents"/>
              <w:bidi w:val="0"/>
              <w:jc w:val="right"/>
              <w:rPr/>
            </w:pPr>
            <w:r>
              <w:rPr/>
              <w:t>[-0.80, +0.88]</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262.50</w:t>
            </w:r>
          </w:p>
        </w:tc>
        <w:tc>
          <w:tcPr>
            <w:tcW w:w="1020" w:type="dxa"/>
            <w:tcBorders/>
            <w:vAlign w:val="center"/>
          </w:tcPr>
          <w:p>
            <w:pPr>
              <w:pStyle w:val="TableContents"/>
              <w:bidi w:val="0"/>
              <w:jc w:val="right"/>
              <w:rPr/>
            </w:pPr>
            <w:r>
              <w:rPr/>
              <w:t>+0.25</w:t>
            </w:r>
          </w:p>
        </w:tc>
        <w:tc>
          <w:tcPr>
            <w:tcW w:w="1047" w:type="dxa"/>
            <w:tcBorders/>
            <w:vAlign w:val="center"/>
          </w:tcPr>
          <w:p>
            <w:pPr>
              <w:pStyle w:val="TableContents"/>
              <w:bidi w:val="0"/>
              <w:jc w:val="right"/>
              <w:rPr/>
            </w:pPr>
            <w:r>
              <w:rPr/>
              <w:t>[-0.21, +0.77]</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236.15</w:t>
            </w:r>
          </w:p>
        </w:tc>
        <w:tc>
          <w:tcPr>
            <w:tcW w:w="1020" w:type="dxa"/>
            <w:tcBorders/>
            <w:vAlign w:val="center"/>
          </w:tcPr>
          <w:p>
            <w:pPr>
              <w:pStyle w:val="TableContents"/>
              <w:bidi w:val="0"/>
              <w:jc w:val="right"/>
              <w:rPr/>
            </w:pPr>
            <w:r>
              <w:rPr/>
              <w:t>+1.04</w:t>
            </w:r>
          </w:p>
        </w:tc>
        <w:tc>
          <w:tcPr>
            <w:tcW w:w="1047" w:type="dxa"/>
            <w:tcBorders/>
            <w:vAlign w:val="center"/>
          </w:tcPr>
          <w:p>
            <w:pPr>
              <w:pStyle w:val="TableContents"/>
              <w:bidi w:val="0"/>
              <w:jc w:val="right"/>
              <w:rPr/>
            </w:pPr>
            <w:r>
              <w:rPr/>
              <w:t>[+0.06, +2.05]</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214.67</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[-0.18, +0.70]</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214.38</w:t>
            </w:r>
          </w:p>
        </w:tc>
        <w:tc>
          <w:tcPr>
            <w:tcW w:w="1020" w:type="dxa"/>
            <w:tcBorders/>
            <w:vAlign w:val="center"/>
          </w:tcPr>
          <w:p>
            <w:pPr>
              <w:pStyle w:val="TableContents"/>
              <w:bidi w:val="0"/>
              <w:jc w:val="right"/>
              <w:rPr/>
            </w:pPr>
            <w:r>
              <w:rPr/>
              <w:t>-0.28</w:t>
            </w:r>
          </w:p>
        </w:tc>
        <w:tc>
          <w:tcPr>
            <w:tcW w:w="1047" w:type="dxa"/>
            <w:tcBorders/>
            <w:vAlign w:val="center"/>
          </w:tcPr>
          <w:p>
            <w:pPr>
              <w:pStyle w:val="TableContents"/>
              <w:bidi w:val="0"/>
              <w:jc w:val="right"/>
              <w:rPr/>
            </w:pPr>
            <w:r>
              <w:rPr/>
              <w:t>[-0.39, -0.18]</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203.23</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[-0.40, -0.07]</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262.34</w:t>
            </w:r>
          </w:p>
        </w:tc>
        <w:tc>
          <w:tcPr>
            <w:tcW w:w="1020" w:type="dxa"/>
            <w:tcBorders/>
            <w:vAlign w:val="center"/>
          </w:tcPr>
          <w:p>
            <w:pPr>
              <w:pStyle w:val="TableContents"/>
              <w:bidi w:val="0"/>
              <w:jc w:val="right"/>
              <w:rPr/>
            </w:pPr>
            <w:r>
              <w:rPr/>
              <w:t>+0.09</w:t>
            </w:r>
          </w:p>
        </w:tc>
        <w:tc>
          <w:tcPr>
            <w:tcW w:w="1047" w:type="dxa"/>
            <w:tcBorders/>
            <w:vAlign w:val="center"/>
          </w:tcPr>
          <w:p>
            <w:pPr>
              <w:pStyle w:val="TableContents"/>
              <w:bidi w:val="0"/>
              <w:jc w:val="right"/>
              <w:rPr/>
            </w:pPr>
            <w:r>
              <w:rPr/>
              <w:t>[+0.01, +0.17]</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235.34</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[+0.11, +0.36]</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214.42</w:t>
            </w:r>
          </w:p>
        </w:tc>
        <w:tc>
          <w:tcPr>
            <w:tcW w:w="1020" w:type="dxa"/>
            <w:tcBorders/>
            <w:vAlign w:val="center"/>
          </w:tcPr>
          <w:p>
            <w:pPr>
              <w:pStyle w:val="TableContents"/>
              <w:bidi w:val="0"/>
              <w:jc w:val="right"/>
              <w:rPr/>
            </w:pPr>
            <w:r>
              <w:rPr/>
              <w:t>-0.02</w:t>
            </w:r>
          </w:p>
        </w:tc>
        <w:tc>
          <w:tcPr>
            <w:tcW w:w="1047" w:type="dxa"/>
            <w:tcBorders/>
            <w:vAlign w:val="center"/>
          </w:tcPr>
          <w:p>
            <w:pPr>
              <w:pStyle w:val="TableContents"/>
              <w:bidi w:val="0"/>
              <w:jc w:val="right"/>
              <w:rPr/>
            </w:pPr>
            <w:r>
              <w:rPr/>
              <w:t>[-0.10, +0.05]</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t>holds</w:t>
            </w:r>
          </w:p>
        </w:tc>
      </w:tr>
    </w:tbl>
    <w:p>
      <w:pPr>
        <w:pStyle w:val="BodyText"/>
        <w:bidi w:val="0"/>
        <w:jc w:val="left"/>
        <w:rPr/>
      </w:pPr>
      <w:r>
        <w:rPr>
          <w:rStyle w:val="Strong"/>
        </w:rPr>
        <w:t>The rule adopts nothing.</w:t>
      </w:r>
      <w:r>
        <w:rPr/>
        <w:t xml:space="preserve"> No candidate holds the four conditions, so the fifth was not reached, no second seed was fitted, and the submission was not rebuilt. More trees is the one candidate that clears December, by 0.28 s against a floor of 0.23, and it fails July by 0.09 s in the wrong direction; the saturation block is null on both forward legs; the recency schedule fails all four, by 1.04 s on the three July airports against a floor of 1.02. The report also reads every condition three other ways, on the unrounded contrast and under two roundings to one decimal, and under every reading the same candidates hold: none. The twelve fits took 3,283 s of wall time.</w:t>
      </w:r>
    </w:p>
    <w:p>
      <w:pPr>
        <w:pStyle w:val="BodyText"/>
        <w:bidi w:val="0"/>
        <w:jc w:val="left"/>
        <w:rPr/>
      </w:pPr>
      <w:r>
        <w:rPr/>
        <w:t xml:space="preserve">Sources: </w:t>
      </w:r>
      <w:r>
        <w:rPr>
          <w:rStyle w:val="SourceText"/>
        </w:rPr>
        <w:t>reports/candidates-2026-10-03.md</w:t>
      </w:r>
      <w:r>
        <w:rPr/>
        <w:t xml:space="preserve">, </w:t>
      </w:r>
      <w:r>
        <w:rPr>
          <w:rStyle w:val="Emphasis"/>
        </w:rPr>
        <w:t>What was measured</w:t>
      </w:r>
      <w:r>
        <w:rPr/>
        <w:t xml:space="preserve">, </w:t>
      </w:r>
      <w:r>
        <w:rPr>
          <w:rStyle w:val="Emphasis"/>
        </w:rPr>
        <w:t>Before anything was read</w:t>
      </w:r>
      <w:r>
        <w:rPr/>
        <w:t xml:space="preserve">, </w:t>
      </w:r>
      <w:r>
        <w:rPr>
          <w:rStyle w:val="Emphasis"/>
        </w:rPr>
        <w:t>The four conditions of 28 September</w:t>
      </w:r>
      <w:r>
        <w:rPr/>
        <w:t xml:space="preserve">, </w:t>
      </w:r>
      <w:r>
        <w:rPr>
          <w:rStyle w:val="Emphasis"/>
        </w:rPr>
        <w:t>What the rule adopts</w:t>
      </w:r>
      <w:r>
        <w:rPr/>
        <w:t xml:space="preserve">, </w:t>
      </w:r>
      <w:r>
        <w:rPr>
          <w:rStyle w:val="Emphasis"/>
        </w:rPr>
        <w:t>Whether a verdict turns on the precision</w:t>
      </w:r>
      <w:r>
        <w:rPr/>
        <w:t xml:space="preserve"> and </w:t>
      </w:r>
      <w:r>
        <w:rPr>
          <w:rStyle w:val="Emphasis"/>
        </w:rPr>
        <w:t>Every fit</w:t>
      </w:r>
      <w:r>
        <w:rPr/>
        <w:t xml:space="preserve">; </w:t>
      </w:r>
      <w:r>
        <w:rPr>
          <w:rStyle w:val="SourceText"/>
        </w:rPr>
        <w:t>reports/preregistered-2026-09-28.md</w:t>
      </w:r>
      <w:r>
        <w:rPr/>
        <w:t xml:space="preserve"> and </w:t>
      </w:r>
      <w:r>
        <w:rPr>
          <w:rStyle w:val="SourceText"/>
        </w:rPr>
        <w:t>reports/preregistered-2026-10-03.md</w:t>
      </w:r>
      <w:r>
        <w:rPr/>
        <w:t>, dated records.</w:t>
      </w:r>
    </w:p>
    <w:p>
      <w:pPr>
        <w:pStyle w:val="Heading2"/>
        <w:bidi w:val="0"/>
        <w:jc w:val="left"/>
        <w:rPr/>
      </w:pPr>
      <w:r>
        <w:rPr/>
        <w:t>References</w:t>
      </w:r>
    </w:p>
    <w:p>
      <w:pPr>
        <w:pStyle w:val="BodyText"/>
        <w:bidi w:val="0"/>
        <w:spacing w:before="0" w:after="140"/>
        <w:jc w:val="left"/>
        <w:rPr/>
      </w:pPr>
      <w:r>
        <w:rPr/>
        <w:t xml:space="preserve">From </w:t>
      </w:r>
      <w:r>
        <w:rPr>
          <w:rStyle w:val="SourceText"/>
        </w:rPr>
        <w:t>docs/prior_art.md</w:t>
      </w:r>
      <w:r>
        <w:rPr/>
        <w:t xml:space="preserve">, </w:t>
      </w:r>
      <w:r>
        <w:rPr>
          <w:rStyle w:val="Emphasis"/>
        </w:rPr>
        <w:t>Sources</w:t>
      </w:r>
      <w:r>
        <w:rPr/>
        <w:t>.</w:t>
      </w:r>
    </w:p>
    <w:sectPr>
      <w:type w:val="nextPage"/>
      <w:pgSz w:w="12240" w:h="15840"/>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character" w:styleId="Strong">
    <w:name w:val="Strong"/>
    <w:qFormat/>
    <w:rPr>
      <w:b/>
      <w:bCs/>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5281/zenodo.23133051" TargetMode="External"/><Relationship Id="rId3" Type="http://schemas.openxmlformats.org/officeDocument/2006/relationships/image" Target="file:///tmp/reports/synthetic_airport.svg" TargetMode="External"/><Relationship Id="rId4" Type="http://schemas.openxmlformats.org/officeDocument/2006/relationships/image" Target="file:///tmp/tmp.HZm2Lj88C2/figures/heldout_pairs_by_month.svg" TargetMode="External"/><Relationship Id="rId5" Type="http://schemas.openxmlformats.org/officeDocument/2006/relationships/image" Target="file:///tmp/tmp.HZm2Lj88C2/figures/ladder_level.svg" TargetMode="External"/><Relationship Id="rId6" Type="http://schemas.openxmlformats.org/officeDocument/2006/relationships/image" Target="file:///tmp/tmp.HZm2Lj88C2/figures/ladder_change.svg" TargetMode="External"/><Relationship Id="rId7" Type="http://schemas.openxmlformats.org/officeDocument/2006/relationships/image" Target="file:///tmp/tmp.HZm2Lj88C2/figures/geometry_forward.svg" TargetMode="External"/><Relationship Id="rId8" Type="http://schemas.openxmlformats.org/officeDocument/2006/relationships/image" Target="file:///tmp/tmp.HZm2Lj88C2/figures/geometry_heldout.svg" TargetMode="External"/><Relationship Id="rId9" Type="http://schemas.openxmlformats.org/officeDocument/2006/relationships/image" Target="file:///tmp/tmp.HZm2Lj88C2/figures/residual_tail.svg"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Recovering the airport surface: taxi-out prediction from OpenStreetMap geometry</dc:title>
</cp:coreProperties>
</file>