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2.svg" ContentType="image/svg"/>
  <Override PartName="/word/media/image2.svg" ContentType="image/svg"/>
  <Override PartName="/word/media/image14.svg" ContentType="image/svg"/>
  <Override PartName="/word/media/image6.svg" ContentType="image/svg"/>
  <Override PartName="/word/media/image4.svg" ContentType="image/svg"/>
  <Override PartName="/word/media/image8.svg" ContentType="image/svg"/>
  <Override PartName="/word/media/image10.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Kicker"/>
      </w:pPr>
      <w:r>
        <w:t>PRC Data Challenge 2026</w:t>
      </w:r>
    </w:p>
    <w:p>
      <w:pPr>
        <w:pStyle w:val="CoverTitle"/>
      </w:pPr>
      <w:r>
        <w:t>Recovering the airport surface: taxi-out prediction from OpenStreetMap geometry</w:t>
      </w:r>
    </w:p>
    <w:p>
      <w:pPr>
        <w:pStyle w:val="CoverSub"/>
      </w:pPr>
      <w:r>
        <w:t xml:space="preserve">Team </w:t>
      </w:r>
      <w:r>
        <w:rPr>
          <w:rFonts w:ascii="Liberation Mono" w:hAnsi="Liberation Mono"/>
          <w:sz w:val="30"/>
        </w:rPr>
        <w:t>funny-firefly</w:t>
      </w:r>
    </w:p>
    <w:p>
      <w:pPr>
        <w:pStyle w:val="CoverMeta"/>
        <w:spacing w:before="1200"/>
      </w:pPr>
      <w:r>
        <w:t>Hunter Bell</w:t>
      </w:r>
    </w:p>
    <w:p>
      <w:pPr>
        <w:pStyle w:val="CoverMeta"/>
      </w:pPr>
      <w:r>
        <w:t>Release V1.1, October 2026</w:t>
      </w:r>
    </w:p>
    <w:p>
      <w:pPr>
        <w:pStyle w:val="CoverMeta"/>
        <w:spacing w:before="1600"/>
      </w:pPr>
      <w:r>
        <w:rPr>
          <w:b/>
        </w:rPr>
        <w:t xml:space="preserve">Repository  </w:t>
      </w:r>
      <w:hyperlink r:id="rIdCov1">
        <w:r>
          <w:rPr>
            <w:rStyle w:val="Hyperlink"/>
          </w:rPr>
          <w:t>https://github.com/hubell/funny-firefly</w:t>
        </w:r>
      </w:hyperlink>
    </w:p>
    <w:p>
      <w:pPr>
        <w:pStyle w:val="CoverMeta"/>
      </w:pPr>
      <w:r>
        <w:rPr>
          <w:b/>
        </w:rPr>
        <w:t xml:space="preserve">Code archive  </w:t>
      </w:r>
      <w:hyperlink r:id="rIdCov2">
        <w:r>
          <w:rPr>
            <w:rStyle w:val="Hyperlink"/>
          </w:rPr>
          <w:t>https://doi.org/10.5281/zenodo.23320026</w:t>
        </w:r>
      </w:hyperlink>
    </w:p>
    <w:p>
      <w:pPr>
        <w:pStyle w:val="CoverMeta"/>
      </w:pPr>
      <w:r>
        <w:rPr>
          <w:b/>
        </w:rPr>
        <w:t xml:space="preserve">Data archive  </w:t>
      </w:r>
      <w:hyperlink r:id="rIdCov3">
        <w:r>
          <w:rPr>
            <w:rStyle w:val="Hyperlink"/>
          </w:rPr>
          <w:t>https://doi.org/10.5281/zenodo.23133051</w:t>
        </w:r>
      </w:hyperlink>
    </w:p>
    <w:p>
      <w:pPr>
        <w:pStyle w:val="ContentsHeading"/>
      </w:pPr>
      <w:r>
        <w:t>Contents</w:t>
      </w:r>
    </w:p>
    <w:p>
      <w:pPr>
        <w:pStyle w:val="TOC2"/>
        <w:tabs>
          <w:tab w:val="right" w:leader="dot" w:pos="9972"/>
        </w:tabs>
      </w:pPr>
      <w:r>
        <w:fldChar w:fldCharType="begin"/>
      </w:r>
      <w:r>
        <w:instrText xml:space="preserve"> TOC \o "2-4" \h \z \u </w:instrText>
      </w:r>
      <w:r>
        <w:fldChar w:fldCharType="separate"/>
      </w:r>
      <w:hyperlink w:anchor="_Toc000001" w:history="1">
        <w:r>
          <w:t xml:space="preserve">Abstract</w:t>
        </w:r>
        <w:r>
          <w:tab/>
        </w:r>
        <w:r>
          <w:fldChar w:fldCharType="begin"/>
        </w:r>
        <w:r>
          <w:instrText xml:space="preserve"> PAGEREF _Toc000001 \h </w:instrText>
        </w:r>
        <w:r>
          <w:fldChar w:fldCharType="separate"/>
        </w:r>
        <w:r>
          <w:t>4</w:t>
        </w:r>
        <w:r>
          <w:fldChar w:fldCharType="end"/>
        </w:r>
      </w:hyperlink>
    </w:p>
    <w:p>
      <w:pPr>
        <w:pStyle w:val="TOC2"/>
        <w:tabs>
          <w:tab w:val="right" w:leader="dot" w:pos="9972"/>
        </w:tabs>
      </w:pPr>
      <w:hyperlink w:anchor="_Toc000002" w:history="1">
        <w:r>
          <w:t xml:space="preserve">1. Introduction</w:t>
        </w:r>
        <w:r>
          <w:tab/>
        </w:r>
        <w:r>
          <w:fldChar w:fldCharType="begin"/>
        </w:r>
        <w:r>
          <w:instrText xml:space="preserve"> PAGEREF _Toc000002 \h </w:instrText>
        </w:r>
        <w:r>
          <w:fldChar w:fldCharType="separate"/>
        </w:r>
        <w:r>
          <w:t>5</w:t>
        </w:r>
        <w:r>
          <w:fldChar w:fldCharType="end"/>
        </w:r>
      </w:hyperlink>
    </w:p>
    <w:p>
      <w:pPr>
        <w:pStyle w:val="TOC3"/>
        <w:tabs>
          <w:tab w:val="right" w:leader="dot" w:pos="9972"/>
        </w:tabs>
      </w:pPr>
      <w:hyperlink w:anchor="_Toc000003" w:history="1">
        <w:r>
          <w:t xml:space="preserve">1.1 The problem, and the form the challenge gives it</w:t>
        </w:r>
        <w:r>
          <w:tab/>
        </w:r>
        <w:r>
          <w:fldChar w:fldCharType="begin"/>
        </w:r>
        <w:r>
          <w:instrText xml:space="preserve"> PAGEREF _Toc000003 \h </w:instrText>
        </w:r>
        <w:r>
          <w:fldChar w:fldCharType="separate"/>
        </w:r>
        <w:r>
          <w:t>5</w:t>
        </w:r>
        <w:r>
          <w:fldChar w:fldCharType="end"/>
        </w:r>
      </w:hyperlink>
    </w:p>
    <w:p>
      <w:pPr>
        <w:pStyle w:val="TOC3"/>
        <w:tabs>
          <w:tab w:val="right" w:leader="dot" w:pos="9972"/>
        </w:tabs>
      </w:pPr>
      <w:hyperlink w:anchor="_Toc000004" w:history="1">
        <w:r>
          <w:t xml:space="preserve">1.2 What I set out to test</w:t>
        </w:r>
        <w:r>
          <w:tab/>
        </w:r>
        <w:r>
          <w:fldChar w:fldCharType="begin"/>
        </w:r>
        <w:r>
          <w:instrText xml:space="preserve"> PAGEREF _Toc000004 \h </w:instrText>
        </w:r>
        <w:r>
          <w:fldChar w:fldCharType="separate"/>
        </w:r>
        <w:r>
          <w:t>5</w:t>
        </w:r>
        <w:r>
          <w:fldChar w:fldCharType="end"/>
        </w:r>
      </w:hyperlink>
    </w:p>
    <w:p>
      <w:pPr>
        <w:pStyle w:val="TOC3"/>
        <w:tabs>
          <w:tab w:val="right" w:leader="dot" w:pos="9972"/>
        </w:tabs>
      </w:pPr>
      <w:hyperlink w:anchor="_Toc000005" w:history="1">
        <w:r>
          <w:t xml:space="preserve">1.3 Prior art, and what is new here</w:t>
        </w:r>
        <w:r>
          <w:tab/>
        </w:r>
        <w:r>
          <w:fldChar w:fldCharType="begin"/>
        </w:r>
        <w:r>
          <w:instrText xml:space="preserve"> PAGEREF _Toc000005 \h </w:instrText>
        </w:r>
        <w:r>
          <w:fldChar w:fldCharType="separate"/>
        </w:r>
        <w:r>
          <w:t>6</w:t>
        </w:r>
        <w:r>
          <w:fldChar w:fldCharType="end"/>
        </w:r>
      </w:hyperlink>
    </w:p>
    <w:p>
      <w:pPr>
        <w:pStyle w:val="TOC3"/>
        <w:tabs>
          <w:tab w:val="right" w:leader="dot" w:pos="9972"/>
        </w:tabs>
      </w:pPr>
      <w:hyperlink w:anchor="_Toc000006" w:history="1">
        <w:r>
          <w:t xml:space="preserve">1.4 Terms used in this paper</w:t>
        </w:r>
        <w:r>
          <w:tab/>
        </w:r>
        <w:r>
          <w:fldChar w:fldCharType="begin"/>
        </w:r>
        <w:r>
          <w:instrText xml:space="preserve"> PAGEREF _Toc000006 \h </w:instrText>
        </w:r>
        <w:r>
          <w:fldChar w:fldCharType="separate"/>
        </w:r>
        <w:r>
          <w:t>6</w:t>
        </w:r>
        <w:r>
          <w:fldChar w:fldCharType="end"/>
        </w:r>
      </w:hyperlink>
    </w:p>
    <w:p>
      <w:pPr>
        <w:pStyle w:val="TOC2"/>
        <w:tabs>
          <w:tab w:val="right" w:leader="dot" w:pos="9972"/>
        </w:tabs>
      </w:pPr>
      <w:hyperlink w:anchor="_Toc000007" w:history="1">
        <w:r>
          <w:t xml:space="preserve">2. Data</w:t>
        </w:r>
        <w:r>
          <w:tab/>
        </w:r>
        <w:r>
          <w:fldChar w:fldCharType="begin"/>
        </w:r>
        <w:r>
          <w:instrText xml:space="preserve"> PAGEREF _Toc000007 \h </w:instrText>
        </w:r>
        <w:r>
          <w:fldChar w:fldCharType="separate"/>
        </w:r>
        <w:r>
          <w:t>7</w:t>
        </w:r>
        <w:r>
          <w:fldChar w:fldCharType="end"/>
        </w:r>
      </w:hyperlink>
    </w:p>
    <w:p>
      <w:pPr>
        <w:pStyle w:val="TOC3"/>
        <w:tabs>
          <w:tab w:val="right" w:leader="dot" w:pos="9972"/>
        </w:tabs>
      </w:pPr>
      <w:hyperlink w:anchor="_Toc000008" w:history="1">
        <w:r>
          <w:t xml:space="preserve">2.1 What the challenge supplies, and what it withholds</w:t>
        </w:r>
        <w:r>
          <w:tab/>
        </w:r>
        <w:r>
          <w:fldChar w:fldCharType="begin"/>
        </w:r>
        <w:r>
          <w:instrText xml:space="preserve"> PAGEREF _Toc000008 \h </w:instrText>
        </w:r>
        <w:r>
          <w:fldChar w:fldCharType="separate"/>
        </w:r>
        <w:r>
          <w:t>7</w:t>
        </w:r>
        <w:r>
          <w:fldChar w:fldCharType="end"/>
        </w:r>
      </w:hyperlink>
    </w:p>
    <w:p>
      <w:pPr>
        <w:pStyle w:val="TOC3"/>
        <w:tabs>
          <w:tab w:val="right" w:leader="dot" w:pos="9972"/>
        </w:tabs>
      </w:pPr>
      <w:hyperlink w:anchor="_Toc000009" w:history="1">
        <w:r>
          <w:t xml:space="preserve">2.2 External data, and the license position</w:t>
        </w:r>
        <w:r>
          <w:tab/>
        </w:r>
        <w:r>
          <w:fldChar w:fldCharType="begin"/>
        </w:r>
        <w:r>
          <w:instrText xml:space="preserve"> PAGEREF _Toc000009 \h </w:instrText>
        </w:r>
        <w:r>
          <w:fldChar w:fldCharType="separate"/>
        </w:r>
        <w:r>
          <w:t>8</w:t>
        </w:r>
        <w:r>
          <w:fldChar w:fldCharType="end"/>
        </w:r>
      </w:hyperlink>
    </w:p>
    <w:p>
      <w:pPr>
        <w:pStyle w:val="TOC3"/>
        <w:tabs>
          <w:tab w:val="right" w:leader="dot" w:pos="9972"/>
        </w:tabs>
      </w:pPr>
      <w:hyperlink w:anchor="_Toc000010" w:history="1">
        <w:r>
          <w:t xml:space="preserve">2.3 Reproducibility and the ODbL boundary</w:t>
        </w:r>
        <w:r>
          <w:tab/>
        </w:r>
        <w:r>
          <w:fldChar w:fldCharType="begin"/>
        </w:r>
        <w:r>
          <w:instrText xml:space="preserve"> PAGEREF _Toc000010 \h </w:instrText>
        </w:r>
        <w:r>
          <w:fldChar w:fldCharType="separate"/>
        </w:r>
        <w:r>
          <w:t>8</w:t>
        </w:r>
        <w:r>
          <w:fldChar w:fldCharType="end"/>
        </w:r>
      </w:hyperlink>
    </w:p>
    <w:p>
      <w:pPr>
        <w:pStyle w:val="TOC2"/>
        <w:tabs>
          <w:tab w:val="right" w:leader="dot" w:pos="9972"/>
        </w:tabs>
      </w:pPr>
      <w:hyperlink w:anchor="_Toc000011" w:history="1">
        <w:r>
          <w:t xml:space="preserve">3. Method</w:t>
        </w:r>
        <w:r>
          <w:tab/>
        </w:r>
        <w:r>
          <w:fldChar w:fldCharType="begin"/>
        </w:r>
        <w:r>
          <w:instrText xml:space="preserve"> PAGEREF _Toc000011 \h </w:instrText>
        </w:r>
        <w:r>
          <w:fldChar w:fldCharType="separate"/>
        </w:r>
        <w:r>
          <w:t>9</w:t>
        </w:r>
        <w:r>
          <w:fldChar w:fldCharType="end"/>
        </w:r>
      </w:hyperlink>
    </w:p>
    <w:p>
      <w:pPr>
        <w:pStyle w:val="TOC3"/>
        <w:tabs>
          <w:tab w:val="right" w:leader="dot" w:pos="9972"/>
        </w:tabs>
      </w:pPr>
      <w:hyperlink w:anchor="_Toc000012" w:history="1">
        <w:r>
          <w:t xml:space="preserve">3.1 The decomposition, and the pipeline in order</w:t>
        </w:r>
        <w:r>
          <w:tab/>
        </w:r>
        <w:r>
          <w:fldChar w:fldCharType="begin"/>
        </w:r>
        <w:r>
          <w:instrText xml:space="preserve"> PAGEREF _Toc000012 \h </w:instrText>
        </w:r>
        <w:r>
          <w:fldChar w:fldCharType="separate"/>
        </w:r>
        <w:r>
          <w:t>9</w:t>
        </w:r>
        <w:r>
          <w:fldChar w:fldCharType="end"/>
        </w:r>
      </w:hyperlink>
    </w:p>
    <w:p>
      <w:pPr>
        <w:pStyle w:val="TOC3"/>
        <w:tabs>
          <w:tab w:val="right" w:leader="dot" w:pos="9972"/>
        </w:tabs>
      </w:pPr>
      <w:hyperlink w:anchor="_Toc000013" w:history="1">
        <w:r>
          <w:t xml:space="preserve">3.2 What the model reads</w:t>
        </w:r>
        <w:r>
          <w:tab/>
        </w:r>
        <w:r>
          <w:fldChar w:fldCharType="begin"/>
        </w:r>
        <w:r>
          <w:instrText xml:space="preserve"> PAGEREF _Toc000013 \h </w:instrText>
        </w:r>
        <w:r>
          <w:fldChar w:fldCharType="separate"/>
        </w:r>
        <w:r>
          <w:t>10</w:t>
        </w:r>
        <w:r>
          <w:fldChar w:fldCharType="end"/>
        </w:r>
      </w:hyperlink>
    </w:p>
    <w:p>
      <w:pPr>
        <w:pStyle w:val="TOC3"/>
        <w:tabs>
          <w:tab w:val="right" w:leader="dot" w:pos="9972"/>
        </w:tabs>
      </w:pPr>
      <w:hyperlink w:anchor="_Toc000014" w:history="1">
        <w:r>
          <w:t xml:space="preserve">3.3 Two terms that bypass the booster</w:t>
        </w:r>
        <w:r>
          <w:tab/>
        </w:r>
        <w:r>
          <w:fldChar w:fldCharType="begin"/>
        </w:r>
        <w:r>
          <w:instrText xml:space="preserve"> PAGEREF _Toc000014 \h </w:instrText>
        </w:r>
        <w:r>
          <w:fldChar w:fldCharType="separate"/>
        </w:r>
        <w:r>
          <w:t>11</w:t>
        </w:r>
        <w:r>
          <w:fldChar w:fldCharType="end"/>
        </w:r>
      </w:hyperlink>
    </w:p>
    <w:p>
      <w:pPr>
        <w:pStyle w:val="TOC3"/>
        <w:tabs>
          <w:tab w:val="right" w:leader="dot" w:pos="9972"/>
        </w:tabs>
      </w:pPr>
      <w:hyperlink w:anchor="_Toc000015" w:history="1">
        <w:r>
          <w:t xml:space="preserve">3.4 The booster, its parameters, and the seed average</w:t>
        </w:r>
        <w:r>
          <w:tab/>
        </w:r>
        <w:r>
          <w:fldChar w:fldCharType="begin"/>
        </w:r>
        <w:r>
          <w:instrText xml:space="preserve"> PAGEREF _Toc000015 \h </w:instrText>
        </w:r>
        <w:r>
          <w:fldChar w:fldCharType="separate"/>
        </w:r>
        <w:r>
          <w:t>11</w:t>
        </w:r>
        <w:r>
          <w:fldChar w:fldCharType="end"/>
        </w:r>
      </w:hyperlink>
    </w:p>
    <w:p>
      <w:pPr>
        <w:pStyle w:val="TOC3"/>
        <w:tabs>
          <w:tab w:val="right" w:leader="dot" w:pos="9972"/>
        </w:tabs>
      </w:pPr>
      <w:hyperlink w:anchor="_Toc000016" w:history="1">
        <w:r>
          <w:t xml:space="preserve">3.5 The validation design</w:t>
        </w:r>
        <w:r>
          <w:tab/>
        </w:r>
        <w:r>
          <w:fldChar w:fldCharType="begin"/>
        </w:r>
        <w:r>
          <w:instrText xml:space="preserve"> PAGEREF _Toc000016 \h </w:instrText>
        </w:r>
        <w:r>
          <w:fldChar w:fldCharType="separate"/>
        </w:r>
        <w:r>
          <w:t>12</w:t>
        </w:r>
        <w:r>
          <w:fldChar w:fldCharType="end"/>
        </w:r>
      </w:hyperlink>
    </w:p>
    <w:p>
      <w:pPr>
        <w:pStyle w:val="TOC3"/>
        <w:tabs>
          <w:tab w:val="right" w:leader="dot" w:pos="9972"/>
        </w:tabs>
      </w:pPr>
      <w:hyperlink w:anchor="_Toc000017" w:history="1">
        <w:r>
          <w:t xml:space="preserve">3.6 The instruments</w:t>
        </w:r>
        <w:r>
          <w:tab/>
        </w:r>
        <w:r>
          <w:fldChar w:fldCharType="begin"/>
        </w:r>
        <w:r>
          <w:instrText xml:space="preserve"> PAGEREF _Toc000017 \h </w:instrText>
        </w:r>
        <w:r>
          <w:fldChar w:fldCharType="separate"/>
        </w:r>
        <w:r>
          <w:t>12</w:t>
        </w:r>
        <w:r>
          <w:fldChar w:fldCharType="end"/>
        </w:r>
      </w:hyperlink>
    </w:p>
    <w:p>
      <w:pPr>
        <w:pStyle w:val="TOC3"/>
        <w:tabs>
          <w:tab w:val="right" w:leader="dot" w:pos="9972"/>
        </w:tabs>
      </w:pPr>
      <w:hyperlink w:anchor="_Toc000018" w:history="1">
        <w:r>
          <w:t xml:space="preserve">3.7 What was fixed before the numbers</w:t>
        </w:r>
        <w:r>
          <w:tab/>
        </w:r>
        <w:r>
          <w:fldChar w:fldCharType="begin"/>
        </w:r>
        <w:r>
          <w:instrText xml:space="preserve"> PAGEREF _Toc000018 \h </w:instrText>
        </w:r>
        <w:r>
          <w:fldChar w:fldCharType="separate"/>
        </w:r>
        <w:r>
          <w:t>13</w:t>
        </w:r>
        <w:r>
          <w:fldChar w:fldCharType="end"/>
        </w:r>
      </w:hyperlink>
    </w:p>
    <w:p>
      <w:pPr>
        <w:pStyle w:val="TOC2"/>
        <w:tabs>
          <w:tab w:val="right" w:leader="dot" w:pos="9972"/>
        </w:tabs>
      </w:pPr>
      <w:hyperlink w:anchor="_Toc000019" w:history="1">
        <w:r>
          <w:t xml:space="preserve">4. The tail, and what the scoring rule makes optimal</w:t>
        </w:r>
        <w:r>
          <w:tab/>
        </w:r>
        <w:r>
          <w:fldChar w:fldCharType="begin"/>
        </w:r>
        <w:r>
          <w:instrText xml:space="preserve"> PAGEREF _Toc000019 \h </w:instrText>
        </w:r>
        <w:r>
          <w:fldChar w:fldCharType="separate"/>
        </w:r>
        <w:r>
          <w:t>13</w:t>
        </w:r>
        <w:r>
          <w:fldChar w:fldCharType="end"/>
        </w:r>
      </w:hyperlink>
    </w:p>
    <w:p>
      <w:pPr>
        <w:pStyle w:val="TOC2"/>
        <w:tabs>
          <w:tab w:val="right" w:leader="dot" w:pos="9972"/>
        </w:tabs>
      </w:pPr>
      <w:hyperlink w:anchor="_Toc000020" w:history="1">
        <w:r>
          <w:t xml:space="preserve">5. The unimpeded term</w:t>
        </w:r>
        <w:r>
          <w:tab/>
        </w:r>
        <w:r>
          <w:fldChar w:fldCharType="begin"/>
        </w:r>
        <w:r>
          <w:instrText xml:space="preserve"> PAGEREF _Toc000020 \h </w:instrText>
        </w:r>
        <w:r>
          <w:fldChar w:fldCharType="separate"/>
        </w:r>
        <w:r>
          <w:t>16</w:t>
        </w:r>
        <w:r>
          <w:fldChar w:fldCharType="end"/>
        </w:r>
      </w:hyperlink>
    </w:p>
    <w:p>
      <w:pPr>
        <w:pStyle w:val="TOC3"/>
        <w:tabs>
          <w:tab w:val="right" w:leader="dot" w:pos="9972"/>
        </w:tabs>
      </w:pPr>
      <w:hyperlink w:anchor="_Toc000021" w:history="1">
        <w:r>
          <w:t xml:space="preserve">5.1 From OSM to a routable surface</w:t>
        </w:r>
        <w:r>
          <w:tab/>
        </w:r>
        <w:r>
          <w:fldChar w:fldCharType="begin"/>
        </w:r>
        <w:r>
          <w:instrText xml:space="preserve"> PAGEREF _Toc000021 \h </w:instrText>
        </w:r>
        <w:r>
          <w:fldChar w:fldCharType="separate"/>
        </w:r>
        <w:r>
          <w:t>16</w:t>
        </w:r>
        <w:r>
          <w:fldChar w:fldCharType="end"/>
        </w:r>
      </w:hyperlink>
    </w:p>
    <w:p>
      <w:pPr>
        <w:pStyle w:val="TOC3"/>
        <w:tabs>
          <w:tab w:val="right" w:leader="dot" w:pos="9972"/>
        </w:tabs>
      </w:pPr>
      <w:hyperlink w:anchor="_Toc000022" w:history="1">
        <w:r>
          <w:t xml:space="preserve">5.2 A worked airport: where every number is known</w:t>
        </w:r>
        <w:r>
          <w:tab/>
        </w:r>
        <w:r>
          <w:fldChar w:fldCharType="begin"/>
        </w:r>
        <w:r>
          <w:instrText xml:space="preserve"> PAGEREF _Toc000022 \h </w:instrText>
        </w:r>
        <w:r>
          <w:fldChar w:fldCharType="separate"/>
        </w:r>
        <w:r>
          <w:t>16</w:t>
        </w:r>
        <w:r>
          <w:fldChar w:fldCharType="end"/>
        </w:r>
      </w:hyperlink>
    </w:p>
    <w:p>
      <w:pPr>
        <w:pStyle w:val="TOC3"/>
        <w:tabs>
          <w:tab w:val="right" w:leader="dot" w:pos="9972"/>
        </w:tabs>
      </w:pPr>
      <w:hyperlink w:anchor="_Toc000023" w:history="1">
        <w:r>
          <w:t xml:space="preserve">5.3 What the geometry recovers, and what it does not</w:t>
        </w:r>
        <w:r>
          <w:tab/>
        </w:r>
        <w:r>
          <w:fldChar w:fldCharType="begin"/>
        </w:r>
        <w:r>
          <w:instrText xml:space="preserve"> PAGEREF _Toc000023 \h </w:instrText>
        </w:r>
        <w:r>
          <w:fldChar w:fldCharType="separate"/>
        </w:r>
        <w:r>
          <w:t>17</w:t>
        </w:r>
        <w:r>
          <w:fldChar w:fldCharType="end"/>
        </w:r>
      </w:hyperlink>
    </w:p>
    <w:p>
      <w:pPr>
        <w:pStyle w:val="TOC3"/>
        <w:tabs>
          <w:tab w:val="right" w:leader="dot" w:pos="9972"/>
        </w:tabs>
      </w:pPr>
      <w:hyperlink w:anchor="_Toc000024" w:history="1">
        <w:r>
          <w:t xml:space="preserve">5.4 Where memorization runs out, and what replaces it</w:t>
        </w:r>
        <w:r>
          <w:tab/>
        </w:r>
        <w:r>
          <w:fldChar w:fldCharType="begin"/>
        </w:r>
        <w:r>
          <w:instrText xml:space="preserve"> PAGEREF _Toc000024 \h </w:instrText>
        </w:r>
        <w:r>
          <w:fldChar w:fldCharType="separate"/>
        </w:r>
        <w:r>
          <w:t>17</w:t>
        </w:r>
        <w:r>
          <w:fldChar w:fldCharType="end"/>
        </w:r>
      </w:hyperlink>
    </w:p>
    <w:p>
      <w:pPr>
        <w:pStyle w:val="TOC3"/>
        <w:tabs>
          <w:tab w:val="right" w:leader="dot" w:pos="9972"/>
        </w:tabs>
      </w:pPr>
      <w:hyperlink w:anchor="_Toc000025" w:history="1">
        <w:r>
          <w:t xml:space="preserve">5.5 Taking the model to a new airport</w:t>
        </w:r>
        <w:r>
          <w:tab/>
        </w:r>
        <w:r>
          <w:fldChar w:fldCharType="begin"/>
        </w:r>
        <w:r>
          <w:instrText xml:space="preserve"> PAGEREF _Toc000025 \h </w:instrText>
        </w:r>
        <w:r>
          <w:fldChar w:fldCharType="separate"/>
        </w:r>
        <w:r>
          <w:t>19</w:t>
        </w:r>
        <w:r>
          <w:fldChar w:fldCharType="end"/>
        </w:r>
      </w:hyperlink>
    </w:p>
    <w:p>
      <w:pPr>
        <w:pStyle w:val="TOC2"/>
        <w:tabs>
          <w:tab w:val="right" w:leader="dot" w:pos="9972"/>
        </w:tabs>
      </w:pPr>
      <w:hyperlink w:anchor="_Toc000026" w:history="1">
        <w:r>
          <w:t xml:space="preserve">6. The excess term</w:t>
        </w:r>
        <w:r>
          <w:tab/>
        </w:r>
        <w:r>
          <w:fldChar w:fldCharType="begin"/>
        </w:r>
        <w:r>
          <w:instrText xml:space="preserve"> PAGEREF _Toc000026 \h </w:instrText>
        </w:r>
        <w:r>
          <w:fldChar w:fldCharType="separate"/>
        </w:r>
        <w:r>
          <w:t>22</w:t>
        </w:r>
        <w:r>
          <w:fldChar w:fldCharType="end"/>
        </w:r>
      </w:hyperlink>
    </w:p>
    <w:p>
      <w:pPr>
        <w:pStyle w:val="TOC3"/>
        <w:tabs>
          <w:tab w:val="right" w:leader="dot" w:pos="9972"/>
        </w:tabs>
      </w:pPr>
      <w:hyperlink w:anchor="_Toc000027" w:history="1">
        <w:r>
          <w:t xml:space="preserve">6.1 What the ranking set allows, and the registry that enforces it</w:t>
        </w:r>
        <w:r>
          <w:tab/>
        </w:r>
        <w:r>
          <w:fldChar w:fldCharType="begin"/>
        </w:r>
        <w:r>
          <w:instrText xml:space="preserve"> PAGEREF _Toc000027 \h </w:instrText>
        </w:r>
        <w:r>
          <w:fldChar w:fldCharType="separate"/>
        </w:r>
        <w:r>
          <w:t>22</w:t>
        </w:r>
        <w:r>
          <w:fldChar w:fldCharType="end"/>
        </w:r>
      </w:hyperlink>
    </w:p>
    <w:p>
      <w:pPr>
        <w:pStyle w:val="TOC3"/>
        <w:tabs>
          <w:tab w:val="right" w:leader="dot" w:pos="9972"/>
        </w:tabs>
      </w:pPr>
      <w:hyperlink w:anchor="_Toc000028" w:history="1">
        <w:r>
          <w:t xml:space="preserve">6.2 Congestion, corridor, and weather</w:t>
        </w:r>
        <w:r>
          <w:tab/>
        </w:r>
        <w:r>
          <w:fldChar w:fldCharType="begin"/>
        </w:r>
        <w:r>
          <w:instrText xml:space="preserve"> PAGEREF _Toc000028 \h </w:instrText>
        </w:r>
        <w:r>
          <w:fldChar w:fldCharType="separate"/>
        </w:r>
        <w:r>
          <w:t>22</w:t>
        </w:r>
        <w:r>
          <w:fldChar w:fldCharType="end"/>
        </w:r>
      </w:hyperlink>
    </w:p>
    <w:p>
      <w:pPr>
        <w:pStyle w:val="TOC3"/>
        <w:tabs>
          <w:tab w:val="right" w:leader="dot" w:pos="9972"/>
        </w:tabs>
      </w:pPr>
      <w:hyperlink w:anchor="_Toc000029" w:history="1">
        <w:r>
          <w:t xml:space="preserve">6.3 The flight plan's own delay signal</w:t>
        </w:r>
        <w:r>
          <w:tab/>
        </w:r>
        <w:r>
          <w:fldChar w:fldCharType="begin"/>
        </w:r>
        <w:r>
          <w:instrText xml:space="preserve"> PAGEREF _Toc000029 \h </w:instrText>
        </w:r>
        <w:r>
          <w:fldChar w:fldCharType="separate"/>
        </w:r>
        <w:r>
          <w:t>22</w:t>
        </w:r>
        <w:r>
          <w:fldChar w:fldCharType="end"/>
        </w:r>
      </w:hyperlink>
    </w:p>
    <w:p>
      <w:pPr>
        <w:pStyle w:val="TOC3"/>
        <w:tabs>
          <w:tab w:val="right" w:leader="dot" w:pos="9972"/>
        </w:tabs>
      </w:pPr>
      <w:hyperlink w:anchor="_Toc000030" w:history="1">
        <w:r>
          <w:t xml:space="preserve">6.4 The queue layer that was not built</w:t>
        </w:r>
        <w:r>
          <w:tab/>
        </w:r>
        <w:r>
          <w:fldChar w:fldCharType="begin"/>
        </w:r>
        <w:r>
          <w:instrText xml:space="preserve"> PAGEREF _Toc000030 \h </w:instrText>
        </w:r>
        <w:r>
          <w:fldChar w:fldCharType="separate"/>
        </w:r>
        <w:r>
          <w:t>23</w:t>
        </w:r>
        <w:r>
          <w:fldChar w:fldCharType="end"/>
        </w:r>
      </w:hyperlink>
    </w:p>
    <w:p>
      <w:pPr>
        <w:pStyle w:val="TOC3"/>
        <w:tabs>
          <w:tab w:val="right" w:leader="dot" w:pos="9972"/>
        </w:tabs>
      </w:pPr>
      <w:hyperlink w:anchor="_Toc000031" w:history="1">
        <w:r>
          <w:t xml:space="preserve">6.5 The stand's recent history, and the bound inside it</w:t>
        </w:r>
        <w:r>
          <w:tab/>
        </w:r>
        <w:r>
          <w:fldChar w:fldCharType="begin"/>
        </w:r>
        <w:r>
          <w:instrText xml:space="preserve"> PAGEREF _Toc000031 \h </w:instrText>
        </w:r>
        <w:r>
          <w:fldChar w:fldCharType="separate"/>
        </w:r>
        <w:r>
          <w:t>23</w:t>
        </w:r>
        <w:r>
          <w:fldChar w:fldCharType="end"/>
        </w:r>
      </w:hyperlink>
    </w:p>
    <w:p>
      <w:pPr>
        <w:pStyle w:val="TOC2"/>
        <w:tabs>
          <w:tab w:val="right" w:leader="dot" w:pos="9972"/>
        </w:tabs>
      </w:pPr>
      <w:hyperlink w:anchor="_Toc000032" w:history="1">
        <w:r>
          <w:t xml:space="preserve">7. Validation</w:t>
        </w:r>
        <w:r>
          <w:tab/>
        </w:r>
        <w:r>
          <w:fldChar w:fldCharType="begin"/>
        </w:r>
        <w:r>
          <w:instrText xml:space="preserve"> PAGEREF _Toc000032 \h </w:instrText>
        </w:r>
        <w:r>
          <w:fldChar w:fldCharType="separate"/>
        </w:r>
        <w:r>
          <w:t>25</w:t>
        </w:r>
        <w:r>
          <w:fldChar w:fldCharType="end"/>
        </w:r>
      </w:hyperlink>
    </w:p>
    <w:p>
      <w:pPr>
        <w:pStyle w:val="TOC3"/>
        <w:tabs>
          <w:tab w:val="right" w:leader="dot" w:pos="9972"/>
        </w:tabs>
      </w:pPr>
      <w:hyperlink w:anchor="_Toc000033" w:history="1">
        <w:r>
          <w:t xml:space="preserve">7.1 The design, fixed before anything was fitted</w:t>
        </w:r>
        <w:r>
          <w:tab/>
        </w:r>
        <w:r>
          <w:fldChar w:fldCharType="begin"/>
        </w:r>
        <w:r>
          <w:instrText xml:space="preserve"> PAGEREF _Toc000033 \h </w:instrText>
        </w:r>
        <w:r>
          <w:fldChar w:fldCharType="separate"/>
        </w:r>
        <w:r>
          <w:t>25</w:t>
        </w:r>
        <w:r>
          <w:fldChar w:fldCharType="end"/>
        </w:r>
      </w:hyperlink>
    </w:p>
    <w:p>
      <w:pPr>
        <w:pStyle w:val="TOC4"/>
        <w:tabs>
          <w:tab w:val="right" w:leader="dot" w:pos="9972"/>
        </w:tabs>
      </w:pPr>
      <w:hyperlink w:anchor="_Toc000034" w:history="1">
        <w:r>
          <w:t xml:space="preserve">7.1.1 What the forward legs cannot see</w:t>
        </w:r>
        <w:r>
          <w:tab/>
        </w:r>
        <w:r>
          <w:fldChar w:fldCharType="begin"/>
        </w:r>
        <w:r>
          <w:instrText xml:space="preserve"> PAGEREF _Toc000034 \h </w:instrText>
        </w:r>
        <w:r>
          <w:fldChar w:fldCharType="separate"/>
        </w:r>
        <w:r>
          <w:t>26</w:t>
        </w:r>
        <w:r>
          <w:fldChar w:fldCharType="end"/>
        </w:r>
      </w:hyperlink>
    </w:p>
    <w:p>
      <w:pPr>
        <w:pStyle w:val="TOC4"/>
        <w:tabs>
          <w:tab w:val="right" w:leader="dot" w:pos="9972"/>
        </w:tabs>
      </w:pPr>
      <w:hyperlink w:anchor="_Toc000035" w:history="1">
        <w:r>
          <w:t xml:space="preserve">7.1.2 The rules under the parameters that ship, and how those parameters were chosen</w:t>
        </w:r>
        <w:r>
          <w:tab/>
        </w:r>
        <w:r>
          <w:fldChar w:fldCharType="begin"/>
        </w:r>
        <w:r>
          <w:instrText xml:space="preserve"> PAGEREF _Toc000035 \h </w:instrText>
        </w:r>
        <w:r>
          <w:fldChar w:fldCharType="separate"/>
        </w:r>
        <w:r>
          <w:t>27</w:t>
        </w:r>
        <w:r>
          <w:fldChar w:fldCharType="end"/>
        </w:r>
      </w:hyperlink>
    </w:p>
    <w:p>
      <w:pPr>
        <w:pStyle w:val="TOC3"/>
        <w:tabs>
          <w:tab w:val="right" w:leader="dot" w:pos="9972"/>
        </w:tabs>
      </w:pPr>
      <w:hyperlink w:anchor="_Toc000036" w:history="1">
        <w:r>
          <w:t xml:space="preserve">7.2 The ladder, and the claim</w:t>
        </w:r>
        <w:r>
          <w:tab/>
        </w:r>
        <w:r>
          <w:fldChar w:fldCharType="begin"/>
        </w:r>
        <w:r>
          <w:instrText xml:space="preserve"> PAGEREF _Toc000036 \h </w:instrText>
        </w:r>
        <w:r>
          <w:fldChar w:fldCharType="separate"/>
        </w:r>
        <w:r>
          <w:t>29</w:t>
        </w:r>
        <w:r>
          <w:fldChar w:fldCharType="end"/>
        </w:r>
      </w:hyperlink>
    </w:p>
    <w:p>
      <w:pPr>
        <w:pStyle w:val="TOC3"/>
        <w:tabs>
          <w:tab w:val="right" w:leader="dot" w:pos="9972"/>
        </w:tabs>
      </w:pPr>
      <w:hyperlink w:anchor="_Toc000037" w:history="1">
        <w:r>
          <w:t xml:space="preserve">7.3 Exposure to a shift between the training year and the ranking months</w:t>
        </w:r>
        <w:r>
          <w:tab/>
        </w:r>
        <w:r>
          <w:fldChar w:fldCharType="begin"/>
        </w:r>
        <w:r>
          <w:instrText xml:space="preserve"> PAGEREF _Toc000037 \h </w:instrText>
        </w:r>
        <w:r>
          <w:fldChar w:fldCharType="separate"/>
        </w:r>
        <w:r>
          <w:t>30</w:t>
        </w:r>
        <w:r>
          <w:fldChar w:fldCharType="end"/>
        </w:r>
      </w:hyperlink>
    </w:p>
    <w:p>
      <w:pPr>
        <w:pStyle w:val="TOC3"/>
        <w:tabs>
          <w:tab w:val="right" w:leader="dot" w:pos="9972"/>
        </w:tabs>
      </w:pPr>
      <w:hyperlink w:anchor="_Toc000038" w:history="1">
        <w:r>
          <w:t xml:space="preserve">7.4 A block aimed at one place that paid in another: the shrunk encoding</w:t>
        </w:r>
        <w:r>
          <w:tab/>
        </w:r>
        <w:r>
          <w:fldChar w:fldCharType="begin"/>
        </w:r>
        <w:r>
          <w:instrText xml:space="preserve"> PAGEREF _Toc000038 \h </w:instrText>
        </w:r>
        <w:r>
          <w:fldChar w:fldCharType="separate"/>
        </w:r>
        <w:r>
          <w:t>32</w:t>
        </w:r>
        <w:r>
          <w:fldChar w:fldCharType="end"/>
        </w:r>
      </w:hyperlink>
    </w:p>
    <w:p>
      <w:pPr>
        <w:pStyle w:val="TOC2"/>
        <w:tabs>
          <w:tab w:val="right" w:leader="dot" w:pos="9972"/>
        </w:tabs>
      </w:pPr>
      <w:hyperlink w:anchor="_Toc000039" w:history="1">
        <w:r>
          <w:t xml:space="preserve">8. Results</w:t>
        </w:r>
        <w:r>
          <w:tab/>
        </w:r>
        <w:r>
          <w:fldChar w:fldCharType="begin"/>
        </w:r>
        <w:r>
          <w:instrText xml:space="preserve"> PAGEREF _Toc000039 \h </w:instrText>
        </w:r>
        <w:r>
          <w:fldChar w:fldCharType="separate"/>
        </w:r>
        <w:r>
          <w:t>34</w:t>
        </w:r>
        <w:r>
          <w:fldChar w:fldCharType="end"/>
        </w:r>
      </w:hyperlink>
    </w:p>
    <w:p>
      <w:pPr>
        <w:pStyle w:val="TOC3"/>
        <w:tabs>
          <w:tab w:val="right" w:leader="dot" w:pos="9972"/>
        </w:tabs>
      </w:pPr>
      <w:hyperlink w:anchor="_Toc000040" w:history="1">
        <w:r>
          <w:t xml:space="preserve">8.1 The base configuration, and what it scores on the forward splits</w:t>
        </w:r>
        <w:r>
          <w:tab/>
        </w:r>
        <w:r>
          <w:fldChar w:fldCharType="begin"/>
        </w:r>
        <w:r>
          <w:instrText xml:space="preserve"> PAGEREF _Toc000040 \h </w:instrText>
        </w:r>
        <w:r>
          <w:fldChar w:fldCharType="separate"/>
        </w:r>
        <w:r>
          <w:t>34</w:t>
        </w:r>
        <w:r>
          <w:fldChar w:fldCharType="end"/>
        </w:r>
      </w:hyperlink>
    </w:p>
    <w:p>
      <w:pPr>
        <w:pStyle w:val="TOC3"/>
        <w:tabs>
          <w:tab w:val="right" w:leader="dot" w:pos="9972"/>
        </w:tabs>
      </w:pPr>
      <w:hyperlink w:anchor="_Toc000041" w:history="1">
        <w:r>
          <w:t xml:space="preserve">8.2 Every month of the year</w:t>
        </w:r>
        <w:r>
          <w:tab/>
        </w:r>
        <w:r>
          <w:fldChar w:fldCharType="begin"/>
        </w:r>
        <w:r>
          <w:instrText xml:space="preserve"> PAGEREF _Toc000041 \h </w:instrText>
        </w:r>
        <w:r>
          <w:fldChar w:fldCharType="separate"/>
        </w:r>
        <w:r>
          <w:t>35</w:t>
        </w:r>
        <w:r>
          <w:fldChar w:fldCharType="end"/>
        </w:r>
      </w:hyperlink>
    </w:p>
    <w:p>
      <w:pPr>
        <w:pStyle w:val="TOC3"/>
        <w:tabs>
          <w:tab w:val="right" w:leader="dot" w:pos="9972"/>
        </w:tabs>
      </w:pPr>
      <w:hyperlink w:anchor="_Toc000042" w:history="1">
        <w:r>
          <w:t xml:space="preserve">8.3 Every airport, every month</w:t>
        </w:r>
        <w:r>
          <w:tab/>
        </w:r>
        <w:r>
          <w:fldChar w:fldCharType="begin"/>
        </w:r>
        <w:r>
          <w:instrText xml:space="preserve"> PAGEREF _Toc000042 \h </w:instrText>
        </w:r>
        <w:r>
          <w:fldChar w:fldCharType="separate"/>
        </w:r>
        <w:r>
          <w:t>36</w:t>
        </w:r>
        <w:r>
          <w:fldChar w:fldCharType="end"/>
        </w:r>
      </w:hyperlink>
    </w:p>
    <w:p>
      <w:pPr>
        <w:pStyle w:val="TOC3"/>
        <w:tabs>
          <w:tab w:val="right" w:leader="dot" w:pos="9972"/>
        </w:tabs>
      </w:pPr>
      <w:hyperlink w:anchor="_Toc000043" w:history="1">
        <w:r>
          <w:t xml:space="preserve">8.4 What each source of delay is worth, over the year</w:t>
        </w:r>
        <w:r>
          <w:tab/>
        </w:r>
        <w:r>
          <w:fldChar w:fldCharType="begin"/>
        </w:r>
        <w:r>
          <w:instrText xml:space="preserve"> PAGEREF _Toc000043 \h </w:instrText>
        </w:r>
        <w:r>
          <w:fldChar w:fldCharType="separate"/>
        </w:r>
        <w:r>
          <w:t>37</w:t>
        </w:r>
        <w:r>
          <w:fldChar w:fldCharType="end"/>
        </w:r>
      </w:hyperlink>
    </w:p>
    <w:p>
      <w:pPr>
        <w:pStyle w:val="TOC3"/>
        <w:tabs>
          <w:tab w:val="right" w:leader="dot" w:pos="9972"/>
        </w:tabs>
      </w:pPr>
      <w:hyperlink w:anchor="_Toc000044" w:history="1">
        <w:r>
          <w:t xml:space="preserve">8.5 Where the geometry claim holds</w:t>
        </w:r>
        <w:r>
          <w:tab/>
        </w:r>
        <w:r>
          <w:fldChar w:fldCharType="begin"/>
        </w:r>
        <w:r>
          <w:instrText xml:space="preserve"> PAGEREF _Toc000044 \h </w:instrText>
        </w:r>
        <w:r>
          <w:fldChar w:fldCharType="separate"/>
        </w:r>
        <w:r>
          <w:t>38</w:t>
        </w:r>
        <w:r>
          <w:fldChar w:fldCharType="end"/>
        </w:r>
      </w:hyperlink>
    </w:p>
    <w:p>
      <w:pPr>
        <w:pStyle w:val="TOC3"/>
        <w:tabs>
          <w:tab w:val="right" w:leader="dot" w:pos="9972"/>
        </w:tabs>
      </w:pPr>
      <w:hyperlink w:anchor="_Toc000045" w:history="1">
        <w:r>
          <w:t xml:space="preserve">8.6 What the challenge score can and cannot show</w:t>
        </w:r>
        <w:r>
          <w:tab/>
        </w:r>
        <w:r>
          <w:fldChar w:fldCharType="begin"/>
        </w:r>
        <w:r>
          <w:instrText xml:space="preserve"> PAGEREF _Toc000045 \h </w:instrText>
        </w:r>
        <w:r>
          <w:fldChar w:fldCharType="separate"/>
        </w:r>
        <w:r>
          <w:t>40</w:t>
        </w:r>
        <w:r>
          <w:fldChar w:fldCharType="end"/>
        </w:r>
      </w:hyperlink>
    </w:p>
    <w:p>
      <w:pPr>
        <w:pStyle w:val="TOC3"/>
        <w:tabs>
          <w:tab w:val="right" w:leader="dot" w:pos="9972"/>
        </w:tabs>
      </w:pPr>
      <w:hyperlink w:anchor="_Toc000046" w:history="1">
        <w:r>
          <w:t xml:space="preserve">8.7 After the first score: the refinements</w:t>
        </w:r>
        <w:r>
          <w:tab/>
        </w:r>
        <w:r>
          <w:fldChar w:fldCharType="begin"/>
        </w:r>
        <w:r>
          <w:instrText xml:space="preserve"> PAGEREF _Toc000046 \h </w:instrText>
        </w:r>
        <w:r>
          <w:fldChar w:fldCharType="separate"/>
        </w:r>
        <w:r>
          <w:t>40</w:t>
        </w:r>
        <w:r>
          <w:fldChar w:fldCharType="end"/>
        </w:r>
      </w:hyperlink>
    </w:p>
    <w:p>
      <w:pPr>
        <w:pStyle w:val="TOC4"/>
        <w:tabs>
          <w:tab w:val="right" w:leader="dot" w:pos="9972"/>
        </w:tabs>
      </w:pPr>
      <w:hyperlink w:anchor="_Toc000047" w:history="1">
        <w:r>
          <w:t xml:space="preserve">8.7.1 From the base configuration to the final one</w:t>
        </w:r>
        <w:r>
          <w:tab/>
        </w:r>
        <w:r>
          <w:fldChar w:fldCharType="begin"/>
        </w:r>
        <w:r>
          <w:instrText xml:space="preserve"> PAGEREF _Toc000047 \h </w:instrText>
        </w:r>
        <w:r>
          <w:fldChar w:fldCharType="separate"/>
        </w:r>
        <w:r>
          <w:t>40</w:t>
        </w:r>
        <w:r>
          <w:fldChar w:fldCharType="end"/>
        </w:r>
      </w:hyperlink>
    </w:p>
    <w:p>
      <w:pPr>
        <w:pStyle w:val="TOC4"/>
        <w:tabs>
          <w:tab w:val="right" w:leader="dot" w:pos="9972"/>
        </w:tabs>
      </w:pPr>
      <w:hyperlink w:anchor="_Toc000048" w:history="1">
        <w:r>
          <w:t xml:space="preserve">8.7.2 The one rule decision that followed a score</w:t>
        </w:r>
        <w:r>
          <w:tab/>
        </w:r>
        <w:r>
          <w:fldChar w:fldCharType="begin"/>
        </w:r>
        <w:r>
          <w:instrText xml:space="preserve"> PAGEREF _Toc000048 \h </w:instrText>
        </w:r>
        <w:r>
          <w:fldChar w:fldCharType="separate"/>
        </w:r>
        <w:r>
          <w:t>41</w:t>
        </w:r>
        <w:r>
          <w:fldChar w:fldCharType="end"/>
        </w:r>
      </w:hyperlink>
    </w:p>
    <w:p>
      <w:pPr>
        <w:pStyle w:val="TOC4"/>
        <w:tabs>
          <w:tab w:val="right" w:leader="dot" w:pos="9972"/>
        </w:tabs>
      </w:pPr>
      <w:hyperlink w:anchor="_Toc000049" w:history="1">
        <w:r>
          <w:t xml:space="preserve">8.7.3 Feature groups and a second learner</w:t>
        </w:r>
        <w:r>
          <w:tab/>
        </w:r>
        <w:r>
          <w:fldChar w:fldCharType="begin"/>
        </w:r>
        <w:r>
          <w:instrText xml:space="preserve"> PAGEREF _Toc000049 \h </w:instrText>
        </w:r>
        <w:r>
          <w:fldChar w:fldCharType="separate"/>
        </w:r>
        <w:r>
          <w:t>41</w:t>
        </w:r>
        <w:r>
          <w:fldChar w:fldCharType="end"/>
        </w:r>
      </w:hyperlink>
    </w:p>
    <w:p>
      <w:pPr>
        <w:pStyle w:val="TOC4"/>
        <w:tabs>
          <w:tab w:val="right" w:leader="dot" w:pos="9972"/>
        </w:tabs>
      </w:pPr>
      <w:hyperlink w:anchor="_Toc000050" w:history="1">
        <w:r>
          <w:t xml:space="preserve">8.7.4 The ground-movement correction</w:t>
        </w:r>
        <w:r>
          <w:tab/>
        </w:r>
        <w:r>
          <w:fldChar w:fldCharType="begin"/>
        </w:r>
        <w:r>
          <w:instrText xml:space="preserve"> PAGEREF _Toc000050 \h </w:instrText>
        </w:r>
        <w:r>
          <w:fldChar w:fldCharType="separate"/>
        </w:r>
        <w:r>
          <w:t>42</w:t>
        </w:r>
        <w:r>
          <w:fldChar w:fldCharType="end"/>
        </w:r>
      </w:hyperlink>
    </w:p>
    <w:p>
      <w:pPr>
        <w:pStyle w:val="TOC4"/>
        <w:tabs>
          <w:tab w:val="right" w:leader="dot" w:pos="9972"/>
        </w:tabs>
      </w:pPr>
      <w:hyperlink w:anchor="_Toc000051" w:history="1">
        <w:r>
          <w:t xml:space="preserve">8.7.5 The learner refitted, and a choice per airport</w:t>
        </w:r>
        <w:r>
          <w:tab/>
        </w:r>
        <w:r>
          <w:fldChar w:fldCharType="begin"/>
        </w:r>
        <w:r>
          <w:instrText xml:space="preserve"> PAGEREF _Toc000051 \h </w:instrText>
        </w:r>
        <w:r>
          <w:fldChar w:fldCharType="separate"/>
        </w:r>
        <w:r>
          <w:t>42</w:t>
        </w:r>
        <w:r>
          <w:fldChar w:fldCharType="end"/>
        </w:r>
      </w:hyperlink>
    </w:p>
    <w:p>
      <w:pPr>
        <w:pStyle w:val="TOC4"/>
        <w:tabs>
          <w:tab w:val="right" w:leader="dot" w:pos="9972"/>
        </w:tabs>
      </w:pPr>
      <w:hyperlink w:anchor="_Toc000052" w:history="1">
        <w:r>
          <w:t xml:space="preserve">8.7.6 The final configuration</w:t>
        </w:r>
        <w:r>
          <w:tab/>
        </w:r>
        <w:r>
          <w:fldChar w:fldCharType="begin"/>
        </w:r>
        <w:r>
          <w:instrText xml:space="preserve"> PAGEREF _Toc000052 \h </w:instrText>
        </w:r>
        <w:r>
          <w:fldChar w:fldCharType="separate"/>
        </w:r>
        <w:r>
          <w:t>43</w:t>
        </w:r>
        <w:r>
          <w:fldChar w:fldCharType="end"/>
        </w:r>
      </w:hyperlink>
    </w:p>
    <w:p>
      <w:pPr>
        <w:pStyle w:val="TOC4"/>
        <w:tabs>
          <w:tab w:val="right" w:leader="dot" w:pos="9972"/>
        </w:tabs>
      </w:pPr>
      <w:hyperlink w:anchor="_Toc000053" w:history="1">
        <w:r>
          <w:t xml:space="preserve">8.7.7 The working names, and where to find them</w:t>
        </w:r>
        <w:r>
          <w:tab/>
        </w:r>
        <w:r>
          <w:fldChar w:fldCharType="begin"/>
        </w:r>
        <w:r>
          <w:instrText xml:space="preserve"> PAGEREF _Toc000053 \h </w:instrText>
        </w:r>
        <w:r>
          <w:fldChar w:fldCharType="separate"/>
        </w:r>
        <w:r>
          <w:t>44</w:t>
        </w:r>
        <w:r>
          <w:fldChar w:fldCharType="end"/>
        </w:r>
      </w:hyperlink>
    </w:p>
    <w:p>
      <w:pPr>
        <w:pStyle w:val="TOC3"/>
        <w:tabs>
          <w:tab w:val="right" w:leader="dot" w:pos="9972"/>
        </w:tabs>
      </w:pPr>
      <w:hyperlink w:anchor="_Toc000054" w:history="1">
        <w:r>
          <w:t xml:space="preserve">8.8 The final file, read step by step</w:t>
        </w:r>
        <w:r>
          <w:tab/>
        </w:r>
        <w:r>
          <w:fldChar w:fldCharType="begin"/>
        </w:r>
        <w:r>
          <w:instrText xml:space="preserve"> PAGEREF _Toc000054 \h </w:instrText>
        </w:r>
        <w:r>
          <w:fldChar w:fldCharType="separate"/>
        </w:r>
        <w:r>
          <w:t>45</w:t>
        </w:r>
        <w:r>
          <w:fldChar w:fldCharType="end"/>
        </w:r>
      </w:hyperlink>
    </w:p>
    <w:p>
      <w:pPr>
        <w:pStyle w:val="TOC2"/>
        <w:tabs>
          <w:tab w:val="right" w:leader="dot" w:pos="9972"/>
        </w:tabs>
      </w:pPr>
      <w:hyperlink w:anchor="_Toc000055" w:history="1">
        <w:r>
          <w:t xml:space="preserve">9. Discussion</w:t>
        </w:r>
        <w:r>
          <w:tab/>
        </w:r>
        <w:r>
          <w:fldChar w:fldCharType="begin"/>
        </w:r>
        <w:r>
          <w:instrText xml:space="preserve"> PAGEREF _Toc000055 \h </w:instrText>
        </w:r>
        <w:r>
          <w:fldChar w:fldCharType="separate"/>
        </w:r>
        <w:r>
          <w:t>49</w:t>
        </w:r>
        <w:r>
          <w:fldChar w:fldCharType="end"/>
        </w:r>
      </w:hyperlink>
    </w:p>
    <w:p>
      <w:pPr>
        <w:pStyle w:val="TOC3"/>
        <w:tabs>
          <w:tab w:val="right" w:leader="dot" w:pos="9972"/>
        </w:tabs>
      </w:pPr>
      <w:hyperlink w:anchor="_Toc000056" w:history="1">
        <w:r>
          <w:t xml:space="preserve">9.1 What the geometry was worth, and where</w:t>
        </w:r>
        <w:r>
          <w:tab/>
        </w:r>
        <w:r>
          <w:fldChar w:fldCharType="begin"/>
        </w:r>
        <w:r>
          <w:instrText xml:space="preserve"> PAGEREF _Toc000056 \h </w:instrText>
        </w:r>
        <w:r>
          <w:fldChar w:fldCharType="separate"/>
        </w:r>
        <w:r>
          <w:t>49</w:t>
        </w:r>
        <w:r>
          <w:fldChar w:fldCharType="end"/>
        </w:r>
      </w:hyperlink>
    </w:p>
    <w:p>
      <w:pPr>
        <w:pStyle w:val="TOC3"/>
        <w:tabs>
          <w:tab w:val="right" w:leader="dot" w:pos="9972"/>
        </w:tabs>
      </w:pPr>
      <w:hyperlink w:anchor="_Toc000057" w:history="1">
        <w:r>
          <w:t xml:space="preserve">9.2 What the record-quality term touches, and why it is kept</w:t>
        </w:r>
        <w:r>
          <w:tab/>
        </w:r>
        <w:r>
          <w:fldChar w:fldCharType="begin"/>
        </w:r>
        <w:r>
          <w:instrText xml:space="preserve"> PAGEREF _Toc000057 \h </w:instrText>
        </w:r>
        <w:r>
          <w:fldChar w:fldCharType="separate"/>
        </w:r>
        <w:r>
          <w:t>51</w:t>
        </w:r>
        <w:r>
          <w:fldChar w:fldCharType="end"/>
        </w:r>
      </w:hyperlink>
    </w:p>
    <w:p>
      <w:pPr>
        <w:pStyle w:val="TOC3"/>
        <w:tabs>
          <w:tab w:val="right" w:leader="dot" w:pos="9972"/>
        </w:tabs>
      </w:pPr>
      <w:hyperlink w:anchor="_Toc000058" w:history="1">
        <w:r>
          <w:t xml:space="preserve">9.3 Limitations</w:t>
        </w:r>
        <w:r>
          <w:tab/>
        </w:r>
        <w:r>
          <w:fldChar w:fldCharType="begin"/>
        </w:r>
        <w:r>
          <w:instrText xml:space="preserve"> PAGEREF _Toc000058 \h </w:instrText>
        </w:r>
        <w:r>
          <w:fldChar w:fldCharType="separate"/>
        </w:r>
        <w:r>
          <w:t>51</w:t>
        </w:r>
        <w:r>
          <w:fldChar w:fldCharType="end"/>
        </w:r>
      </w:hyperlink>
    </w:p>
    <w:p>
      <w:pPr>
        <w:pStyle w:val="TOC3"/>
        <w:tabs>
          <w:tab w:val="right" w:leader="dot" w:pos="9972"/>
        </w:tabs>
      </w:pPr>
      <w:hyperlink w:anchor="_Toc000059" w:history="1">
        <w:r>
          <w:t xml:space="preserve">9.4 A ceiling that measured the wrong thing</w:t>
        </w:r>
        <w:r>
          <w:tab/>
        </w:r>
        <w:r>
          <w:fldChar w:fldCharType="begin"/>
        </w:r>
        <w:r>
          <w:instrText xml:space="preserve"> PAGEREF _Toc000059 \h </w:instrText>
        </w:r>
        <w:r>
          <w:fldChar w:fldCharType="separate"/>
        </w:r>
        <w:r>
          <w:t>55</w:t>
        </w:r>
        <w:r>
          <w:fldChar w:fldCharType="end"/>
        </w:r>
      </w:hyperlink>
    </w:p>
    <w:p>
      <w:pPr>
        <w:pStyle w:val="TOC3"/>
        <w:tabs>
          <w:tab w:val="right" w:leader="dot" w:pos="9972"/>
        </w:tabs>
      </w:pPr>
      <w:hyperlink w:anchor="_Toc000060" w:history="1">
        <w:r>
          <w:t xml:space="preserve">9.5 What the residual actually is</w:t>
        </w:r>
        <w:r>
          <w:tab/>
        </w:r>
        <w:r>
          <w:fldChar w:fldCharType="begin"/>
        </w:r>
        <w:r>
          <w:instrText xml:space="preserve"> PAGEREF _Toc000060 \h </w:instrText>
        </w:r>
        <w:r>
          <w:fldChar w:fldCharType="separate"/>
        </w:r>
        <w:r>
          <w:t>56</w:t>
        </w:r>
        <w:r>
          <w:fldChar w:fldCharType="end"/>
        </w:r>
      </w:hyperlink>
    </w:p>
    <w:p>
      <w:pPr>
        <w:pStyle w:val="TOC3"/>
        <w:tabs>
          <w:tab w:val="right" w:leader="dot" w:pos="9972"/>
        </w:tabs>
      </w:pPr>
      <w:hyperlink w:anchor="_Toc000061" w:history="1">
        <w:r>
          <w:t xml:space="preserve">9.6 What held, and further work</w:t>
        </w:r>
        <w:r>
          <w:tab/>
        </w:r>
        <w:r>
          <w:fldChar w:fldCharType="begin"/>
        </w:r>
        <w:r>
          <w:instrText xml:space="preserve"> PAGEREF _Toc000061 \h </w:instrText>
        </w:r>
        <w:r>
          <w:fldChar w:fldCharType="separate"/>
        </w:r>
        <w:r>
          <w:t>59</w:t>
        </w:r>
        <w:r>
          <w:fldChar w:fldCharType="end"/>
        </w:r>
      </w:hyperlink>
    </w:p>
    <w:p>
      <w:pPr>
        <w:pStyle w:val="TOC2"/>
        <w:tabs>
          <w:tab w:val="right" w:leader="dot" w:pos="9972"/>
        </w:tabs>
      </w:pPr>
      <w:hyperlink w:anchor="_Toc000062" w:history="1">
        <w:r>
          <w:t xml:space="preserve">10. Reproducing this</w:t>
        </w:r>
        <w:r>
          <w:tab/>
        </w:r>
        <w:r>
          <w:fldChar w:fldCharType="begin"/>
        </w:r>
        <w:r>
          <w:instrText xml:space="preserve"> PAGEREF _Toc000062 \h </w:instrText>
        </w:r>
        <w:r>
          <w:fldChar w:fldCharType="separate"/>
        </w:r>
        <w:r>
          <w:t>60</w:t>
        </w:r>
        <w:r>
          <w:fldChar w:fldCharType="end"/>
        </w:r>
      </w:hyperlink>
    </w:p>
    <w:p>
      <w:pPr>
        <w:pStyle w:val="TOC2"/>
        <w:tabs>
          <w:tab w:val="right" w:leader="dot" w:pos="9972"/>
        </w:tabs>
      </w:pPr>
      <w:hyperlink w:anchor="_Toc000063" w:history="1">
        <w:r>
          <w:t xml:space="preserve">Annex A: the ladder, every month held out</w:t>
        </w:r>
        <w:r>
          <w:tab/>
        </w:r>
        <w:r>
          <w:fldChar w:fldCharType="begin"/>
        </w:r>
        <w:r>
          <w:instrText xml:space="preserve"> PAGEREF _Toc000063 \h </w:instrText>
        </w:r>
        <w:r>
          <w:fldChar w:fldCharType="separate"/>
        </w:r>
        <w:r>
          <w:t>61</w:t>
        </w:r>
        <w:r>
          <w:fldChar w:fldCharType="end"/>
        </w:r>
      </w:hyperlink>
    </w:p>
    <w:p>
      <w:pPr>
        <w:pStyle w:val="TOC2"/>
        <w:tabs>
          <w:tab w:val="right" w:leader="dot" w:pos="9972"/>
        </w:tabs>
      </w:pPr>
      <w:hyperlink w:anchor="_Toc000064" w:history="1">
        <w:r>
          <w:t xml:space="preserve">Annex B: each block's change, month by month, against the floor</w:t>
        </w:r>
        <w:r>
          <w:tab/>
        </w:r>
        <w:r>
          <w:fldChar w:fldCharType="begin"/>
        </w:r>
        <w:r>
          <w:instrText xml:space="preserve"> PAGEREF _Toc000064 \h </w:instrText>
        </w:r>
        <w:r>
          <w:fldChar w:fldCharType="separate"/>
        </w:r>
        <w:r>
          <w:t>63</w:t>
        </w:r>
        <w:r>
          <w:fldChar w:fldCharType="end"/>
        </w:r>
      </w:hyperlink>
    </w:p>
    <w:p>
      <w:pPr>
        <w:pStyle w:val="TOC2"/>
        <w:tabs>
          <w:tab w:val="right" w:leader="dot" w:pos="9972"/>
        </w:tabs>
      </w:pPr>
      <w:hyperlink w:anchor="_Toc000065" w:history="1">
        <w:r>
          <w:t xml:space="preserve">Annex C: the base configuration per airport and month, the bias</w:t>
        </w:r>
        <w:r>
          <w:tab/>
        </w:r>
        <w:r>
          <w:fldChar w:fldCharType="begin"/>
        </w:r>
        <w:r>
          <w:instrText xml:space="preserve"> PAGEREF _Toc000065 \h </w:instrText>
        </w:r>
        <w:r>
          <w:fldChar w:fldCharType="separate"/>
        </w:r>
        <w:r>
          <w:t>68</w:t>
        </w:r>
        <w:r>
          <w:fldChar w:fldCharType="end"/>
        </w:r>
      </w:hyperlink>
    </w:p>
    <w:p>
      <w:pPr>
        <w:pStyle w:val="TOC2"/>
        <w:tabs>
          <w:tab w:val="right" w:leader="dot" w:pos="9972"/>
        </w:tabs>
      </w:pPr>
      <w:hyperlink w:anchor="_Toc000066" w:history="1">
        <w:r>
          <w:t xml:space="preserve">Annex D: the geometry claim per airport and month, and the base configuration's gap on unseen pairs</w:t>
        </w:r>
        <w:r>
          <w:tab/>
        </w:r>
        <w:r>
          <w:fldChar w:fldCharType="begin"/>
        </w:r>
        <w:r>
          <w:instrText xml:space="preserve"> PAGEREF _Toc000066 \h </w:instrText>
        </w:r>
        <w:r>
          <w:fldChar w:fldCharType="separate"/>
        </w:r>
        <w:r>
          <w:t>68</w:t>
        </w:r>
        <w:r>
          <w:fldChar w:fldCharType="end"/>
        </w:r>
      </w:hyperlink>
    </w:p>
    <w:p>
      <w:pPr>
        <w:pStyle w:val="TOC2"/>
        <w:tabs>
          <w:tab w:val="right" w:leader="dot" w:pos="9972"/>
        </w:tabs>
      </w:pPr>
      <w:hyperlink w:anchor="_Toc000067" w:history="1">
        <w:r>
          <w:t xml:space="preserve">Annex E: the year's weather against its ten-year norm</w:t>
        </w:r>
        <w:r>
          <w:tab/>
        </w:r>
        <w:r>
          <w:fldChar w:fldCharType="begin"/>
        </w:r>
        <w:r>
          <w:instrText xml:space="preserve"> PAGEREF _Toc000067 \h </w:instrText>
        </w:r>
        <w:r>
          <w:fldChar w:fldCharType="separate"/>
        </w:r>
        <w:r>
          <w:t>70</w:t>
        </w:r>
        <w:r>
          <w:fldChar w:fldCharType="end"/>
        </w:r>
      </w:hyperlink>
    </w:p>
    <w:p>
      <w:pPr>
        <w:pStyle w:val="TOC2"/>
        <w:tabs>
          <w:tab w:val="right" w:leader="dot" w:pos="9972"/>
        </w:tabs>
      </w:pPr>
      <w:hyperlink w:anchor="_Toc000068" w:history="1">
        <w:r>
          <w:t xml:space="preserve">Annex F: the rows over four hours</w:t>
        </w:r>
        <w:r>
          <w:tab/>
        </w:r>
        <w:r>
          <w:fldChar w:fldCharType="begin"/>
        </w:r>
        <w:r>
          <w:instrText xml:space="preserve"> PAGEREF _Toc000068 \h </w:instrText>
        </w:r>
        <w:r>
          <w:fldChar w:fldCharType="separate"/>
        </w:r>
        <w:r>
          <w:t>70</w:t>
        </w:r>
        <w:r>
          <w:fldChar w:fldCharType="end"/>
        </w:r>
      </w:hyperlink>
    </w:p>
    <w:p>
      <w:pPr>
        <w:pStyle w:val="TOC2"/>
        <w:tabs>
          <w:tab w:val="right" w:leader="dot" w:pos="9972"/>
        </w:tabs>
      </w:pPr>
      <w:hyperlink w:anchor="_Toc000069" w:history="1">
        <w:r>
          <w:t xml:space="preserve">Annex G: Istanbul's February 2025, and its January 2026</w:t>
        </w:r>
        <w:r>
          <w:tab/>
        </w:r>
        <w:r>
          <w:fldChar w:fldCharType="begin"/>
        </w:r>
        <w:r>
          <w:instrText xml:space="preserve"> PAGEREF _Toc000069 \h </w:instrText>
        </w:r>
        <w:r>
          <w:fldChar w:fldCharType="separate"/>
        </w:r>
        <w:r>
          <w:t>71</w:t>
        </w:r>
        <w:r>
          <w:fldChar w:fldCharType="end"/>
        </w:r>
      </w:hyperlink>
    </w:p>
    <w:p>
      <w:pPr>
        <w:pStyle w:val="TOC2"/>
        <w:tabs>
          <w:tab w:val="right" w:leader="dot" w:pos="9972"/>
        </w:tabs>
      </w:pPr>
      <w:hyperlink w:anchor="_Toc000070" w:history="1">
        <w:r>
          <w:t xml:space="preserve">Annex H: where the last three blocks of the ladder lower the error</w:t>
        </w:r>
        <w:r>
          <w:tab/>
        </w:r>
        <w:r>
          <w:fldChar w:fldCharType="begin"/>
        </w:r>
        <w:r>
          <w:instrText xml:space="preserve"> PAGEREF _Toc000070 \h </w:instrText>
        </w:r>
        <w:r>
          <w:fldChar w:fldCharType="separate"/>
        </w:r>
        <w:r>
          <w:t>72</w:t>
        </w:r>
        <w:r>
          <w:fldChar w:fldCharType="end"/>
        </w:r>
      </w:hyperlink>
    </w:p>
    <w:p>
      <w:pPr>
        <w:pStyle w:val="TOC2"/>
        <w:tabs>
          <w:tab w:val="right" w:leader="dot" w:pos="9972"/>
        </w:tabs>
      </w:pPr>
      <w:hyperlink w:anchor="_Toc000071" w:history="1">
        <w:r>
          <w:t xml:space="preserve">Annex I: the plan-shifted departures, evaluated after the rule was fixed</w:t>
        </w:r>
        <w:r>
          <w:tab/>
        </w:r>
        <w:r>
          <w:fldChar w:fldCharType="begin"/>
        </w:r>
        <w:r>
          <w:instrText xml:space="preserve"> PAGEREF _Toc000071 \h </w:instrText>
        </w:r>
        <w:r>
          <w:fldChar w:fldCharType="separate"/>
        </w:r>
        <w:r>
          <w:t>73</w:t>
        </w:r>
        <w:r>
          <w:fldChar w:fldCharType="end"/>
        </w:r>
      </w:hyperlink>
    </w:p>
    <w:p>
      <w:pPr>
        <w:pStyle w:val="TOC2"/>
        <w:tabs>
          <w:tab w:val="right" w:leader="dot" w:pos="9972"/>
        </w:tabs>
      </w:pPr>
      <w:hyperlink w:anchor="_Toc000072" w:history="1">
        <w:r>
          <w:t xml:space="preserve">Annex J: the three candidates measured on the base configuration</w:t>
        </w:r>
        <w:r>
          <w:tab/>
        </w:r>
        <w:r>
          <w:fldChar w:fldCharType="begin"/>
        </w:r>
        <w:r>
          <w:instrText xml:space="preserve"> PAGEREF _Toc000072 \h </w:instrText>
        </w:r>
        <w:r>
          <w:fldChar w:fldCharType="separate"/>
        </w:r>
        <w:r>
          <w:t>75</w:t>
        </w:r>
        <w:r>
          <w:fldChar w:fldCharType="end"/>
        </w:r>
      </w:hyperlink>
    </w:p>
    <w:p>
      <w:pPr>
        <w:pStyle w:val="TOC2"/>
        <w:tabs>
          <w:tab w:val="right" w:leader="dot" w:pos="9972"/>
        </w:tabs>
      </w:pPr>
      <w:hyperlink w:anchor="_Toc000073" w:history="1">
        <w:r>
          <w:t xml:space="preserve">Annex K: every candidate measured after the freeze</w:t>
        </w:r>
        <w:r>
          <w:tab/>
        </w:r>
        <w:r>
          <w:fldChar w:fldCharType="begin"/>
        </w:r>
        <w:r>
          <w:instrText xml:space="preserve"> PAGEREF _Toc000073 \h </w:instrText>
        </w:r>
        <w:r>
          <w:fldChar w:fldCharType="separate"/>
        </w:r>
        <w:r>
          <w:t>76</w:t>
        </w:r>
        <w:r>
          <w:fldChar w:fldCharType="end"/>
        </w:r>
      </w:hyperlink>
    </w:p>
    <w:p>
      <w:pPr>
        <w:pStyle w:val="TOC2"/>
        <w:tabs>
          <w:tab w:val="right" w:leader="dot" w:pos="9972"/>
        </w:tabs>
      </w:pPr>
      <w:hyperlink w:anchor="_Toc000074" w:history="1">
        <w:r>
          <w:t xml:space="preserve">References</w:t>
        </w:r>
        <w:r>
          <w:tab/>
        </w:r>
        <w:r>
          <w:fldChar w:fldCharType="begin"/>
        </w:r>
        <w:r>
          <w:instrText xml:space="preserve"> PAGEREF _Toc000074 \h </w:instrText>
        </w:r>
        <w:r>
          <w:fldChar w:fldCharType="separate"/>
        </w:r>
        <w:r>
          <w:t>83</w:t>
        </w:r>
        <w:r>
          <w:fldChar w:fldCharType="end"/>
        </w:r>
      </w:hyperlink>
    </w:p>
    <w:p>
      <w:pPr>
        <w:pStyle w:val="BodyText"/>
        <w:spacing w:before="0" w:after="0"/>
      </w:pPr>
      <w:r>
        <w:fldChar w:fldCharType="end"/>
      </w:r>
    </w:p>
    <w:p>
      <w:pPr>
        <w:pStyle w:val="Title"/>
        <w:pageBreakBefore/>
        <w:numPr>
          <w:ilvl w:val="0"/>
          <w:numId w:val="0"/>
        </w:numPr>
        <w:bidi w:val="0"/>
        <w:spacing w:before="240" w:after="120"/>
        <w:jc w:val="left"/>
        <w:rPr/>
      </w:pPr>
      <w:r>
        <w:rPr/>
        <w:t>Recovering the airport surface: taxi-out prediction from OpenStreetMap geometry</w:t>
      </w:r>
    </w:p>
    <w:p>
      <w:pPr>
        <w:pStyle w:val="BodyText"/>
        <w:bidi w:val="0"/>
        <w:spacing w:lineRule="auto" w:line="276" w:before="0" w:after="140"/>
        <w:jc w:val="left"/>
        <w:rPr/>
      </w:pPr>
      <w:r>
        <w:rPr>
          <w:rStyle w:val="Emphasis"/>
        </w:rPr>
        <w:t>The base configuration was frozen before the ranking months were scored. The final configuration adds the changes made after the first score, each described in §8.7, and §1.4 defines the working terms.</w:t>
      </w:r>
    </w:p>
    <w:p>
      <w:pPr>
        <w:pStyle w:val="BodyText"/>
        <w:bidi w:val="0"/>
        <w:spacing w:lineRule="auto" w:line="276" w:before="0" w:after="140"/>
        <w:jc w:val="left"/>
        <w:rPr/>
      </w:pPr>
      <w:r>
        <w:rPr/>
        <w:t xml:space="preserve">Team </w:t>
      </w:r>
      <w:r>
        <w:rPr>
          <w:rStyle w:val="SourceText"/>
        </w:rPr>
        <w:t>funny-firefly</w:t>
      </w:r>
      <w:r>
        <w:rPr/>
        <w:t>. PRC Data Challenge 2026.</w:t>
      </w:r>
    </w:p>
    <w:p>
      <w:pPr>
        <w:pStyle w:val="BodyText"/>
        <w:bidi w:val="0"/>
        <w:spacing w:lineRule="auto" w:line="276" w:before="0" w:after="140"/>
        <w:jc w:val="left"/>
        <w:rPr/>
      </w:pPr>
      <w:r>
        <w:rPr/>
        <w:t xml:space="preserve">The code, the reports and this paper are at </w:t>
      </w:r>
      <w:hyperlink r:id="rId2">
        <w:r>
          <w:rPr>
            <w:rStyle w:val="Hyperlink"/>
          </w:rPr>
          <w:t>https://github.com/hubell/funny-firefly</w:t>
        </w:r>
      </w:hyperlink>
      <w:r>
        <w:rPr/>
        <w:t xml:space="preserve">, release V1.1, and archived at </w:t>
      </w:r>
      <w:hyperlink r:id="rId3">
        <w:r>
          <w:rPr>
            <w:rStyle w:val="Hyperlink"/>
          </w:rPr>
          <w:t>10.5281/zenodo.23320026</w:t>
        </w:r>
      </w:hyperlink>
      <w:r>
        <w:rPr/>
        <w:t xml:space="preserve"> (Bell, 2026b). The data they read, apart from the challenge data, are at </w:t>
      </w:r>
      <w:hyperlink r:id="rId4">
        <w:r>
          <w:rPr>
            <w:rStyle w:val="Hyperlink"/>
          </w:rPr>
          <w:t>10.5281/zenodo.23133051</w:t>
        </w:r>
      </w:hyperlink>
      <w:r>
        <w:rPr/>
        <w:t xml:space="preserve"> (Bell, 2026a). Paths in backticks are relative to the repository root.</w:t>
      </w:r>
    </w:p>
    <w:p>
      <w:pPr>
        <w:pStyle w:val="HorizontalLine"/>
        <w:suppressLineNumbers/>
        <w:pBdr>
          <w:bottom w:val="double" w:sz="2" w:space="0" w:color="808080"/>
        </w:pBdr>
        <w:bidi w:val="0"/>
        <w:spacing w:before="0" w:after="283"/>
        <w:jc w:val="left"/>
        <w:rPr/>
      </w:pPr>
      <w:r>
        <w:rPr/>
      </w:r>
    </w:p>
    <w:p>
      <w:pPr>
        <w:pStyle w:val="Heading2"/>
        <w:numPr>
          <w:ilvl w:val="0"/>
          <w:numId w:val="0"/>
        </w:numPr>
        <w:bidi w:val="0"/>
        <w:spacing w:before="200" w:after="120"/>
        <w:jc w:val="left"/>
        <w:rPr/>
      </w:pPr>
      <w:bookmarkStart w:id="101" w:name="abstract"/>
      <w:bookmarkStart w:id="100" w:name="_Toc000001"/>
      <w:r>
        <w:rPr/>
        <w:t>Abstract</w:t>
      </w:r>
      <w:bookmarkEnd w:id="100"/>
      <w:bookmarkEnd w:id="101"/>
    </w:p>
    <w:p>
      <w:pPr>
        <w:pStyle w:val="BodyText"/>
        <w:bidi w:val="0"/>
        <w:spacing w:lineRule="auto" w:line="276" w:before="0" w:after="140"/>
        <w:jc w:val="left"/>
        <w:rPr/>
      </w:pPr>
      <w:r>
        <w:rPr/>
        <w:t xml:space="preserve">This paper predicts taxi-out time, the interval from off-block to take-off, at ten European airports in the EUROCONTROL Performance Review Commission's Data Challenge 2026, which withholds the off-block time. The final model is a gradient-boosted booster with a second learner; among its inputs are the Network Manager's recorded off-block time, which the challenge leaves in its data, and a correction from the ground movements seen in open ADS-B and OPDI data. It has a root-mean-square error of </w:t>
      </w:r>
      <w:r>
        <w:rPr>
          <w:rStyle w:val="Strong"/>
        </w:rPr>
        <w:t>244.9 s</w:t>
      </w:r>
      <w:r>
        <w:rPr/>
        <w:t xml:space="preserve"> over the year when each of the twelve months of 2025 is held out in turn, and 217.7 s on the rows that none of its special rules covers. On the four months of 2025 that match the four the challenge ranks in 2026, each held out the same way, it reads 294.4 s against 306.0 for its booster with the added feature groups alone. Several later changes were chosen on those same months, so these are held-out estimates from the training year and not a forecast of the challenge score. The challenge's own scores on January and July 2026, from the configuration frozen before any score to the last one uploaded, fall in the order the training year predicted (</w:t>
      </w:r>
      <w:hyperlink w:anchor="sec_8_7_1" w:history="1">
        <w:r>
          <w:rPr>
            <w:rStyle w:val="InternalRef"/>
          </w:rPr>
          <w:t xml:space="preserve">§8.7.1</w:t>
        </w:r>
      </w:hyperlink>
      <w:r>
        <w:rPr/>
        <w:t xml:space="preserve">). The error is concentrated in a tail of extreme records: the year holds 122 recorded taxi-outs of over four hours, and all but 5 of them lie on rows covered by the record-quality term or the plan-shift rule.</w:t>
      </w:r>
    </w:p>
    <w:p>
      <w:pPr>
        <w:pStyle w:val="BodyText"/>
        <w:bidi w:val="0"/>
        <w:spacing w:lineRule="auto" w:line="276" w:before="0" w:after="140"/>
        <w:jc w:val="left"/>
        <w:rPr/>
      </w:pPr>
      <w:r>
        <w:rPr/>
        <w:t xml:space="preserve">The model rests on one hypothesis: that taxiway geometry recovered from OpenStreetMap carries to stand and runway pairs a model has never seen, where a memorized pair mean has nothing to carry. Taxi-out is decomposed into an unimpeded time routed on the recovered surface, an excess time drawn from the traffic and weather around a departure, and a record-quality term for rows whose recorded off-block time was defaulted to the schedule. The routing graph is verified on a worked airport where every distance is known by hand. The geometry lowers the error by </w:t>
      </w:r>
      <w:r>
        <w:rPr>
          <w:rStyle w:val="Strong"/>
        </w:rPr>
        <w:t>18.5 s [16.7, 20.5]</w:t>
      </w:r>
      <w:r>
        <w:rPr/>
        <w:t xml:space="preserve"> more on held-out pairs than on seen pairs, in each of the twelve months read separately. It rests on a taxi speed of 11.8 to 13.2 m/s, recovered ten times with a different airport left out each time, and it transfers to an airport the model has never seen. It matters most where memory fails: on pairs seen a hundred times or fewer, which hold just over a tenth of the 2026 test rows, falling back on the geometry rather than the airport mean is better by some twenty seconds.</w:t>
      </w:r>
    </w:p>
    <w:p>
      <w:pPr>
        <w:pStyle w:val="BodyText"/>
        <w:bidi w:val="0"/>
        <w:spacing w:lineRule="auto" w:line="276" w:before="0" w:after="140"/>
        <w:jc w:val="left"/>
        <w:rPr/>
      </w:pPr>
      <w:r>
        <w:rPr/>
        <w:t>Two other findings qualify this. The strongest single feature is not geometric but the flight plan's own delay signal, worth 62.9 s over the year, and in each of the twelve months. And a correction built from the times aircraft are first seen moving, in open ground-movement data, is the largest later gain, 7.7 s over the year, where a receiver covers the airport. Once the plan's delay signal is in, an oracle diagnostic bounds what a queueing model could add at about eight seconds.</w:t>
      </w:r>
    </w:p>
    <w:p>
      <w:pPr>
        <w:pStyle w:val="Heading2"/>
        <w:numPr>
          <w:ilvl w:val="0"/>
          <w:numId w:val="0"/>
        </w:numPr>
        <w:bidi w:val="0"/>
        <w:spacing w:before="200" w:after="120"/>
        <w:jc w:val="left"/>
        <w:rPr/>
      </w:pPr>
      <w:bookmarkStart w:id="103" w:name="sec_1"/>
      <w:bookmarkStart w:id="102" w:name="_Toc000002"/>
      <w:r>
        <w:rPr/>
        <w:t>1. Introduction</w:t>
      </w:r>
      <w:bookmarkEnd w:id="102"/>
      <w:bookmarkEnd w:id="103"/>
    </w:p>
    <w:p>
      <w:pPr>
        <w:pStyle w:val="Heading3"/>
        <w:numPr>
          <w:ilvl w:val="0"/>
          <w:numId w:val="0"/>
        </w:numPr>
        <w:bidi w:val="0"/>
        <w:spacing w:before="140" w:after="120"/>
        <w:jc w:val="left"/>
        <w:rPr/>
      </w:pPr>
      <w:bookmarkStart w:id="105" w:name="sec_1_1"/>
      <w:bookmarkStart w:id="104" w:name="_Toc000003"/>
      <w:r>
        <w:rPr/>
        <w:t>1.1 The problem, and the form the challenge gives it</w:t>
      </w:r>
      <w:bookmarkEnd w:id="104"/>
      <w:bookmarkEnd w:id="105"/>
    </w:p>
    <w:p>
      <w:pPr>
        <w:pStyle w:val="BodyText"/>
        <w:bidi w:val="0"/>
        <w:spacing w:lineRule="auto" w:line="276" w:before="0" w:after="140"/>
        <w:jc w:val="left"/>
        <w:rPr/>
      </w:pPr>
      <w:r>
        <w:rPr/>
        <w:t xml:space="preserve">Taxi-out is the interval from off-block to take-off. The challenge asks for it in a form that inverts the operational one: the take-off time is given and the off-block time is withheld. This makes it a post-hoc estimation task, as the challenge's rationale page states, naming post-operations analysis, "excess fuel burnt/CO2 production compared to unconstrained status", as the use. An operational forecast would anchor only on schedules and filed estimates; that alternative is discussed in </w:t>
      </w:r>
      <w:hyperlink w:anchor="sec_6_5" w:history="1">
        <w:r>
          <w:rPr>
            <w:rStyle w:val="InternalRef"/>
          </w:rPr>
          <w:t xml:space="preserve">§6.5</w:t>
        </w:r>
      </w:hyperlink>
      <w:r>
        <w:rPr/>
        <w:t xml:space="preserve"> and not pursued here, because it answers a different question.</w:t>
      </w:r>
    </w:p>
    <w:p>
      <w:pPr>
        <w:pStyle w:val="SourceNote"/>
        <w:bidi w:val="0"/>
        <w:spacing w:lineRule="auto" w:line="252" w:before="0" w:after="200"/>
        <w:jc w:val="left"/>
        <w:rPr/>
      </w:pPr>
      <w:r>
        <w:rPr/>
        <w:t xml:space="preserve">Source: </w:t>
      </w:r>
      <w:r>
        <w:rPr>
          <w:rStyle w:val="SourceText"/>
          <w:sz w:val="18"/>
          <w:szCs w:val="18"/>
        </w:rPr>
        <w:t>docs/modelling_notes.md</w:t>
      </w:r>
      <w:r>
        <w:rPr/>
        <w:t xml:space="preserve">, </w:t>
      </w:r>
      <w:r>
        <w:rPr>
          <w:rStyle w:val="Emphasis"/>
        </w:rPr>
        <w:t>Leakage watch</w:t>
      </w:r>
      <w:r>
        <w:rPr/>
        <w:t>; the rationale page.</w:t>
      </w:r>
    </w:p>
    <w:p>
      <w:pPr>
        <w:pStyle w:val="Heading3"/>
        <w:numPr>
          <w:ilvl w:val="0"/>
          <w:numId w:val="0"/>
        </w:numPr>
        <w:bidi w:val="0"/>
        <w:spacing w:before="140" w:after="120"/>
        <w:jc w:val="left"/>
        <w:rPr/>
      </w:pPr>
      <w:bookmarkStart w:id="107" w:name="sec_1_2"/>
      <w:bookmarkStart w:id="106" w:name="_Toc000004"/>
      <w:r>
        <w:rPr/>
        <w:t>1.2 What I set out to test</w:t>
      </w:r>
      <w:bookmarkEnd w:id="106"/>
      <w:bookmarkEnd w:id="107"/>
    </w:p>
    <w:p>
      <w:pPr>
        <w:pStyle w:val="BodyText"/>
        <w:bidi w:val="0"/>
        <w:spacing w:lineRule="auto" w:line="276" w:before="0" w:after="140"/>
        <w:jc w:val="left"/>
        <w:rPr/>
      </w:pPr>
      <w:r>
        <w:rPr/>
        <w:t>Every departure in the challenge data carries a stand and a runway, and the natural model for a problem of this shape learns what each stand and runway pair has cost before. That works on the pairs a model has seen. It cannot work on a pair it has not, and a test month always holds some: just over a tenth of the 2026 test rows sit on pairs the training year saw a hundred times or fewer.</w:t>
      </w:r>
    </w:p>
    <w:p>
      <w:pPr>
        <w:pStyle w:val="BodyText"/>
        <w:bidi w:val="0"/>
        <w:spacing w:lineRule="auto" w:line="276" w:before="0" w:after="140"/>
        <w:jc w:val="left"/>
        <w:rPr/>
      </w:pPr>
      <w:r>
        <w:rPr/>
        <w:t>My central hypothesis is that the physical structure the challenge data omits, the route an aircraft taxis from its stand to its runway, can be recovered from OpenStreetMap and carries over to stand and runway pairs a model has never seen, where a memorized pair mean has nothing to carry. The criterion was fixed in the project plan, before the first model was fitted: the geometry is judged on pairs held out of training, not on a forward split. The test is therefore a difference in differences (Angrist &amp; Pischke, 2009, chap. 5): how much more the geometry block is worth on held-out pairs than on pairs the model has seen.</w:t>
      </w:r>
    </w:p>
    <w:p>
      <w:pPr>
        <w:pStyle w:val="BodyText"/>
        <w:bidi w:val="0"/>
        <w:spacing w:lineRule="auto" w:line="276" w:before="0" w:after="140"/>
        <w:jc w:val="left"/>
        <w:rPr/>
      </w:pPr>
      <w:r>
        <w:rPr/>
        <w:t xml:space="preserve">The hypothesis holds. The geometry block's held-out-pair contrast is </w:t>
      </w:r>
      <w:r>
        <w:rPr>
          <w:rStyle w:val="Strong"/>
        </w:rPr>
        <w:t>+18.5 s [+16.7, +20.5]</w:t>
      </w:r>
      <w:r>
        <w:rPr/>
        <w:t xml:space="preserve">: it lowers the error by that much more on held-out pairs than on seen ones, and the contrast is positive, with an interval that excludes zero, in every one of the twelve months of the training year read separately (</w:t>
      </w:r>
      <w:hyperlink w:anchor="sec_8_5" w:history="1">
        <w:r>
          <w:rPr>
            <w:rStyle w:val="InternalRef"/>
          </w:rPr>
          <w:t xml:space="preserve">§8.5</w:t>
        </w:r>
      </w:hyperlink>
      <w:r>
        <w:rPr/>
        <w:t xml:space="preserve">). On the December forward split the same block lowers the error by 2.27 s, and on July it moves it by less than the seed floor (</w:t>
      </w:r>
      <w:hyperlink w:anchor="sec_3_6" w:history="1">
        <w:r>
          <w:rPr>
            <w:rStyle w:val="InternalRef"/>
          </w:rPr>
          <w:t xml:space="preserve">§3.6</w:t>
        </w:r>
      </w:hyperlink>
      <w:r>
        <w:rPr/>
        <w:t xml:space="preserve">). It is worth acknowledging that this gap is the finding rather than a disappointment: most test rows sit on pairs the training year saw often, where the identifiers already carry what the geometry knows, so a forward split cannot see what the geometry is for (</w:t>
      </w:r>
      <w:hyperlink w:anchor="sec_7_2" w:history="1">
        <w:r>
          <w:rPr>
            <w:rStyle w:val="InternalRef"/>
          </w:rPr>
          <w:t xml:space="preserve">§7.2</w:t>
        </w:r>
      </w:hyperlink>
      <w:r>
        <w:rPr/>
        <w:t xml:space="preserve">, </w:t>
      </w:r>
      <w:hyperlink w:anchor="sec_9_1" w:history="1">
        <w:r>
          <w:rPr>
            <w:rStyle w:val="InternalRef"/>
          </w:rPr>
          <w:t xml:space="preserve">§9.1</w:t>
        </w:r>
      </w:hyperlink>
      <w:r>
        <w:rPr/>
        <w:t xml:space="preserve">).</w:t>
      </w:r>
    </w:p>
    <w:p>
      <w:pPr>
        <w:pStyle w:val="BodyText"/>
        <w:bidi w:val="0"/>
        <w:spacing w:lineRule="auto" w:line="276" w:before="0" w:after="140"/>
        <w:jc w:val="left"/>
        <w:rPr/>
      </w:pPr>
      <w:r>
        <w:rPr/>
        <w:t xml:space="preserve">The rest of the model was built around that claim, and each part entered through a test whose criterion was written down before its figures existed. Two results shape the paper as much as the geometry does. First, much of the target's heavy tail is not taxiing at all but records whose off-block time was defaulted to the schedule. Those rows are treated by a separate, stated term rather than left for the model to learn (</w:t>
      </w:r>
      <w:hyperlink w:anchor="sec_4" w:history="1">
        <w:r>
          <w:rPr>
            <w:rStyle w:val="InternalRef"/>
          </w:rPr>
          <w:t xml:space="preserve">§4</w:t>
        </w:r>
      </w:hyperlink>
      <w:r>
        <w:rPr/>
        <w:t xml:space="preserve">). Secondly, the excess term is small once the flight plan's own delay signal is in the model: 7.7 s in December and 5.8 in July against that signal's 79.3 and 57.4, or 62.9 over the year (</w:t>
      </w:r>
      <w:hyperlink w:anchor="sec_8_4" w:history="1">
        <w:r>
          <w:rPr>
            <w:rStyle w:val="InternalRef"/>
          </w:rPr>
          <w:t xml:space="preserve">§8.4</w:t>
        </w:r>
      </w:hyperlink>
      <w:r>
        <w:rPr/>
        <w:t xml:space="preserve">). The queue layer that would model it further is bounded to about eight seconds by a diagnostic that needs no model (</w:t>
      </w:r>
      <w:hyperlink w:anchor="sec_6_3" w:history="1">
        <w:r>
          <w:rPr>
            <w:rStyle w:val="InternalRef"/>
          </w:rPr>
          <w:t xml:space="preserve">§6.3</w:t>
        </w:r>
      </w:hyperlink>
      <w:r>
        <w:rPr/>
        <w:t xml:space="preserve">, </w:t>
      </w:r>
      <w:hyperlink w:anchor="sec_6_4" w:history="1">
        <w:r>
          <w:rPr>
            <w:rStyle w:val="InternalRef"/>
          </w:rPr>
          <w:t xml:space="preserve">§6.4</w:t>
        </w:r>
      </w:hyperlink>
      <w:r>
        <w:rPr/>
        <w:t xml:space="preserve">).</w:t>
      </w:r>
    </w:p>
    <w:p>
      <w:pPr>
        <w:pStyle w:val="BodyText"/>
        <w:bidi w:val="0"/>
        <w:spacing w:lineRule="auto" w:line="276" w:before="0" w:after="140"/>
        <w:jc w:val="left"/>
        <w:rPr/>
      </w:pPr>
      <w:r>
        <w:rPr/>
        <w:t>The tests under the central hypothesis, each with the record that fixed its criterion:</w:t>
      </w:r>
    </w:p>
    <w:tbl>
      <w:tblPr>
        <w:tblW w:w="9972" w:type="dxa"/>
        <w:jc w:val="left"/>
        <w:tblInd w:w="58" w:type="dxa"/>
        <w:tblLayout w:type="fixed"/>
        <w:tblCellMar>
          <w:top w:w="36" w:type="dxa"/>
          <w:left w:w="58" w:type="dxa"/>
          <w:bottom w:w="36" w:type="dxa"/>
          <w:right w:w="58" w:type="dxa"/>
        </w:tblCellMar>
      </w:tblPr>
      <w:tblGrid>
        <w:gridCol w:w="3116"/>
        <w:gridCol w:w="3160"/>
        <w:gridCol w:w="2696"/>
        <w:gridCol w:w="1000"/>
      </w:tblGrid>
      <w:tr>
        <w:trPr>
          <w:tblHeader w:val="true"/>
          <w:cantSplit/>
        </w:trPr>
        <w:tc>
          <w:tcPr>
            <w:tcW w:w="3116"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was tested</w:t>
            </w:r>
          </w:p>
        </w:tc>
        <w:tc>
          <w:tcPr>
            <w:tcW w:w="3160"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criterion fixed in</w:t>
            </w:r>
          </w:p>
        </w:tc>
        <w:tc>
          <w:tcPr>
            <w:tcW w:w="2696"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outcome</w:t>
            </w:r>
          </w:p>
        </w:tc>
        <w:tc>
          <w:tcPr>
            <w:tcW w:w="1000"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where</w:t>
            </w:r>
          </w:p>
        </w:tc>
      </w:tr>
      <w:tr>
        <w:trPr>
          <w:cantSplit/>
        </w:trPr>
        <w:tc>
          <w:tcPr>
            <w:tcW w:w="3116" w:type="dxa"/>
            <w:tcBorders>
              <w:bottom w:val="single" w:sz="2" w:space="0" w:color="BBBBBB"/>
            </w:tcBorders>
          </w:tcPr>
          <w:p>
            <w:pPr>
              <w:pStyle w:val="TableContents"/>
              <w:bidi w:val="0"/>
              <w:spacing w:lineRule="auto" w:line="240" w:before="0" w:after="0"/>
              <w:jc w:val="left"/>
              <w:rPr>
                <w:sz w:val="17"/>
                <w:szCs w:val="17"/>
              </w:rPr>
            </w:pPr>
            <w:r>
              <w:rPr>
                <w:sz w:val="17"/>
                <w:szCs w:val="17"/>
              </w:rPr>
              <w:t>congestion from the fields the ranking set exposes, and a queue model only if congestion proved binding</w:t>
            </w:r>
          </w:p>
        </w:tc>
        <w:tc>
          <w:tcPr>
            <w:tcW w:w="3160" w:type="dxa"/>
            <w:tcBorders>
              <w:bottom w:val="single" w:sz="2" w:space="0" w:color="BBBBBB"/>
            </w:tcBorders>
          </w:tcPr>
          <w:p>
            <w:pPr>
              <w:pStyle w:val="TableContents"/>
              <w:bidi w:val="0"/>
              <w:spacing w:lineRule="auto" w:line="240" w:before="0" w:after="0"/>
              <w:jc w:val="left"/>
              <w:rPr>
                <w:sz w:val="17"/>
                <w:szCs w:val="17"/>
              </w:rPr>
            </w:pPr>
            <w:r>
              <w:rPr>
                <w:sz w:val="17"/>
                <w:szCs w:val="17"/>
              </w:rPr>
              <w:t>the project plan</w:t>
            </w:r>
          </w:p>
        </w:tc>
        <w:tc>
          <w:tcPr>
            <w:tcW w:w="2696" w:type="dxa"/>
            <w:tcBorders>
              <w:bottom w:val="single" w:sz="2" w:space="0" w:color="BBBBBB"/>
            </w:tcBorders>
          </w:tcPr>
          <w:p>
            <w:pPr>
              <w:pStyle w:val="TableContents"/>
              <w:bidi w:val="0"/>
              <w:spacing w:lineRule="auto" w:line="240" w:before="0" w:after="0"/>
              <w:jc w:val="left"/>
              <w:rPr>
                <w:sz w:val="17"/>
                <w:szCs w:val="17"/>
              </w:rPr>
            </w:pPr>
            <w:r>
              <w:rPr>
                <w:sz w:val="17"/>
                <w:szCs w:val="17"/>
              </w:rPr>
              <w:t>real and small; the queue layer bounded and not built</w:t>
            </w:r>
          </w:p>
        </w:tc>
        <w:tc>
          <w:tcPr>
            <w:tcW w:w="1000" w:type="dxa"/>
            <w:tcBorders>
              <w:bottom w:val="single" w:sz="2" w:space="0" w:color="BBBBBB"/>
            </w:tcBorders>
          </w:tcPr>
          <w:p>
            <w:pPr>
              <w:pStyle w:val="TableContents"/>
              <w:bidi w:val="0"/>
              <w:spacing w:lineRule="auto" w:line="240" w:before="0" w:after="0"/>
              <w:jc w:val="left"/>
              <w:rPr>
                <w:sz w:val="17"/>
                <w:szCs w:val="17"/>
              </w:rPr>
            </w:pPr>
            <w:hyperlink w:anchor="sec_6" w:history="1">
              <w:r>
                <w:rPr>
                  <w:rStyle w:val="InternalRef"/>
                  <w:sz w:val="17"/>
                  <w:szCs w:val="17"/>
                </w:rPr>
                <w:t xml:space="preserve">§6</w:t>
              </w:r>
            </w:hyperlink>
          </w:p>
        </w:tc>
      </w:tr>
      <w:tr>
        <w:trPr>
          <w:cantSplit/>
        </w:trPr>
        <w:tc>
          <w:tcPr>
            <w:tcW w:w="3116" w:type="dxa"/>
            <w:tcBorders>
              <w:bottom w:val="single" w:sz="2" w:space="0" w:color="BBBBBB"/>
            </w:tcBorders>
          </w:tcPr>
          <w:p>
            <w:pPr>
              <w:pStyle w:val="TableContents"/>
              <w:bidi w:val="0"/>
              <w:spacing w:lineRule="auto" w:line="240" w:before="0" w:after="0"/>
              <w:jc w:val="left"/>
              <w:rPr>
                <w:sz w:val="17"/>
                <w:szCs w:val="17"/>
              </w:rPr>
            </w:pPr>
            <w:r>
              <w:rPr>
                <w:sz w:val="17"/>
                <w:szCs w:val="17"/>
              </w:rPr>
              <w:t>a record-quality term, without which no RMSE means anything</w:t>
            </w:r>
          </w:p>
        </w:tc>
        <w:tc>
          <w:tcPr>
            <w:tcW w:w="3160" w:type="dxa"/>
            <w:tcBorders>
              <w:bottom w:val="single" w:sz="2" w:space="0" w:color="BBBBBB"/>
            </w:tcBorders>
          </w:tcPr>
          <w:p>
            <w:pPr>
              <w:pStyle w:val="TableContents"/>
              <w:bidi w:val="0"/>
              <w:spacing w:lineRule="auto" w:line="240" w:before="0" w:after="0"/>
              <w:jc w:val="left"/>
              <w:rPr>
                <w:sz w:val="17"/>
                <w:szCs w:val="17"/>
              </w:rPr>
            </w:pPr>
            <w:r>
              <w:rPr>
                <w:sz w:val="17"/>
                <w:szCs w:val="17"/>
              </w:rPr>
              <w:t>the project plan</w:t>
            </w:r>
          </w:p>
        </w:tc>
        <w:tc>
          <w:tcPr>
            <w:tcW w:w="2696" w:type="dxa"/>
            <w:tcBorders>
              <w:bottom w:val="single" w:sz="2" w:space="0" w:color="BBBBBB"/>
            </w:tcBorders>
          </w:tcPr>
          <w:p>
            <w:pPr>
              <w:pStyle w:val="TableContents"/>
              <w:bidi w:val="0"/>
              <w:spacing w:lineRule="auto" w:line="240" w:before="0" w:after="0"/>
              <w:jc w:val="left"/>
              <w:rPr>
                <w:sz w:val="17"/>
                <w:szCs w:val="17"/>
              </w:rPr>
            </w:pPr>
            <w:r>
              <w:rPr>
                <w:sz w:val="17"/>
                <w:szCs w:val="17"/>
              </w:rPr>
              <w:t>supported on the training year</w:t>
            </w:r>
          </w:p>
        </w:tc>
        <w:tc>
          <w:tcPr>
            <w:tcW w:w="1000" w:type="dxa"/>
            <w:tcBorders>
              <w:bottom w:val="single" w:sz="2" w:space="0" w:color="BBBBBB"/>
            </w:tcBorders>
          </w:tcPr>
          <w:p>
            <w:pPr>
              <w:pStyle w:val="TableContents"/>
              <w:bidi w:val="0"/>
              <w:spacing w:lineRule="auto" w:line="240" w:before="0" w:after="0"/>
              <w:jc w:val="left"/>
              <w:rPr>
                <w:sz w:val="17"/>
                <w:szCs w:val="17"/>
              </w:rPr>
            </w:pPr>
            <w:hyperlink w:anchor="sec_4" w:history="1">
              <w:r>
                <w:rPr>
                  <w:rStyle w:val="InternalRef"/>
                  <w:sz w:val="17"/>
                  <w:szCs w:val="17"/>
                </w:rPr>
                <w:t xml:space="preserve">§4</w:t>
              </w:r>
            </w:hyperlink>
          </w:p>
        </w:tc>
      </w:tr>
      <w:tr>
        <w:trPr>
          <w:cantSplit/>
        </w:trPr>
        <w:tc>
          <w:tcPr>
            <w:tcW w:w="3116" w:type="dxa"/>
            <w:tcBorders>
              <w:bottom w:val="single" w:sz="2" w:space="0" w:color="BBBBBB"/>
            </w:tcBorders>
          </w:tcPr>
          <w:p>
            <w:pPr>
              <w:pStyle w:val="TableContents"/>
              <w:bidi w:val="0"/>
              <w:spacing w:lineRule="auto" w:line="240" w:before="0" w:after="0"/>
              <w:jc w:val="left"/>
              <w:rPr>
                <w:sz w:val="17"/>
                <w:szCs w:val="17"/>
              </w:rPr>
            </w:pPr>
            <w:r>
              <w:rPr>
                <w:sz w:val="17"/>
                <w:szCs w:val="17"/>
              </w:rPr>
              <w:t>seed averaging, recency weighting, season columns</w:t>
            </w:r>
          </w:p>
        </w:tc>
        <w:tc>
          <w:tcPr>
            <w:tcW w:w="3160" w:type="dxa"/>
            <w:tcBorders>
              <w:bottom w:val="single" w:sz="2" w:space="0" w:color="BBBBBB"/>
            </w:tcBorders>
          </w:tcPr>
          <w:p>
            <w:pPr>
              <w:pStyle w:val="TableContents"/>
              <w:bidi w:val="0"/>
              <w:spacing w:lineRule="auto" w:line="240" w:before="0" w:after="0"/>
              <w:jc w:val="left"/>
              <w:rPr>
                <w:sz w:val="17"/>
                <w:szCs w:val="17"/>
              </w:rPr>
            </w:pPr>
            <w:r>
              <w:rPr>
                <w:sz w:val="17"/>
                <w:szCs w:val="17"/>
              </w:rPr>
              <w:t>the pre-registration of the seed, recency and season experiments</w:t>
            </w:r>
          </w:p>
        </w:tc>
        <w:tc>
          <w:tcPr>
            <w:tcW w:w="2696" w:type="dxa"/>
            <w:tcBorders>
              <w:bottom w:val="single" w:sz="2" w:space="0" w:color="BBBBBB"/>
            </w:tcBorders>
          </w:tcPr>
          <w:p>
            <w:pPr>
              <w:pStyle w:val="TableContents"/>
              <w:bidi w:val="0"/>
              <w:spacing w:lineRule="auto" w:line="240" w:before="0" w:after="0"/>
              <w:jc w:val="left"/>
              <w:rPr>
                <w:sz w:val="17"/>
                <w:szCs w:val="17"/>
              </w:rPr>
            </w:pPr>
            <w:r>
              <w:rPr>
                <w:sz w:val="17"/>
                <w:szCs w:val="17"/>
              </w:rPr>
              <w:t>seed averaging adopted; the other two not</w:t>
            </w:r>
          </w:p>
        </w:tc>
        <w:tc>
          <w:tcPr>
            <w:tcW w:w="1000" w:type="dxa"/>
            <w:tcBorders>
              <w:bottom w:val="single" w:sz="2" w:space="0" w:color="BBBBBB"/>
            </w:tcBorders>
          </w:tcPr>
          <w:p>
            <w:pPr>
              <w:pStyle w:val="TableContents"/>
              <w:bidi w:val="0"/>
              <w:spacing w:lineRule="auto" w:line="240" w:before="0" w:after="0"/>
              <w:jc w:val="left"/>
              <w:rPr>
                <w:sz w:val="17"/>
                <w:szCs w:val="17"/>
              </w:rPr>
            </w:pPr>
            <w:hyperlink w:anchor="sec_7_1_1" w:history="1">
              <w:r>
                <w:rPr>
                  <w:rStyle w:val="InternalRef"/>
                  <w:sz w:val="17"/>
                  <w:szCs w:val="17"/>
                </w:rPr>
                <w:t xml:space="preserve">§7.1.1</w:t>
              </w:r>
            </w:hyperlink>
            <w:r>
              <w:rPr>
                <w:sz w:val="17"/>
                <w:szCs w:val="17"/>
              </w:rPr>
              <w:t xml:space="preserve">, </w:t>
            </w:r>
            <w:hyperlink w:anchor="sec_7_1_2" w:history="1">
              <w:r>
                <w:rPr>
                  <w:rStyle w:val="InternalRef"/>
                  <w:sz w:val="17"/>
                  <w:szCs w:val="17"/>
                </w:rPr>
                <w:t xml:space="preserve">§7.1.2</w:t>
              </w:r>
            </w:hyperlink>
          </w:p>
        </w:tc>
      </w:tr>
      <w:tr>
        <w:trPr>
          <w:cantSplit/>
        </w:trPr>
        <w:tc>
          <w:tcPr>
            <w:tcW w:w="3116" w:type="dxa"/>
            <w:tcBorders>
              <w:bottom w:val="single" w:sz="2" w:space="0" w:color="BBBBBB"/>
            </w:tcBorders>
          </w:tcPr>
          <w:p>
            <w:pPr>
              <w:pStyle w:val="TableContents"/>
              <w:bidi w:val="0"/>
              <w:spacing w:lineRule="auto" w:line="240" w:before="0" w:after="0"/>
              <w:jc w:val="left"/>
              <w:rPr>
                <w:sz w:val="17"/>
                <w:szCs w:val="17"/>
              </w:rPr>
            </w:pPr>
            <w:r>
              <w:rPr>
                <w:sz w:val="17"/>
                <w:szCs w:val="17"/>
              </w:rPr>
              <w:t>three model changes left untested at the freeze</w:t>
            </w:r>
          </w:p>
        </w:tc>
        <w:tc>
          <w:tcPr>
            <w:tcW w:w="3160" w:type="dxa"/>
            <w:tcBorders>
              <w:bottom w:val="single" w:sz="2" w:space="0" w:color="BBBBBB"/>
            </w:tcBorders>
          </w:tcPr>
          <w:p>
            <w:pPr>
              <w:pStyle w:val="TableContents"/>
              <w:bidi w:val="0"/>
              <w:spacing w:lineRule="auto" w:line="240" w:before="0" w:after="0"/>
              <w:jc w:val="left"/>
              <w:rPr>
                <w:sz w:val="17"/>
                <w:szCs w:val="17"/>
              </w:rPr>
            </w:pPr>
            <w:r>
              <w:rPr>
                <w:sz w:val="17"/>
                <w:szCs w:val="17"/>
              </w:rPr>
              <w:t>the pre-registrations of the three candidates</w:t>
            </w:r>
          </w:p>
        </w:tc>
        <w:tc>
          <w:tcPr>
            <w:tcW w:w="2696" w:type="dxa"/>
            <w:tcBorders>
              <w:bottom w:val="single" w:sz="2" w:space="0" w:color="BBBBBB"/>
            </w:tcBorders>
          </w:tcPr>
          <w:p>
            <w:pPr>
              <w:pStyle w:val="TableContents"/>
              <w:bidi w:val="0"/>
              <w:spacing w:lineRule="auto" w:line="240" w:before="0" w:after="0"/>
              <w:jc w:val="left"/>
              <w:rPr>
                <w:sz w:val="17"/>
                <w:szCs w:val="17"/>
              </w:rPr>
            </w:pPr>
            <w:r>
              <w:rPr>
                <w:sz w:val="17"/>
                <w:szCs w:val="17"/>
              </w:rPr>
              <w:t>none adopted</w:t>
            </w:r>
          </w:p>
        </w:tc>
        <w:tc>
          <w:tcPr>
            <w:tcW w:w="1000" w:type="dxa"/>
            <w:tcBorders>
              <w:bottom w:val="single" w:sz="2" w:space="0" w:color="BBBBBB"/>
            </w:tcBorders>
          </w:tcPr>
          <w:p>
            <w:pPr>
              <w:pStyle w:val="TableContents"/>
              <w:bidi w:val="0"/>
              <w:spacing w:lineRule="auto" w:line="240" w:before="0" w:after="0"/>
              <w:jc w:val="left"/>
              <w:rPr>
                <w:sz w:val="17"/>
                <w:szCs w:val="17"/>
              </w:rPr>
            </w:pPr>
            <w:hyperlink w:anchor="annex_J" w:history="1">
              <w:r>
                <w:rPr>
                  <w:rStyle w:val="InternalRef"/>
                  <w:sz w:val="17"/>
                  <w:szCs w:val="17"/>
                </w:rPr>
                <w:t xml:space="preserve">Annex J</w:t>
              </w:r>
            </w:hyperlink>
          </w:p>
        </w:tc>
      </w:tr>
      <w:tr>
        <w:trPr>
          <w:cantSplit/>
        </w:trPr>
        <w:tc>
          <w:tcPr>
            <w:tcW w:w="3116" w:type="dxa"/>
            <w:tcBorders>
              <w:bottom w:val="single" w:sz="2" w:space="0" w:color="BBBBBB"/>
            </w:tcBorders>
          </w:tcPr>
          <w:p>
            <w:pPr>
              <w:pStyle w:val="TableContents"/>
              <w:bidi w:val="0"/>
              <w:spacing w:lineRule="auto" w:line="240" w:before="0" w:after="0"/>
              <w:jc w:val="left"/>
              <w:rPr>
                <w:sz w:val="17"/>
                <w:szCs w:val="17"/>
              </w:rPr>
            </w:pPr>
            <w:r>
              <w:rPr>
                <w:sz w:val="17"/>
                <w:szCs w:val="17"/>
              </w:rPr>
              <w:t>a rule for the plan-shifted departures</w:t>
            </w:r>
          </w:p>
        </w:tc>
        <w:tc>
          <w:tcPr>
            <w:tcW w:w="3160" w:type="dxa"/>
            <w:tcBorders>
              <w:bottom w:val="single" w:sz="2" w:space="0" w:color="BBBBBB"/>
            </w:tcBorders>
          </w:tcPr>
          <w:p>
            <w:pPr>
              <w:pStyle w:val="TableContents"/>
              <w:bidi w:val="0"/>
              <w:spacing w:lineRule="auto" w:line="240" w:before="0" w:after="0"/>
              <w:jc w:val="left"/>
              <w:rPr>
                <w:sz w:val="17"/>
                <w:szCs w:val="17"/>
              </w:rPr>
            </w:pPr>
            <w:r>
              <w:rPr>
                <w:sz w:val="17"/>
                <w:szCs w:val="17"/>
              </w:rPr>
              <w:t>the pre-registration of the plan-shift rule</w:t>
            </w:r>
          </w:p>
        </w:tc>
        <w:tc>
          <w:tcPr>
            <w:tcW w:w="2696" w:type="dxa"/>
            <w:tcBorders>
              <w:bottom w:val="single" w:sz="2" w:space="0" w:color="BBBBBB"/>
            </w:tcBorders>
          </w:tcPr>
          <w:p>
            <w:pPr>
              <w:pStyle w:val="TableContents"/>
              <w:bidi w:val="0"/>
              <w:spacing w:lineRule="auto" w:line="240" w:before="0" w:after="0"/>
              <w:jc w:val="left"/>
              <w:rPr>
                <w:sz w:val="17"/>
                <w:szCs w:val="17"/>
              </w:rPr>
            </w:pPr>
            <w:r>
              <w:rPr>
                <w:sz w:val="17"/>
                <w:szCs w:val="17"/>
              </w:rPr>
              <w:t>fixed and applied</w:t>
            </w:r>
          </w:p>
        </w:tc>
        <w:tc>
          <w:tcPr>
            <w:tcW w:w="1000" w:type="dxa"/>
            <w:tcBorders>
              <w:bottom w:val="single" w:sz="2" w:space="0" w:color="BBBBBB"/>
            </w:tcBorders>
          </w:tcPr>
          <w:p>
            <w:pPr>
              <w:pStyle w:val="TableContents"/>
              <w:bidi w:val="0"/>
              <w:spacing w:lineRule="auto" w:line="240" w:before="0" w:after="0"/>
              <w:jc w:val="left"/>
              <w:rPr>
                <w:sz w:val="17"/>
                <w:szCs w:val="17"/>
              </w:rPr>
            </w:pPr>
            <w:hyperlink w:anchor="sec_4" w:history="1">
              <w:r>
                <w:rPr>
                  <w:rStyle w:val="InternalRef"/>
                  <w:sz w:val="17"/>
                  <w:szCs w:val="17"/>
                </w:rPr>
                <w:t xml:space="preserve">§4</w:t>
              </w:r>
            </w:hyperlink>
            <w:r>
              <w:rPr>
                <w:sz w:val="17"/>
                <w:szCs w:val="17"/>
              </w:rPr>
              <w:t xml:space="preserve">, </w:t>
            </w:r>
            <w:hyperlink w:anchor="annex_I" w:history="1">
              <w:r>
                <w:rPr>
                  <w:rStyle w:val="InternalRef"/>
                  <w:sz w:val="17"/>
                  <w:szCs w:val="17"/>
                </w:rPr>
                <w:t xml:space="preserve">Annex I</w:t>
              </w:r>
            </w:hyperlink>
          </w:p>
        </w:tc>
      </w:tr>
      <w:tr>
        <w:trPr>
          <w:cantSplit/>
        </w:trPr>
        <w:tc>
          <w:tcPr>
            <w:tcW w:w="3116" w:type="dxa"/>
            <w:tcBorders>
              <w:bottom w:val="single" w:sz="6" w:space="0" w:color="000000"/>
            </w:tcBorders>
          </w:tcPr>
          <w:p>
            <w:pPr>
              <w:pStyle w:val="TableContents"/>
              <w:bidi w:val="0"/>
              <w:spacing w:lineRule="auto" w:line="240" w:before="0" w:after="0"/>
              <w:jc w:val="left"/>
              <w:rPr>
                <w:sz w:val="17"/>
                <w:szCs w:val="17"/>
              </w:rPr>
            </w:pPr>
            <w:r>
              <w:rPr>
                <w:sz w:val="17"/>
                <w:szCs w:val="17"/>
              </w:rPr>
              <w:t>changes made after the first challenge score, each under a pre-registration</w:t>
            </w:r>
          </w:p>
        </w:tc>
        <w:tc>
          <w:tcPr>
            <w:tcW w:w="3160" w:type="dxa"/>
            <w:tcBorders>
              <w:bottom w:val="single" w:sz="6" w:space="0" w:color="000000"/>
            </w:tcBorders>
          </w:tcPr>
          <w:p>
            <w:pPr>
              <w:pStyle w:val="TableContents"/>
              <w:bidi w:val="0"/>
              <w:spacing w:lineRule="auto" w:line="240" w:before="0" w:after="0"/>
              <w:jc w:val="left"/>
              <w:rPr>
                <w:sz w:val="17"/>
                <w:szCs w:val="17"/>
              </w:rPr>
            </w:pPr>
            <w:r>
              <w:rPr>
                <w:sz w:val="17"/>
                <w:szCs w:val="17"/>
              </w:rPr>
              <w:t xml:space="preserve">the pre-registrations listed in </w:t>
            </w:r>
            <w:hyperlink w:anchor="sec_8_7" w:history="1">
              <w:r>
                <w:rPr>
                  <w:rStyle w:val="InternalRef"/>
                  <w:sz w:val="17"/>
                  <w:szCs w:val="17"/>
                </w:rPr>
                <w:t xml:space="preserve">§8.7</w:t>
              </w:r>
            </w:hyperlink>
          </w:p>
        </w:tc>
        <w:tc>
          <w:tcPr>
            <w:tcW w:w="2696" w:type="dxa"/>
            <w:tcBorders>
              <w:bottom w:val="single" w:sz="6" w:space="0" w:color="000000"/>
            </w:tcBorders>
          </w:tcPr>
          <w:p>
            <w:pPr>
              <w:pStyle w:val="TableContents"/>
              <w:bidi w:val="0"/>
              <w:spacing w:lineRule="auto" w:line="240" w:before="0" w:after="0"/>
              <w:jc w:val="left"/>
              <w:rPr>
                <w:sz w:val="17"/>
                <w:szCs w:val="17"/>
              </w:rPr>
            </w:pPr>
            <w:r>
              <w:rPr>
                <w:sz w:val="17"/>
                <w:szCs w:val="17"/>
              </w:rPr>
              <w:t xml:space="preserve">adopted in part; each outcome and its reason in </w:t>
            </w:r>
            <w:hyperlink w:anchor="sec_8_7" w:history="1">
              <w:r>
                <w:rPr>
                  <w:rStyle w:val="InternalRef"/>
                  <w:sz w:val="17"/>
                  <w:szCs w:val="17"/>
                </w:rPr>
                <w:t xml:space="preserve">§8.7</w:t>
              </w:r>
            </w:hyperlink>
          </w:p>
        </w:tc>
        <w:tc>
          <w:tcPr>
            <w:tcW w:w="1000" w:type="dxa"/>
            <w:tcBorders>
              <w:bottom w:val="single" w:sz="6" w:space="0" w:color="000000"/>
            </w:tcBorders>
          </w:tcPr>
          <w:p>
            <w:pPr>
              <w:pStyle w:val="TableContents"/>
              <w:bidi w:val="0"/>
              <w:spacing w:lineRule="auto" w:line="240" w:before="0" w:after="0"/>
              <w:jc w:val="left"/>
              <w:rPr>
                <w:sz w:val="17"/>
                <w:szCs w:val="17"/>
              </w:rPr>
            </w:pPr>
            <w:hyperlink w:anchor="sec_8_7" w:history="1">
              <w:r>
                <w:rPr>
                  <w:rStyle w:val="InternalRef"/>
                  <w:sz w:val="17"/>
                  <w:szCs w:val="17"/>
                </w:rPr>
                <w:t xml:space="preserve">§8.7</w:t>
              </w:r>
            </w:hyperlink>
            <w:r>
              <w:rPr>
                <w:sz w:val="17"/>
                <w:szCs w:val="17"/>
              </w:rPr>
              <w:t xml:space="preserve">, </w:t>
            </w:r>
            <w:hyperlink w:anchor="sec_8_8" w:history="1">
              <w:r>
                <w:rPr>
                  <w:rStyle w:val="InternalRef"/>
                  <w:sz w:val="17"/>
                  <w:szCs w:val="17"/>
                </w:rPr>
                <w:t xml:space="preserve">§8.8</w:t>
              </w:r>
            </w:hyperlink>
          </w:p>
        </w:tc>
      </w:tr>
    </w:tbl>
    <w:p>
      <w:pPr>
        <w:pStyle w:val="BodyText"/>
        <w:bidi w:val="0"/>
        <w:spacing w:lineRule="auto" w:line="276" w:before="160" w:after="140"/>
        <w:jc w:val="left"/>
        <w:rPr/>
      </w:pPr>
      <w:r>
        <w:rPr/>
        <w:t xml:space="preserve">Analyses with no criterion fixed in advance, the held-out year and the annexes built on it among them, are reported as analyses and never as tests. One test was decided on a score rather than on the training year, and that score refuted it; </w:t>
      </w:r>
      <w:hyperlink w:anchor="sec_8_7_2" w:history="1">
        <w:r>
          <w:rPr>
            <w:rStyle w:val="InternalRef"/>
          </w:rPr>
          <w:t xml:space="preserve">§8.7.2</w:t>
        </w:r>
      </w:hyperlink>
      <w:r>
        <w:rPr/>
        <w:t xml:space="preserve"> states it as the one exception.</w:t>
      </w:r>
    </w:p>
    <w:p>
      <w:pPr>
        <w:pStyle w:val="Heading3"/>
        <w:numPr>
          <w:ilvl w:val="0"/>
          <w:numId w:val="0"/>
        </w:numPr>
        <w:bidi w:val="0"/>
        <w:spacing w:before="140" w:after="120"/>
        <w:jc w:val="left"/>
        <w:rPr/>
      </w:pPr>
      <w:bookmarkStart w:id="109" w:name="sec_1_3"/>
      <w:bookmarkStart w:id="108" w:name="_Toc000005"/>
      <w:r>
        <w:rPr/>
        <w:t>1.3 Prior art, and what is new here</w:t>
      </w:r>
      <w:bookmarkEnd w:id="108"/>
      <w:bookmarkEnd w:id="109"/>
    </w:p>
    <w:p>
      <w:pPr>
        <w:pStyle w:val="BodyText"/>
        <w:bidi w:val="0"/>
        <w:spacing w:lineRule="auto" w:line="276" w:before="0" w:after="140"/>
        <w:jc w:val="left"/>
        <w:rPr/>
      </w:pPr>
      <w:r>
        <w:rPr/>
        <w:t xml:space="preserve">Taxi-out has been modeled as a queue (Idris et al., 2002; Simaiakis &amp; Balakrishnan, 2016) and predicted by regression and machine-learning models fitted to departure records (Lee et al., 2016; Ravizza et al., 2014). Building a routable graph from OSM </w:t>
      </w:r>
      <w:r>
        <w:rPr>
          <w:rStyle w:val="SourceText"/>
        </w:rPr>
        <w:t>aeroway</w:t>
      </w:r>
      <w:r>
        <w:rPr/>
        <w:t xml:space="preserve"> geometry is not new; </w:t>
      </w:r>
      <w:r>
        <w:rPr>
          <w:rStyle w:val="SourceText"/>
        </w:rPr>
        <w:t>traffic</w:t>
      </w:r>
      <w:r>
        <w:rPr/>
        <w:t xml:space="preserve"> (Olive, 2019) ships one, and Olive et al. (2025) document the same defects this pipeline repairs. Ravizza et al. (2013) established that route shape (turn angle, junction-free running) predicts taxi speed nearly as well as distance. What appears not to have been done is the downstream half: using these recovered quantities as regression features for taxi-out.</w:t>
      </w:r>
    </w:p>
    <w:p>
      <w:pPr>
        <w:pStyle w:val="SourceNote"/>
        <w:bidi w:val="0"/>
        <w:spacing w:lineRule="auto" w:line="252" w:before="0" w:after="200"/>
        <w:jc w:val="left"/>
        <w:rPr/>
      </w:pPr>
      <w:r>
        <w:rPr/>
        <w:t xml:space="preserve">Source: </w:t>
      </w:r>
      <w:r>
        <w:rPr>
          <w:rStyle w:val="SourceText"/>
          <w:sz w:val="18"/>
          <w:szCs w:val="18"/>
        </w:rPr>
        <w:t>docs/prior_art.md</w:t>
      </w:r>
      <w:r>
        <w:rPr/>
        <w:t>.</w:t>
      </w:r>
    </w:p>
    <w:p>
      <w:pPr>
        <w:pStyle w:val="Heading3"/>
        <w:numPr>
          <w:ilvl w:val="0"/>
          <w:numId w:val="0"/>
        </w:numPr>
        <w:bidi w:val="0"/>
        <w:spacing w:before="140" w:after="120"/>
        <w:jc w:val="left"/>
        <w:rPr/>
      </w:pPr>
      <w:bookmarkStart w:id="111" w:name="sec_1_4"/>
      <w:bookmarkStart w:id="110" w:name="_Toc000006"/>
      <w:r>
        <w:rPr/>
        <w:t>1.4 Terms used in this paper</w:t>
      </w:r>
      <w:bookmarkEnd w:id="110"/>
      <w:bookmarkEnd w:id="111"/>
    </w:p>
    <w:p>
      <w:pPr>
        <w:pStyle w:val="BodyText"/>
        <w:bidi w:val="0"/>
        <w:spacing w:lineRule="auto" w:line="276" w:before="0" w:after="140"/>
        <w:jc w:val="left"/>
        <w:rPr/>
      </w:pPr>
      <w:r>
        <w:rPr/>
        <w:t>The paper keeps a small working vocabulary. Each term is defined where it first matters, and collected here.</w:t>
      </w:r>
    </w:p>
    <w:tbl>
      <w:tblPr>
        <w:tblW w:w="9972" w:type="dxa"/>
        <w:jc w:val="left"/>
        <w:tblInd w:w="58" w:type="dxa"/>
        <w:tblLayout w:type="fixed"/>
        <w:tblCellMar>
          <w:top w:w="36" w:type="dxa"/>
          <w:left w:w="58" w:type="dxa"/>
          <w:bottom w:w="36" w:type="dxa"/>
          <w:right w:w="58" w:type="dxa"/>
        </w:tblCellMar>
      </w:tblPr>
      <w:tblGrid>
        <w:gridCol w:w="2934"/>
        <w:gridCol w:w="5634"/>
        <w:gridCol w:w="1404"/>
      </w:tblGrid>
      <w:tr>
        <w:trPr>
          <w:tblHeader w:val="true"/>
          <w:cantSplit/>
        </w:trPr>
        <w:tc>
          <w:tcPr>
            <w:tcW w:w="2934"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term</w:t>
            </w:r>
          </w:p>
        </w:tc>
        <w:tc>
          <w:tcPr>
            <w:tcW w:w="5634"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meaning</w:t>
            </w:r>
          </w:p>
        </w:tc>
        <w:tc>
          <w:tcPr>
            <w:tcW w:w="1404"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where</w:t>
            </w:r>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RMSE</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root-mean-square error in seconds, the error measure used throughout</w:t>
            </w:r>
          </w:p>
        </w:tc>
        <w:tc>
          <w:tcPr>
            <w:tcW w:w="1404" w:type="dxa"/>
            <w:tcBorders>
              <w:bottom w:val="single" w:sz="2" w:space="0" w:color="BBBBBB"/>
            </w:tcBorders>
          </w:tcPr>
          <w:p>
            <w:pPr>
              <w:pStyle w:val="TableContents"/>
              <w:bidi w:val="0"/>
              <w:spacing w:lineRule="auto" w:line="240" w:before="0" w:after="0"/>
              <w:jc w:val="left"/>
              <w:rPr>
                <w:sz w:val="18"/>
                <w:szCs w:val="18"/>
              </w:rPr>
            </w:pPr>
            <w:r>
              <w:rPr>
                <w:sz w:val="18"/>
                <w:szCs w:val="18"/>
              </w:rPr>
              <w:t>throughout</w:t>
            </w:r>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the base configuration</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booster and its rules as fixed before the ranking months were scored, on which every later change builds</w:t>
            </w:r>
          </w:p>
        </w:tc>
        <w:tc>
          <w:tcPr>
            <w:tcW w:w="1404"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preface, </w:t>
            </w:r>
            <w:hyperlink w:anchor="sec_8_1" w:history="1">
              <w:r>
                <w:rPr>
                  <w:rStyle w:val="InternalRef"/>
                  <w:sz w:val="18"/>
                  <w:szCs w:val="18"/>
                </w:rPr>
                <w:t xml:space="preserve">§8.1</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the final configuration</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submission over the four ranked months: the base configuration with the feature groups, learners, ground-movement correction and flight-plan window of </w:t>
            </w:r>
            <w:hyperlink w:anchor="sec_8_7" w:history="1">
              <w:r>
                <w:rPr>
                  <w:rStyle w:val="InternalRef"/>
                  <w:sz w:val="18"/>
                  <w:szCs w:val="18"/>
                </w:rPr>
                <w:t xml:space="preserve">§8.7</w:t>
              </w:r>
            </w:hyperlink>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8_7" w:history="1">
              <w:r>
                <w:rPr>
                  <w:rStyle w:val="InternalRef"/>
                  <w:sz w:val="18"/>
                  <w:szCs w:val="18"/>
                </w:rPr>
                <w:t xml:space="preserve">§8.7</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pre-registration</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a dated record, fixed before the figures it governs, that names a test and the rule deciding it</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7" w:history="1">
              <w:r>
                <w:rPr>
                  <w:rStyle w:val="InternalRef"/>
                  <w:sz w:val="18"/>
                  <w:szCs w:val="18"/>
                </w:rPr>
                <w:t xml:space="preserve">§3.7</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block</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a group of features added to the booster together, such as the geometry block</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2" w:history="1">
              <w:r>
                <w:rPr>
                  <w:rStyle w:val="InternalRef"/>
                  <w:sz w:val="18"/>
                  <w:szCs w:val="18"/>
                </w:rPr>
                <w:t xml:space="preserve">§3.2</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ablation ladder, rung</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sequence of models that each add one block to the one before; a rung is one model on it</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1" w:history="1">
              <w:r>
                <w:rPr>
                  <w:rStyle w:val="InternalRef"/>
                  <w:sz w:val="18"/>
                  <w:szCs w:val="18"/>
                </w:rPr>
                <w:t xml:space="preserve">§3.1</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forward split, leg</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a split that trains on earlier months and scores a later one, December 2025 or July 2025; each such reading is a leg</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5" w:history="1">
              <w:r>
                <w:rPr>
                  <w:rStyle w:val="InternalRef"/>
                  <w:sz w:val="18"/>
                  <w:szCs w:val="18"/>
                </w:rPr>
                <w:t xml:space="preserve">§3.5</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the three</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Frankfurt, Heathrow and Schiphol, read on their own in July as a second July reading</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2_1" w:history="1">
              <w:r>
                <w:rPr>
                  <w:rStyle w:val="InternalRef"/>
                  <w:sz w:val="18"/>
                  <w:szCs w:val="18"/>
                </w:rPr>
                <w:t xml:space="preserve">§2.1</w:t>
              </w:r>
            </w:hyperlink>
            <w:r>
              <w:rPr>
                <w:sz w:val="18"/>
                <w:szCs w:val="18"/>
              </w:rPr>
              <w:t xml:space="preserve">, </w:t>
            </w:r>
            <w:hyperlink w:anchor="sec_7_1" w:history="1">
              <w:r>
                <w:rPr>
                  <w:rStyle w:val="InternalRef"/>
                  <w:sz w:val="18"/>
                  <w:szCs w:val="18"/>
                </w:rPr>
                <w:t xml:space="preserve">§7.1</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held-out pairs</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stand-to-runway pairs removed from training as whole pairs, so the model scores them unseen</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5" w:history="1">
              <w:r>
                <w:rPr>
                  <w:rStyle w:val="InternalRef"/>
                  <w:sz w:val="18"/>
                  <w:szCs w:val="18"/>
                </w:rPr>
                <w:t xml:space="preserve">§3.5</w:t>
              </w:r>
            </w:hyperlink>
            <w:r>
              <w:rPr>
                <w:sz w:val="18"/>
                <w:szCs w:val="18"/>
              </w:rPr>
              <w:t xml:space="preserve">, </w:t>
            </w:r>
            <w:hyperlink w:anchor="sec_7_2" w:history="1">
              <w:r>
                <w:rPr>
                  <w:rStyle w:val="InternalRef"/>
                  <w:sz w:val="18"/>
                  <w:szCs w:val="18"/>
                </w:rPr>
                <w:t xml:space="preserve">§7.2</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pair-frequency bucket</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rows grouped by how often the training year saw their stand-to-runway pair, from never to over a hundred times</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5_4" w:history="1">
              <w:r>
                <w:rPr>
                  <w:rStyle w:val="InternalRef"/>
                  <w:sz w:val="18"/>
                  <w:szCs w:val="18"/>
                </w:rPr>
                <w:t xml:space="preserve">§5.4</w:t>
              </w:r>
            </w:hyperlink>
            <w:r>
              <w:rPr>
                <w:sz w:val="18"/>
                <w:szCs w:val="18"/>
              </w:rPr>
              <w:t xml:space="preserve">, </w:t>
            </w:r>
            <w:hyperlink w:anchor="sec_7_4" w:history="1">
              <w:r>
                <w:rPr>
                  <w:rStyle w:val="InternalRef"/>
                  <w:sz w:val="18"/>
                  <w:szCs w:val="18"/>
                </w:rPr>
                <w:t xml:space="preserve">§7.4</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ranking mix</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a figure reweighted to the ranking set's own share of rows in each pair-frequency bucket</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7_4" w:history="1">
              <w:r>
                <w:rPr>
                  <w:rStyle w:val="InternalRef"/>
                  <w:sz w:val="18"/>
                  <w:szCs w:val="18"/>
                </w:rPr>
                <w:t xml:space="preserve">§7.4</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seed floor</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how far a figure moves when nothing but the random seed changes; a difference inside it is noise</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6" w:history="1">
              <w:r>
                <w:rPr>
                  <w:rStyle w:val="InternalRef"/>
                  <w:sz w:val="18"/>
                  <w:szCs w:val="18"/>
                </w:rPr>
                <w:t xml:space="preserve">§3.6</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the record-quality term</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a rule, not a fitted model, for rows whose recorded off-block time was defaulted to the schedule; its rows are grouped in cells by airport, presence of a flight-plan record and band of plan lag</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3" w:history="1">
              <w:r>
                <w:rPr>
                  <w:rStyle w:val="InternalRef"/>
                  <w:sz w:val="18"/>
                  <w:szCs w:val="18"/>
                </w:rPr>
                <w:t xml:space="preserve">§3.3</w:t>
              </w:r>
            </w:hyperlink>
            <w:r>
              <w:rPr>
                <w:sz w:val="18"/>
                <w:szCs w:val="18"/>
              </w:rPr>
              <w:t xml:space="preserve">, </w:t>
            </w:r>
            <w:hyperlink w:anchor="sec_4" w:history="1">
              <w:r>
                <w:rPr>
                  <w:rStyle w:val="InternalRef"/>
                  <w:sz w:val="18"/>
                  <w:szCs w:val="18"/>
                </w:rPr>
                <w:t xml:space="preserve">§4</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the plan-shift rule</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second rule of </w:t>
            </w:r>
            <w:hyperlink w:anchor="sec_3_3" w:history="1">
              <w:r>
                <w:rPr>
                  <w:rStyle w:val="InternalRef"/>
                  <w:sz w:val="18"/>
                  <w:szCs w:val="18"/>
                </w:rPr>
                <w:t xml:space="preserve">§3.3</w:t>
              </w:r>
            </w:hyperlink>
            <w:r>
              <w:rPr>
                <w:sz w:val="18"/>
                <w:szCs w:val="18"/>
              </w:rPr>
              <w:t xml:space="preserve">, for departures whose take-off falls far after the plan's off-block time</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3_3" w:history="1">
              <w:r>
                <w:rPr>
                  <w:rStyle w:val="InternalRef"/>
                  <w:sz w:val="18"/>
                  <w:szCs w:val="18"/>
                </w:rPr>
                <w:t xml:space="preserve">§3.3</w:t>
              </w:r>
            </w:hyperlink>
            <w:r>
              <w:rPr>
                <w:sz w:val="18"/>
                <w:szCs w:val="18"/>
              </w:rPr>
              <w:t xml:space="preserve">, </w:t>
            </w:r>
            <w:hyperlink w:anchor="sec_4" w:history="1">
              <w:r>
                <w:rPr>
                  <w:rStyle w:val="InternalRef"/>
                  <w:sz w:val="18"/>
                  <w:szCs w:val="18"/>
                </w:rPr>
                <w:t xml:space="preserve">§4</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ex-flagged</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read on the rows the record-quality term does not take; "every row" includes them</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6_3" w:history="1">
              <w:r>
                <w:rPr>
                  <w:rStyle w:val="InternalRef"/>
                  <w:sz w:val="18"/>
                  <w:szCs w:val="18"/>
                </w:rPr>
                <w:t xml:space="preserve">§6.3</w:t>
              </w:r>
            </w:hyperlink>
            <w:r>
              <w:rPr>
                <w:sz w:val="18"/>
                <w:szCs w:val="18"/>
              </w:rPr>
              <w:t xml:space="preserve">, </w:t>
            </w:r>
            <w:hyperlink w:anchor="sec_8" w:history="1">
              <w:r>
                <w:rPr>
                  <w:rStyle w:val="InternalRef"/>
                  <w:sz w:val="18"/>
                  <w:szCs w:val="18"/>
                </w:rPr>
                <w:t xml:space="preserve">§8</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core rows</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rows neither rule takes</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8_8" w:history="1">
              <w:r>
                <w:rPr>
                  <w:rStyle w:val="InternalRef"/>
                  <w:sz w:val="18"/>
                  <w:szCs w:val="18"/>
                </w:rPr>
                <w:t xml:space="preserve">§8.8</w:t>
              </w:r>
            </w:hyperlink>
          </w:p>
        </w:tc>
      </w:tr>
      <w:tr>
        <w:trPr>
          <w:cantSplit/>
        </w:trPr>
        <w:tc>
          <w:tcPr>
            <w:tcW w:w="2934" w:type="dxa"/>
            <w:tcBorders>
              <w:bottom w:val="single" w:sz="2" w:space="0" w:color="BBBBBB"/>
            </w:tcBorders>
          </w:tcPr>
          <w:p>
            <w:pPr>
              <w:pStyle w:val="TableContents"/>
              <w:bidi w:val="0"/>
              <w:spacing w:lineRule="auto" w:line="240" w:before="0" w:after="0"/>
              <w:jc w:val="left"/>
              <w:rPr>
                <w:sz w:val="18"/>
                <w:szCs w:val="18"/>
              </w:rPr>
            </w:pPr>
            <w:r>
              <w:rPr>
                <w:sz w:val="18"/>
                <w:szCs w:val="18"/>
              </w:rPr>
              <w:t>arm, control</w:t>
            </w:r>
          </w:p>
        </w:tc>
        <w:tc>
          <w:tcPr>
            <w:tcW w:w="5634" w:type="dxa"/>
            <w:tcBorders>
              <w:bottom w:val="single" w:sz="2" w:space="0" w:color="BBBBBB"/>
            </w:tcBorders>
          </w:tcPr>
          <w:p>
            <w:pPr>
              <w:pStyle w:val="TableContents"/>
              <w:bidi w:val="0"/>
              <w:spacing w:lineRule="auto" w:line="240" w:before="0" w:after="0"/>
              <w:jc w:val="left"/>
              <w:rPr>
                <w:sz w:val="18"/>
                <w:szCs w:val="18"/>
              </w:rPr>
            </w:pPr>
            <w:r>
              <w:rPr>
                <w:sz w:val="18"/>
                <w:szCs w:val="18"/>
              </w:rPr>
              <w:t>the variants a test compares, and the one the others are compared against</w:t>
            </w:r>
          </w:p>
        </w:tc>
        <w:tc>
          <w:tcPr>
            <w:tcW w:w="1404" w:type="dxa"/>
            <w:tcBorders>
              <w:bottom w:val="single" w:sz="2" w:space="0" w:color="BBBBBB"/>
            </w:tcBorders>
          </w:tcPr>
          <w:p>
            <w:pPr>
              <w:pStyle w:val="TableContents"/>
              <w:bidi w:val="0"/>
              <w:spacing w:lineRule="auto" w:line="240" w:before="0" w:after="0"/>
              <w:jc w:val="left"/>
              <w:rPr>
                <w:sz w:val="18"/>
                <w:szCs w:val="18"/>
              </w:rPr>
            </w:pPr>
            <w:hyperlink w:anchor="sec_7_4" w:history="1">
              <w:r>
                <w:rPr>
                  <w:rStyle w:val="InternalRef"/>
                  <w:sz w:val="18"/>
                  <w:szCs w:val="18"/>
                </w:rPr>
                <w:t xml:space="preserve">§7.4</w:t>
              </w:r>
            </w:hyperlink>
          </w:p>
        </w:tc>
      </w:tr>
      <w:tr>
        <w:trPr>
          <w:cantSplit/>
        </w:trPr>
        <w:tc>
          <w:tcPr>
            <w:tcW w:w="2934" w:type="dxa"/>
            <w:tcBorders>
              <w:bottom w:val="single" w:sz="6" w:space="0" w:color="000000"/>
            </w:tcBorders>
          </w:tcPr>
          <w:p>
            <w:pPr>
              <w:pStyle w:val="TableContents"/>
              <w:bidi w:val="0"/>
              <w:spacing w:lineRule="auto" w:line="240" w:before="0" w:after="0"/>
              <w:jc w:val="left"/>
              <w:rPr>
                <w:sz w:val="18"/>
                <w:szCs w:val="18"/>
              </w:rPr>
            </w:pPr>
            <w:r>
              <w:rPr>
                <w:sz w:val="18"/>
                <w:szCs w:val="18"/>
              </w:rPr>
              <w:t>the ground-movement correction</w:t>
            </w:r>
          </w:p>
        </w:tc>
        <w:tc>
          <w:tcPr>
            <w:tcW w:w="5634" w:type="dxa"/>
            <w:tcBorders>
              <w:bottom w:val="single" w:sz="6" w:space="0" w:color="000000"/>
            </w:tcBorders>
          </w:tcPr>
          <w:p>
            <w:pPr>
              <w:pStyle w:val="TableContents"/>
              <w:bidi w:val="0"/>
              <w:spacing w:lineRule="auto" w:line="240" w:before="0" w:after="0"/>
              <w:jc w:val="left"/>
              <w:rPr>
                <w:sz w:val="18"/>
                <w:szCs w:val="18"/>
              </w:rPr>
            </w:pPr>
            <w:r>
              <w:rPr>
                <w:sz w:val="18"/>
                <w:szCs w:val="18"/>
              </w:rPr>
              <w:t>the second learner of the final configuration that corrects the prediction from adsb.lol and OPDI ground events</w:t>
            </w:r>
          </w:p>
        </w:tc>
        <w:tc>
          <w:tcPr>
            <w:tcW w:w="1404" w:type="dxa"/>
            <w:tcBorders>
              <w:bottom w:val="single" w:sz="6" w:space="0" w:color="000000"/>
            </w:tcBorders>
          </w:tcPr>
          <w:p>
            <w:pPr>
              <w:pStyle w:val="TableContents"/>
              <w:bidi w:val="0"/>
              <w:spacing w:lineRule="auto" w:line="240" w:before="0" w:after="0"/>
              <w:jc w:val="left"/>
              <w:rPr>
                <w:sz w:val="18"/>
                <w:szCs w:val="18"/>
              </w:rPr>
            </w:pPr>
            <w:hyperlink w:anchor="sec_8_7" w:history="1">
              <w:r>
                <w:rPr>
                  <w:rStyle w:val="InternalRef"/>
                  <w:sz w:val="18"/>
                  <w:szCs w:val="18"/>
                </w:rPr>
                <w:t xml:space="preserve">§8.7</w:t>
              </w:r>
            </w:hyperlink>
          </w:p>
        </w:tc>
      </w:tr>
    </w:tbl>
    <w:p>
      <w:pPr>
        <w:pStyle w:val="BodyText"/>
        <w:bidi w:val="0"/>
        <w:spacing w:lineRule="auto" w:line="276" w:before="160" w:after="140"/>
        <w:jc w:val="left"/>
        <w:rPr/>
      </w:pPr>
      <w:r>
        <w:rPr>
          <w:rStyle w:val="Strong"/>
        </w:rPr>
        <w:t>Signs.</w:t>
      </w:r>
      <w:r>
        <w:rPr/>
        <w:t xml:space="preserve"> A change is the figure after a step less the figure before it, in seconds of RMSE, so a negative change means the step lowered the error. The held-out-pair contrast is the other way round: positive means the block helps more on unseen pairs than on seen ones. Each table that mixes the two says which it reports.</w:t>
      </w:r>
    </w:p>
    <w:p>
      <w:pPr>
        <w:pStyle w:val="BodyText"/>
        <w:bidi w:val="0"/>
        <w:spacing w:lineRule="auto" w:line="276" w:before="0" w:after="140"/>
        <w:jc w:val="left"/>
        <w:rPr/>
      </w:pPr>
      <w:r>
        <w:rPr>
          <w:rStyle w:val="Strong"/>
        </w:rPr>
        <w:t>Airports.</w:t>
      </w:r>
      <w:r>
        <w:rPr/>
        <w:t xml:space="preserve"> The ten airports are named by city in the text and by ICAO code in some tables: EDDF Frankfurt, EDDM Munich, EGLL London Heathrow, EHAM Amsterdam Schiphol, LEBL Barcelona, LEMD Madrid, LFPG Paris Charles de Gaulle, LIRF Rome Fiumicino, LSZH Zurich, LTFM Istanbul.</w:t>
      </w:r>
    </w:p>
    <w:p>
      <w:pPr>
        <w:pStyle w:val="Heading2"/>
        <w:numPr>
          <w:ilvl w:val="0"/>
          <w:numId w:val="0"/>
        </w:numPr>
        <w:bidi w:val="0"/>
        <w:spacing w:before="200" w:after="120"/>
        <w:jc w:val="left"/>
        <w:rPr/>
      </w:pPr>
      <w:bookmarkStart w:id="113" w:name="sec_2"/>
      <w:bookmarkStart w:id="112" w:name="_Toc000007"/>
      <w:r>
        <w:rPr/>
        <w:t>2. Data</w:t>
      </w:r>
      <w:bookmarkEnd w:id="112"/>
      <w:bookmarkEnd w:id="113"/>
    </w:p>
    <w:p>
      <w:pPr>
        <w:pStyle w:val="Heading3"/>
        <w:numPr>
          <w:ilvl w:val="0"/>
          <w:numId w:val="0"/>
        </w:numPr>
        <w:bidi w:val="0"/>
        <w:spacing w:before="140" w:after="120"/>
        <w:jc w:val="left"/>
        <w:rPr/>
      </w:pPr>
      <w:bookmarkStart w:id="115" w:name="sec_2_1"/>
      <w:bookmarkStart w:id="114" w:name="_Toc000008"/>
      <w:r>
        <w:rPr/>
        <w:t>2.1 What the challenge supplies, and what it withholds</w:t>
      </w:r>
      <w:bookmarkEnd w:id="114"/>
      <w:bookmarkEnd w:id="115"/>
    </w:p>
    <w:p>
      <w:pPr>
        <w:pStyle w:val="BodyText"/>
        <w:bidi w:val="0"/>
        <w:spacing w:lineRule="auto" w:line="276" w:before="0" w:after="140"/>
        <w:jc w:val="left"/>
        <w:rPr/>
      </w:pPr>
      <w:r>
        <w:rPr/>
        <w:t xml:space="preserve">The challenge scores ten airports, the ten its data page lists, not the eleven that this work's code and data deposit carry. The eleventh, Antalya (LTAI), has no rows in the challenge data and is not scored. January 2026 is a census of all ten, 152,719 departures, and July 2026 of all ten, 192,122: 344,841 rows to predict. The twelve training files cover 2025. July 2026 is also read at Frankfurt, Heathrow and Schiphol alone, as a second July reading, </w:t>
      </w:r>
      <w:r>
        <w:rPr>
          <w:rStyle w:val="Emphasis"/>
        </w:rPr>
        <w:t>the three</w:t>
      </w:r>
      <w:r>
        <w:rPr/>
        <w:t xml:space="preserve">, which the validation design of </w:t>
      </w:r>
      <w:hyperlink w:anchor="sec_7_1" w:history="1">
        <w:r>
          <w:rPr>
            <w:rStyle w:val="InternalRef"/>
          </w:rPr>
          <w:t xml:space="preserve">§7.1</w:t>
        </w:r>
      </w:hyperlink>
      <w:r>
        <w:rPr/>
        <w:t xml:space="preserve"> reads on its own. The ranking file of 2 September held July 2026 at those three airports only; the organizers' re-issue of 4 September added the other seven, and the validation design kept the three because it had been fixed to read them on their own. The ranking set blanks </w:t>
      </w:r>
      <w:r>
        <w:rPr>
          <w:rStyle w:val="SourceText"/>
        </w:rPr>
        <w:t>BLOCK_TIME_UTC_mvt</w:t>
      </w:r>
      <w:r>
        <w:rPr/>
        <w:t xml:space="preserve"> for </w:t>
      </w:r>
      <w:r>
        <w:rPr>
          <w:rStyle w:val="Emphasis"/>
        </w:rPr>
        <w:t>every</w:t>
      </w:r>
      <w:r>
        <w:rPr/>
        <w:t xml:space="preserve"> departure, not only the one being predicted, which rules out any feature counting other departures' pushbacks. </w:t>
      </w:r>
      <w:r>
        <w:rPr>
          <w:rStyle w:val="SourceText"/>
        </w:rPr>
        <w:t>AOBT_3_flt</w:t>
      </w:r>
      <w:r>
        <w:rPr/>
        <w:t xml:space="preserve">, which the data page defines as the Actual Off-Block Time (AOBT) for the flown (M3) trajectory, the Network Manager's recorded off-block time, is not blanked; the base configuration left it out although the ranking set exposes it, and the feature group of </w:t>
      </w:r>
      <w:hyperlink w:anchor="sec_8_7_3" w:history="1">
        <w:r>
          <w:rPr>
            <w:rStyle w:val="InternalRef"/>
          </w:rPr>
          <w:t xml:space="preserve">§8.7.3</w:t>
        </w:r>
      </w:hyperlink>
      <w:r>
        <w:rPr/>
        <w:t xml:space="preserve"> admitted it (</w:t>
      </w:r>
      <w:hyperlink w:anchor="sec_6_3" w:history="1">
        <w:r>
          <w:rPr>
            <w:rStyle w:val="InternalRef"/>
          </w:rPr>
          <w:t xml:space="preserve">§6.3</w:t>
        </w:r>
      </w:hyperlink>
      <w:r>
        <w:rPr/>
        <w:t xml:space="preserve">, </w:t>
      </w:r>
      <w:hyperlink w:anchor="sec_8_7" w:history="1">
        <w:r>
          <w:rPr>
            <w:rStyle w:val="InternalRef"/>
          </w:rPr>
          <w:t xml:space="preserve">§8.7</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sz w:val="18"/>
          <w:szCs w:val="18"/>
        </w:rPr>
        <w:t>reports/ranking-refresh-2026-09-28.md</w:t>
      </w:r>
      <w:r>
        <w:rPr/>
        <w:t xml:space="preserve">, a dated record, </w:t>
      </w:r>
      <w:r>
        <w:rPr>
          <w:rStyle w:val="Emphasis"/>
        </w:rPr>
        <w:t>July 2026 gained seven airports</w:t>
      </w:r>
      <w:r>
        <w:rPr/>
        <w:t xml:space="preserve">; </w:t>
      </w:r>
      <w:r>
        <w:rPr>
          <w:rStyle w:val="SourceText"/>
          <w:sz w:val="18"/>
          <w:szCs w:val="18"/>
        </w:rPr>
        <w:t>docs/modelling_notes.md</w:t>
      </w:r>
      <w:r>
        <w:rPr/>
        <w:t xml:space="preserve">, </w:t>
      </w:r>
      <w:r>
        <w:rPr>
          <w:rStyle w:val="Emphasis"/>
        </w:rPr>
        <w:t>What the challenge data turned out to contain</w:t>
      </w:r>
      <w:r>
        <w:rPr/>
        <w:t>.</w:t>
      </w:r>
    </w:p>
    <w:p>
      <w:pPr>
        <w:pStyle w:val="Heading3"/>
        <w:numPr>
          <w:ilvl w:val="0"/>
          <w:numId w:val="0"/>
        </w:numPr>
        <w:bidi w:val="0"/>
        <w:spacing w:before="140" w:after="120"/>
        <w:jc w:val="left"/>
        <w:rPr/>
      </w:pPr>
      <w:bookmarkStart w:id="117" w:name="sec_2_2"/>
      <w:bookmarkStart w:id="116" w:name="_Toc000009"/>
      <w:r>
        <w:rPr/>
        <w:t>2.2 External data, and the license position</w:t>
      </w:r>
      <w:bookmarkEnd w:id="116"/>
      <w:bookmarkEnd w:id="117"/>
    </w:p>
    <w:p>
      <w:pPr>
        <w:pStyle w:val="BodyText"/>
        <w:bidi w:val="0"/>
        <w:spacing w:lineRule="auto" w:line="276" w:before="0" w:after="140"/>
        <w:jc w:val="left"/>
        <w:rPr/>
      </w:pPr>
      <w:r>
        <w:rPr/>
        <w:t xml:space="preserve">OpenStreetMap (data (c) OpenStreetMap contributors, ODbL 1.0; OpenStreetMap contributors, n.d.), OurAirports (public domain; OurAirports, n.d.), Iowa Environmental Mesonet METAR (public domain; Iowa State University, n.d.), and, for the ground-movement correction of </w:t>
      </w:r>
      <w:hyperlink w:anchor="sec_8_7" w:history="1">
        <w:r>
          <w:rPr>
            <w:rStyle w:val="InternalRef"/>
          </w:rPr>
          <w:t xml:space="preserve">§8.7</w:t>
        </w:r>
      </w:hyperlink>
      <w:r>
        <w:rPr/>
        <w:t xml:space="preserve"> alone, the adsb.lol globe history (ODbL 1.0; adsb.lol, n.d.). Each is openly licensed, documented, and re-fetchable by a scripted, cached client. The prize rules (EUROCONTROL Performance Review Commission, n.d.) set two conditions on data: every external dataset used must be "openly accessible/usable and documented", and every additional dataset must be "openly available under an open source license". This entry reads the second as governing the datasets it adds, which the deposit carries under ODbL (</w:t>
      </w:r>
      <w:hyperlink w:anchor="sec_2_3" w:history="1">
        <w:r>
          <w:rPr>
            <w:rStyle w:val="InternalRef"/>
          </w:rPr>
          <w:t xml:space="preserve">§2.3</w:t>
        </w:r>
      </w:hyperlink>
      <w:r>
        <w:rPr/>
        <w:t xml:space="preserve">), and a dataset a reader cannot re-fetch fails the reproduction clause. The ground-movement correction also reads EUROCONTROL's OPDI flight events (EUROCONTROL, n.d.), an external dataset under the first condition: EUROCONTROL publishes it openly, it is documented here, and the organizers confirmed that it is open to the challenge. Its site states no data license, so no OPDI file, and no table built from one, is tracked or deposited; the events are fetched again with a scripted client like the others. EUROCONTROL's daily ATFM (Air Traffic Flow Management) delay by airport and cause was considered and not used: its portal's notice permits non-commercial copying and forbids modification without prior written permission, which this entry read as failing the first condition for a dataset that features are built from, and the organizers were not asked about it. OpenSky (Schäfer et al., 2014) historical surface tracks were considered and ruled out for the model, because research-use access is not an open license. OpenSky's ten published scientific datasets were reviewed against the same license test plus two more: 2025 ground coverage at the ten airports, and a mechanism the exposed fields lack. None passes all three, and the README records each verdict.</w:t>
      </w:r>
    </w:p>
    <w:p>
      <w:pPr>
        <w:pStyle w:val="SourceNote"/>
        <w:bidi w:val="0"/>
        <w:spacing w:lineRule="auto" w:line="252" w:before="0" w:after="200"/>
        <w:jc w:val="left"/>
        <w:rPr/>
      </w:pPr>
      <w:r>
        <w:rPr/>
        <w:t xml:space="preserve">Source: </w:t>
      </w:r>
      <w:r>
        <w:rPr>
          <w:rStyle w:val="SourceText"/>
          <w:sz w:val="18"/>
          <w:szCs w:val="18"/>
        </w:rPr>
        <w:t>docs/prior_art.md</w:t>
      </w:r>
      <w:r>
        <w:rPr/>
        <w:t xml:space="preserve">, </w:t>
      </w:r>
      <w:r>
        <w:rPr>
          <w:rStyle w:val="Emphasis"/>
        </w:rPr>
        <w:t>External data: license positions</w:t>
      </w:r>
      <w:r>
        <w:rPr/>
        <w:t>; README.</w:t>
      </w:r>
    </w:p>
    <w:p>
      <w:pPr>
        <w:pStyle w:val="Heading3"/>
        <w:numPr>
          <w:ilvl w:val="0"/>
          <w:numId w:val="0"/>
        </w:numPr>
        <w:bidi w:val="0"/>
        <w:spacing w:before="140" w:after="120"/>
        <w:jc w:val="left"/>
        <w:rPr/>
      </w:pPr>
      <w:bookmarkStart w:id="119" w:name="sec_2_3"/>
      <w:bookmarkStart w:id="118" w:name="_Toc000010"/>
      <w:r>
        <w:rPr/>
        <w:t>2.3 Reproducibility and the ODbL boundary</w:t>
      </w:r>
      <w:bookmarkEnd w:id="118"/>
      <w:bookmarkEnd w:id="119"/>
    </w:p>
    <w:p>
      <w:pPr>
        <w:pStyle w:val="BodyText"/>
        <w:bidi w:val="0"/>
        <w:spacing w:lineRule="auto" w:line="276" w:before="0" w:after="140"/>
        <w:jc w:val="left"/>
        <w:rPr/>
      </w:pPr>
      <w:r>
        <w:rPr/>
        <w:t xml:space="preserve">The repository ships under GPLv3 in its entirety. The distance matrices it generates are a Derivative Database of OSM and carry ODbL, so they are regenerated rather than committed. The Zenodo deposit </w:t>
      </w:r>
      <w:hyperlink r:id="rId5">
        <w:r>
          <w:rPr>
            <w:rStyle w:val="Hyperlink"/>
          </w:rPr>
          <w:t>10.5281/zenodo.23133051</w:t>
        </w:r>
      </w:hyperlink>
      <w:r>
        <w:rPr/>
        <w:t xml:space="preserve"> carries them under ODbL, with the eleven Overpass (Olbricht, n.d.) answers they derive from. Beside them it holds the two public-domain inputs this work read and a later fetch would not return, the METAR observations and the OurAirports tables, and, also under ODbL, the adsb.lol event tables the ground-movement correction reads. The reports are Produced Works and carry the figures. </w:t>
      </w:r>
      <w:r>
        <w:rPr>
          <w:rStyle w:val="SourceText"/>
        </w:rPr>
        <w:t>make licence-check</w:t>
      </w:r>
      <w:r>
        <w:rPr/>
        <w:t xml:space="preserve"> enforces the boundary, including that no literal stand identifier from either source appears in prose.</w:t>
      </w:r>
    </w:p>
    <w:p>
      <w:pPr>
        <w:pStyle w:val="SourceNote"/>
        <w:bidi w:val="0"/>
        <w:spacing w:lineRule="auto" w:line="252" w:before="0" w:after="200"/>
        <w:jc w:val="left"/>
        <w:rPr/>
      </w:pPr>
      <w:r>
        <w:rPr/>
        <w:t xml:space="preserve">Source: </w:t>
      </w:r>
      <w:r>
        <w:rPr>
          <w:rStyle w:val="SourceText"/>
          <w:sz w:val="18"/>
          <w:szCs w:val="18"/>
        </w:rPr>
        <w:t>data/processed/taxi_distance/ODbL-NOTICE.md</w:t>
      </w:r>
      <w:r>
        <w:rPr/>
        <w:t xml:space="preserve">; README, </w:t>
      </w:r>
      <w:r>
        <w:rPr>
          <w:rStyle w:val="Emphasis"/>
        </w:rPr>
        <w:t>Data sources</w:t>
      </w:r>
      <w:r>
        <w:rPr/>
        <w:t>.</w:t>
      </w:r>
    </w:p>
    <w:p>
      <w:pPr>
        <w:pStyle w:val="Heading2"/>
        <w:numPr>
          <w:ilvl w:val="0"/>
          <w:numId w:val="0"/>
        </w:numPr>
        <w:bidi w:val="0"/>
        <w:spacing w:before="200" w:after="120"/>
        <w:jc w:val="left"/>
        <w:rPr/>
      </w:pPr>
      <w:bookmarkStart w:id="121" w:name="sec_3"/>
      <w:bookmarkStart w:id="120" w:name="_Toc000011"/>
      <w:r>
        <w:rPr/>
        <w:t>3. Method</w:t>
      </w:r>
      <w:bookmarkEnd w:id="120"/>
      <w:bookmarkEnd w:id="121"/>
    </w:p>
    <w:p>
      <w:pPr>
        <w:pStyle w:val="BodyText"/>
        <w:bidi w:val="0"/>
        <w:spacing w:lineRule="auto" w:line="276" w:before="0" w:after="140"/>
        <w:jc w:val="left"/>
        <w:rPr/>
      </w:pPr>
      <w:r>
        <w:rPr/>
        <w:t xml:space="preserve">This section states the whole method in one place and in order, so that a reader can see what a prediction is a function of before the sections that argue for each part. Nothing in it is new to the paper; </w:t>
      </w:r>
      <w:hyperlink w:anchor="sec_4" w:history="1">
        <w:r>
          <w:rPr>
            <w:rStyle w:val="InternalRef"/>
          </w:rPr>
          <w:t xml:space="preserve">§4</w:t>
        </w:r>
      </w:hyperlink>
      <w:r>
        <w:rPr/>
        <w:t xml:space="preserve"> to </w:t>
      </w:r>
      <w:hyperlink w:anchor="sec_7" w:history="1">
        <w:r>
          <w:rPr>
            <w:rStyle w:val="InternalRef"/>
          </w:rPr>
          <w:t xml:space="preserve">§7</w:t>
        </w:r>
      </w:hyperlink>
      <w:r>
        <w:rPr/>
        <w:t xml:space="preserve"> carry the measurements and the reasons.</w:t>
      </w:r>
    </w:p>
    <w:p>
      <w:pPr>
        <w:pStyle w:val="Heading3"/>
        <w:numPr>
          <w:ilvl w:val="0"/>
          <w:numId w:val="0"/>
        </w:numPr>
        <w:bidi w:val="0"/>
        <w:spacing w:before="140" w:after="120"/>
        <w:jc w:val="left"/>
        <w:rPr/>
      </w:pPr>
      <w:bookmarkStart w:id="123" w:name="sec_3_1"/>
      <w:bookmarkStart w:id="122" w:name="_Toc000012"/>
      <w:r>
        <w:rPr/>
        <w:t>3.1 The decomposition, and the pipeline in order</w:t>
      </w:r>
      <w:bookmarkEnd w:id="122"/>
      <w:bookmarkEnd w:id="123"/>
    </w:p>
    <w:p>
      <w:pPr>
        <w:pStyle w:val="PreformattedText"/>
        <w:bidi w:val="0"/>
        <w:spacing w:before="0" w:after="283"/>
        <w:jc w:val="left"/>
        <w:rPr/>
      </w:pPr>
      <w:r>
        <w:rPr>
          <w:rStyle w:val="SourceText"/>
        </w:rPr>
        <w:t>taxi-out = unimpeded(geometry) + excess(congestion, regime) + record-quality term</w:t>
      </w:r>
    </w:p>
    <w:p>
      <w:pPr>
        <w:pStyle w:val="BodyText"/>
        <w:bidi w:val="0"/>
        <w:spacing w:lineRule="auto" w:line="276" w:before="0" w:after="140"/>
        <w:jc w:val="left"/>
        <w:rPr/>
      </w:pPr>
      <w:r>
        <w:rPr/>
        <w:t xml:space="preserve">The decomposition maps onto the challenge's own framing of excess over unconstrained status. The ablation ladder is this decomposition read bottom-up: each rung adds one term, and the held-out-pair split measures the one claim that distinguishes this work. </w:t>
      </w:r>
      <w:r>
        <w:rPr>
          <w:rStyle w:val="SourceText"/>
        </w:rPr>
        <w:t>scripts/make_submission.py</w:t>
      </w:r>
      <w:r>
        <w:rPr/>
        <w:t xml:space="preserve"> produces the predictions in these steps, in this order:</w:t>
      </w:r>
    </w:p>
    <w:p>
      <w:pPr>
        <w:pStyle w:val="BodyText"/>
        <w:numPr>
          <w:ilvl w:val="0"/>
          <w:numId w:val="2"/>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w:t>
      </w:r>
      <w:hyperlink w:anchor="sec_5_1" w:history="1">
        <w:r>
          <w:rPr>
            <w:rStyle w:val="InternalRef"/>
          </w:rPr>
          <w:t xml:space="preserve">§5.1</w:t>
        </w:r>
      </w:hyperlink>
      <w:r>
        <w:rPr/>
        <w:t xml:space="preserve">), to the METAR regime of its airport-hour, to its destination's bearing and distance from OurAirports, and to the windows of other movements around it that the ranking set exposes (</w:t>
      </w:r>
      <w:hyperlink w:anchor="sec_6_1" w:history="1">
        <w:r>
          <w:rPr>
            <w:rStyle w:val="InternalRef"/>
          </w:rPr>
          <w:t xml:space="preserve">§6.1</w:t>
        </w:r>
      </w:hyperlink>
      <w:r>
        <w:rPr/>
        <w:t xml:space="preserve">). The same code builds both sides, so a feature reads nothing on the ranking side that it does not read on the training side. </w:t>
      </w:r>
    </w:p>
    <w:p>
      <w:pPr>
        <w:pStyle w:val="BodyText"/>
        <w:numPr>
          <w:ilvl w:val="0"/>
          <w:numId w:val="2"/>
        </w:numPr>
        <w:tabs>
          <w:tab w:val="clear" w:pos="709"/>
          <w:tab w:val="left" w:pos="709" w:leader="none"/>
        </w:tabs>
        <w:bidi w:val="0"/>
        <w:spacing w:before="0" w:after="0"/>
        <w:ind w:hanging="283" w:left="709"/>
        <w:jc w:val="left"/>
        <w:rPr/>
      </w:pPr>
      <w:r>
        <w:rPr>
          <w:rStyle w:val="Strong"/>
        </w:rPr>
        <w:t>The record-quality term.</w:t>
      </w:r>
      <w:r>
        <w:rPr/>
        <w:t xml:space="preserve"> It is fitted on the training rows alone. For each cell of airport, whether a flight-plan record exists, and band of schedule lag (take-off less scheduled time), it takes the share of rows whose recorded taxi-out equals that lag, kept where the cell has at least five rows and the share at least 5% (</w:t>
      </w:r>
      <w:hyperlink w:anchor="sec_4" w:history="1">
        <w:r>
          <w:rPr>
            <w:rStyle w:val="InternalRef"/>
          </w:rPr>
          <w:t xml:space="preserve">§4</w:t>
        </w:r>
      </w:hyperlink>
      <w:r>
        <w:rPr/>
        <w:t xml:space="preserve">). Its rows are taken out of every fit below and predicted by the term. </w:t>
      </w:r>
    </w:p>
    <w:p>
      <w:pPr>
        <w:pStyle w:val="BodyText"/>
        <w:numPr>
          <w:ilvl w:val="0"/>
          <w:numId w:val="2"/>
        </w:numPr>
        <w:tabs>
          <w:tab w:val="clear" w:pos="709"/>
          <w:tab w:val="left" w:pos="709" w:leader="none"/>
        </w:tabs>
        <w:bidi w:val="0"/>
        <w:spacing w:before="0" w:after="0"/>
        <w:ind w:hanging="283" w:left="709"/>
        <w:jc w:val="left"/>
        <w:rPr/>
      </w:pPr>
      <w:r>
        <w:rPr>
          <w:rStyle w:val="Strong"/>
        </w:rPr>
        <w:t>The fitting rows.</w:t>
      </w:r>
      <w:r>
        <w:rPr/>
        <w:t xml:space="preserve"> These are the training rows the term does not cover, with every recorded taxi-out over four hours left out of the fit and never out of the scoring. No aircraft taxis for four hours, so such a row is a faulty record, such as a day-shift, in a cell the term does not cover; it can be left out of the fit only, because the ranking set hides the taxi-out. Two thresholds, four hours and two, were fixed before the run. Four hours was adopted: against a fit with nothing left out, it moves the RMSE by −4.51 s on December and −3.68 s on July. Two hours failed the rule fixed with them: it moves July by +2.26 s, and Paris by +14.2 s and Fiumicino by +23.3 s on July (</w:t>
      </w:r>
      <w:r>
        <w:rPr>
          <w:rStyle w:val="SourceText"/>
        </w:rPr>
        <w:t>reports/baseline.md</w:t>
      </w:r>
      <w:r>
        <w:rPr/>
        <w:t xml:space="preserve">, </w:t>
      </w:r>
      <w:r>
        <w:rPr>
          <w:rStyle w:val="Emphasis"/>
        </w:rPr>
        <w:t>The recorded-taxi tail, out of the fit</w:t>
      </w:r>
      <w:r>
        <w:rPr/>
        <w:t xml:space="preserve">). </w:t>
      </w:r>
    </w:p>
    <w:p>
      <w:pPr>
        <w:pStyle w:val="BodyText"/>
        <w:numPr>
          <w:ilvl w:val="0"/>
          <w:numId w:val="2"/>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is computed once over the fitting rows and overlaid as a feature in place of the stand categorical (</w:t>
      </w:r>
      <w:hyperlink w:anchor="sec_7_4" w:history="1">
        <w:r>
          <w:rPr>
            <w:rStyle w:val="InternalRef"/>
          </w:rPr>
          <w:t xml:space="preserve">§7.4</w:t>
        </w:r>
      </w:hyperlink>
      <w:r>
        <w:rPr/>
        <w:t xml:space="preserve">). </w:t>
      </w:r>
    </w:p>
    <w:p>
      <w:pPr>
        <w:pStyle w:val="BodyText"/>
        <w:numPr>
          <w:ilvl w:val="0"/>
          <w:numId w:val="2"/>
        </w:numPr>
        <w:tabs>
          <w:tab w:val="clear" w:pos="709"/>
          <w:tab w:val="left" w:pos="709" w:leader="none"/>
        </w:tabs>
        <w:bidi w:val="0"/>
        <w:spacing w:before="0" w:after="0"/>
        <w:ind w:hanging="283" w:left="709"/>
        <w:jc w:val="left"/>
        <w:rPr/>
      </w:pPr>
      <w:r>
        <w:rPr>
          <w:rStyle w:val="Strong"/>
        </w:rPr>
        <w:t>The booster.</w:t>
      </w:r>
      <w:r>
        <w:rPr/>
        <w:t xml:space="preserve"> One gradient-boosted model is fitted on the fitting rows, with the feature blocks of </w:t>
      </w:r>
      <w:hyperlink w:anchor="sec_3_2" w:history="1">
        <w:r>
          <w:rPr>
            <w:rStyle w:val="InternalRef"/>
          </w:rPr>
          <w:t xml:space="preserve">§3.2</w:t>
        </w:r>
      </w:hyperlink>
      <w:r>
        <w:rPr/>
        <w:t xml:space="preserve"> and the parameters of </w:t>
      </w:r>
      <w:hyperlink w:anchor="sec_3_4" w:history="1">
        <w:r>
          <w:rPr>
            <w:rStyle w:val="InternalRef"/>
          </w:rPr>
          <w:t xml:space="preserve">§3.4</w:t>
        </w:r>
      </w:hyperlink>
      <w:r>
        <w:rPr/>
        <w:t xml:space="preserve">, five times under consecutive random seeds, and the five predictions are averaged. </w:t>
      </w:r>
    </w:p>
    <w:p>
      <w:pPr>
        <w:pStyle w:val="BodyText"/>
        <w:numPr>
          <w:ilvl w:val="0"/>
          <w:numId w:val="2"/>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2"/>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w:t>
      </w:r>
      <w:hyperlink w:anchor="sec_4" w:history="1">
        <w:r>
          <w:rPr>
            <w:rStyle w:val="InternalRef"/>
          </w:rPr>
          <w:t xml:space="preserve">§4</w:t>
        </w:r>
      </w:hyperlink>
      <w:r>
        <w:rPr/>
        <w:t xml:space="preserve">, </w:t>
      </w:r>
      <w:r>
        <w:rPr>
          <w:rStyle w:val="Emphasis"/>
        </w:rPr>
        <w:t>The plan-shifted departures</w:t>
      </w:r>
      <w:r>
        <w:rPr/>
        <w:t xml:space="preserve">). In the ranking set it is one row. </w:t>
      </w:r>
    </w:p>
    <w:p>
      <w:pPr>
        <w:pStyle w:val="BodyText"/>
        <w:numPr>
          <w:ilvl w:val="0"/>
          <w:numId w:val="2"/>
        </w:numPr>
        <w:tabs>
          <w:tab w:val="clear" w:pos="709"/>
          <w:tab w:val="left" w:pos="709" w:leader="none"/>
        </w:tabs>
        <w:bidi w:val="0"/>
        <w:ind w:hanging="283" w:left="709"/>
        <w:jc w:val="left"/>
        <w:rPr/>
      </w:pPr>
      <w:r>
        <w:rPr>
          <w:rStyle w:val="Strong"/>
        </w:rPr>
        <w:t>Rounding and the clip at zero</w:t>
      </w:r>
      <w:r>
        <w:rPr/>
        <w:t xml:space="preserve">, and the output written in the challenge template's own order and integer type. </w:t>
      </w:r>
    </w:p>
    <w:p>
      <w:pPr>
        <w:pStyle w:val="BodyText"/>
        <w:bidi w:val="0"/>
        <w:spacing w:lineRule="auto" w:line="276" w:before="0" w:after="140"/>
        <w:jc w:val="left"/>
        <w:rPr/>
      </w:pPr>
      <w:r>
        <w:rPr/>
        <w:t xml:space="preserve">The final model adds three things to these steps, each read in </w:t>
      </w:r>
      <w:hyperlink w:anchor="sec_8_7" w:history="1">
        <w:r>
          <w:rPr>
            <w:rStyle w:val="InternalRef"/>
          </w:rPr>
          <w:t xml:space="preserve">§8.7</w:t>
        </w:r>
      </w:hyperlink>
      <w:r>
        <w:rPr/>
        <w:t xml:space="preserve"> and </w:t>
      </w:r>
      <w:hyperlink w:anchor="sec_8_8" w:history="1">
        <w:r>
          <w:rPr>
            <w:rStyle w:val="InternalRef"/>
          </w:rPr>
          <w:t xml:space="preserve">§8.8</w:t>
        </w:r>
      </w:hyperlink>
      <w:r>
        <w:rPr/>
        <w:t xml:space="preserve">. The booster carries two further feature blocks and is blended with a second learner, a CatBoost model (Prokhorenkova et al., 2018), with the weight of the blend chosen per airport; the term's rows of step 6 are predicted row by row. A second model, the ground-movement correction, reads adsb.lol and OPDI ground events and replaces the prediction on the rows those sources cover, at the airports where it helped out of fold. And a clip to the window within which a recorded off-block time lay from its flight plan's in 2025 is applied last, after every other step. </w:t>
      </w:r>
      <w:r>
        <w:rPr>
          <w:rStyle w:val="SourceText"/>
        </w:rPr>
        <w:t>taxiout.models</w:t>
      </w:r>
      <w:r>
        <w:rPr/>
        <w:t xml:space="preserve"> records the basis of each.</w:t>
      </w:r>
    </w:p>
    <w:p>
      <w:pPr>
        <w:pStyle w:val="SourceNote"/>
        <w:bidi w:val="0"/>
        <w:spacing w:lineRule="auto" w:line="252" w:before="0" w:after="200"/>
        <w:jc w:val="left"/>
        <w:rPr/>
      </w:pPr>
      <w:r>
        <w:rPr/>
        <w:t xml:space="preserve">Sources: </w:t>
      </w:r>
      <w:r>
        <w:rPr>
          <w:rStyle w:val="SourceText"/>
          <w:sz w:val="18"/>
          <w:szCs w:val="18"/>
        </w:rPr>
        <w:t>docs/modelling_notes.md</w:t>
      </w:r>
      <w:r>
        <w:rPr/>
        <w:t xml:space="preserve">, </w:t>
      </w:r>
      <w:r>
        <w:rPr>
          <w:rStyle w:val="Emphasis"/>
        </w:rPr>
        <w:t>The model, stated as a decomposition</w:t>
      </w:r>
      <w:r>
        <w:rPr/>
        <w:t xml:space="preserve">; </w:t>
      </w:r>
      <w:r>
        <w:rPr>
          <w:rStyle w:val="SourceText"/>
          <w:sz w:val="18"/>
          <w:szCs w:val="18"/>
        </w:rPr>
        <w:t>reports/tails.md</w:t>
      </w:r>
      <w:r>
        <w:rPr/>
        <w:t xml:space="preserve">, </w:t>
      </w:r>
      <w:r>
        <w:rPr>
          <w:rStyle w:val="Emphasis"/>
        </w:rPr>
        <w:t>The cells</w:t>
      </w:r>
      <w:r>
        <w:rPr/>
        <w:t xml:space="preserve"> and </w:t>
      </w:r>
      <w:r>
        <w:rPr>
          <w:rStyle w:val="Emphasis"/>
        </w:rPr>
        <w:t>The prediction</w:t>
      </w:r>
      <w:r>
        <w:rPr/>
        <w:t xml:space="preserve">; </w:t>
      </w:r>
      <w:r>
        <w:rPr>
          <w:rStyle w:val="SourceText"/>
          <w:sz w:val="18"/>
          <w:szCs w:val="18"/>
        </w:rPr>
        <w:t>reports/baseline.md</w:t>
      </w:r>
      <w:r>
        <w:rPr/>
        <w:t xml:space="preserve">, </w:t>
      </w:r>
      <w:r>
        <w:rPr>
          <w:rStyle w:val="Emphasis"/>
        </w:rPr>
        <w:t>The recorded-taxi tail, out of the fit</w:t>
      </w:r>
      <w:r>
        <w:rPr/>
        <w:t xml:space="preserve">; </w:t>
      </w:r>
      <w:r>
        <w:rPr>
          <w:rStyle w:val="SourceText"/>
          <w:sz w:val="18"/>
          <w:szCs w:val="18"/>
        </w:rPr>
        <w:t>src/taxiout/models.py</w:t>
      </w:r>
      <w:r>
        <w:rPr/>
        <w:t xml:space="preserve">, </w:t>
      </w:r>
      <w:r>
        <w:rPr>
          <w:rStyle w:val="SourceText"/>
          <w:sz w:val="18"/>
          <w:szCs w:val="18"/>
        </w:rPr>
        <w:t>fit_rows</w:t>
      </w:r>
      <w:r>
        <w:rPr/>
        <w:t xml:space="preserve">; </w:t>
      </w:r>
      <w:r>
        <w:rPr>
          <w:rStyle w:val="SourceText"/>
          <w:sz w:val="18"/>
          <w:szCs w:val="18"/>
        </w:rPr>
        <w:t>scripts/make_submission.py</w:t>
      </w:r>
      <w:r>
        <w:rPr/>
        <w:t>.</w:t>
      </w:r>
    </w:p>
    <w:p>
      <w:pPr>
        <w:pStyle w:val="Heading3"/>
        <w:numPr>
          <w:ilvl w:val="0"/>
          <w:numId w:val="0"/>
        </w:numPr>
        <w:bidi w:val="0"/>
        <w:spacing w:before="140" w:after="120"/>
        <w:jc w:val="left"/>
        <w:rPr/>
      </w:pPr>
      <w:bookmarkStart w:id="125" w:name="sec_3_2"/>
      <w:bookmarkStart w:id="124" w:name="_Toc000013"/>
      <w:r>
        <w:rPr/>
        <w:t>3.2 What the model reads</w:t>
      </w:r>
      <w:bookmarkEnd w:id="124"/>
      <w:bookmarkEnd w:id="125"/>
    </w:p>
    <w:p>
      <w:pPr>
        <w:pStyle w:val="BodyText"/>
        <w:bidi w:val="0"/>
        <w:spacing w:lineRule="auto" w:line="276" w:before="0" w:after="140"/>
        <w:jc w:val="left"/>
        <w:rPr/>
      </w:pPr>
      <w:r>
        <w:rPr/>
        <w:t xml:space="preserve">The table lists 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what the rule of </w:t>
      </w:r>
      <w:hyperlink w:anchor="sec_6_1" w:history="1">
        <w:r>
          <w:rPr>
            <w:rStyle w:val="InternalRef"/>
          </w:rPr>
          <w:t xml:space="preserve">§6.1</w:t>
        </w:r>
      </w:hyperlink>
      <w:r>
        <w:rPr/>
        <w:t xml:space="preserve"> governs (a feature may read what the ranking set exposes for the rows it reads from).</w:t>
      </w:r>
    </w:p>
    <w:tbl>
      <w:tblPr>
        <w:tblW w:w="9972" w:type="dxa"/>
        <w:jc w:val="left"/>
        <w:tblInd w:w="58" w:type="dxa"/>
        <w:tblLayout w:type="fixed"/>
        <w:tblCellMar>
          <w:top w:w="36" w:type="dxa"/>
          <w:left w:w="58" w:type="dxa"/>
          <w:bottom w:w="36" w:type="dxa"/>
          <w:right w:w="58" w:type="dxa"/>
        </w:tblCellMar>
      </w:tblPr>
      <w:tblGrid>
        <w:gridCol w:w="2149"/>
        <w:gridCol w:w="1866"/>
        <w:gridCol w:w="3118"/>
        <w:gridCol w:w="2839"/>
      </w:tblGrid>
      <w:tr>
        <w:trPr>
          <w:tblHeader w:val="true"/>
          <w:cantSplit/>
        </w:trPr>
        <w:tc>
          <w:tcPr>
            <w:tcW w:w="214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block</w:t>
            </w:r>
          </w:p>
        </w:tc>
        <w:tc>
          <w:tcPr>
            <w:tcW w:w="1866"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rung key</w:t>
            </w:r>
          </w:p>
        </w:tc>
        <w:tc>
          <w:tcPr>
            <w:tcW w:w="3118"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it reads</w:t>
            </w:r>
          </w:p>
        </w:tc>
        <w:tc>
          <w:tcPr>
            <w:tcW w:w="283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from</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identifiers + time</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identifiers</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airport, stand, runway, pair; the clock and the calendar of the take-off</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the departure's own exposed fields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geometry</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identifiers-geometry</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routed stand-to-runway distance, turn angle, junction-free running and backtrack, and the quality flags of the route</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OpenStreetMap, routed per airport (</w:t>
            </w:r>
            <w:hyperlink w:anchor="sec_5" w:history="1">
              <w:r>
                <w:rPr>
                  <w:rStyle w:val="InternalRef"/>
                  <w:sz w:val="17"/>
                  <w:szCs w:val="17"/>
                </w:rPr>
                <w:t xml:space="preserve">§5</w:t>
              </w:r>
            </w:hyperlink>
            <w:r>
              <w:rPr>
                <w:sz w:val="17"/>
                <w:szCs w:val="17"/>
              </w:rPr>
              <w:t xml:space="preserve">)</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aircraft</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identifiers-geometry-aircraft</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wake class and aircraft type</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the departure's own exposed fields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plan lags</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plan-lags</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take-off against the plan's off-block estimates and the schedule</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the Network Manager record, exposed</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runway throughput</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throughput</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movements on the subject's runway in windows around its take-off</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other movements' exposed take-off and landing times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arrivals</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arrivals</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arrivals in the windows, their taxi-in and lateness</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arrivals' exposed on-block times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demand</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demand</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departures scheduled and planned in the windows</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other departures' exposed plans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configuration</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configuration</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runways in use around the take-off</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other movements' exposed runways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shared corridor</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corridor</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other movements weighted by the share of the subject's own route they use</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the routes of </w:t>
            </w:r>
            <w:hyperlink w:anchor="sec_5" w:history="1">
              <w:r>
                <w:rPr>
                  <w:rStyle w:val="InternalRef"/>
                  <w:sz w:val="17"/>
                  <w:szCs w:val="17"/>
                </w:rPr>
                <w:t xml:space="preserve">§5</w:t>
              </w:r>
            </w:hyperlink>
            <w:r>
              <w:rPr>
                <w:sz w:val="17"/>
                <w:szCs w:val="17"/>
              </w:rPr>
              <w:t xml:space="preserve"> and other movements' exposed fields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weather</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weather</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three regime flags per airport-hour: freezing, low visibility, precipitation</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Iowa Environmental Mesonet METAR</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shrunk encoding, replacing the stand</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encoding-for-stand</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pair's training mean shrunk toward the geometry, in place of the stand categorical</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the fitting rows (</w:t>
            </w:r>
            <w:hyperlink w:anchor="sec_7_4" w:history="1">
              <w:r>
                <w:rPr>
                  <w:rStyle w:val="InternalRef"/>
                  <w:sz w:val="17"/>
                  <w:szCs w:val="17"/>
                </w:rPr>
                <w:t xml:space="preserve">§7.4</w:t>
              </w:r>
            </w:hyperlink>
            <w:r>
              <w:rPr>
                <w:sz w:val="17"/>
                <w:szCs w:val="17"/>
              </w:rPr>
              <w:t xml:space="preserve">)</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stand occupancy</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occupancy</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last arrival at the subject's stand: the gap to its on-block, its lateness and taxi-in, its type and operator; the previous departure off the stand</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arrivals' exposed fields (</w:t>
            </w:r>
            <w:hyperlink w:anchor="sec_6_5" w:history="1">
              <w:r>
                <w:rPr>
                  <w:rStyle w:val="InternalRef"/>
                  <w:sz w:val="17"/>
                  <w:szCs w:val="17"/>
                </w:rPr>
                <w:t xml:space="preserve">§6.5</w:t>
              </w:r>
            </w:hyperlink>
            <w:r>
              <w:rPr>
                <w:sz w:val="17"/>
                <w:szCs w:val="17"/>
              </w:rPr>
              <w:t xml:space="preserve">)</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callsign prefix</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callsign</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operator, read as the callsign's prefix</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the departure's own exposed fields</w:t>
            </w:r>
          </w:p>
        </w:tc>
      </w:tr>
      <w:tr>
        <w:trPr>
          <w:cantSplit/>
        </w:trPr>
        <w:tc>
          <w:tcPr>
            <w:tcW w:w="2149" w:type="dxa"/>
            <w:tcBorders>
              <w:bottom w:val="single" w:sz="2" w:space="0" w:color="BBBBBB"/>
            </w:tcBorders>
          </w:tcPr>
          <w:p>
            <w:pPr>
              <w:pStyle w:val="TableContents"/>
              <w:bidi w:val="0"/>
              <w:spacing w:lineRule="auto" w:line="240" w:before="0" w:after="0"/>
              <w:jc w:val="left"/>
              <w:rPr>
                <w:sz w:val="17"/>
                <w:szCs w:val="17"/>
              </w:rPr>
            </w:pPr>
            <w:r>
              <w:rPr>
                <w:sz w:val="17"/>
                <w:szCs w:val="17"/>
              </w:rPr>
              <w:t>destination and holidays</w:t>
            </w:r>
          </w:p>
        </w:tc>
        <w:tc>
          <w:tcPr>
            <w:tcW w:w="1866"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destination</w:t>
            </w:r>
          </w:p>
        </w:tc>
        <w:tc>
          <w:tcPr>
            <w:tcW w:w="3118" w:type="dxa"/>
            <w:tcBorders>
              <w:bottom w:val="single" w:sz="2" w:space="0" w:color="BBBBBB"/>
            </w:tcBorders>
          </w:tcPr>
          <w:p>
            <w:pPr>
              <w:pStyle w:val="TableContents"/>
              <w:bidi w:val="0"/>
              <w:spacing w:lineRule="auto" w:line="240" w:before="0" w:after="0"/>
              <w:jc w:val="left"/>
              <w:rPr>
                <w:sz w:val="17"/>
                <w:szCs w:val="17"/>
              </w:rPr>
            </w:pPr>
            <w:r>
              <w:rPr>
                <w:sz w:val="17"/>
                <w:szCs w:val="17"/>
              </w:rPr>
              <w:t>the destination's bearing and distance; the public-holiday calendar (Vacanza Team, n.d.)</w:t>
            </w:r>
          </w:p>
        </w:tc>
        <w:tc>
          <w:tcPr>
            <w:tcW w:w="2839" w:type="dxa"/>
            <w:tcBorders>
              <w:bottom w:val="single" w:sz="2" w:space="0" w:color="BBBBBB"/>
            </w:tcBorders>
          </w:tcPr>
          <w:p>
            <w:pPr>
              <w:pStyle w:val="TableContents"/>
              <w:bidi w:val="0"/>
              <w:spacing w:lineRule="auto" w:line="240" w:before="0" w:after="0"/>
              <w:jc w:val="left"/>
              <w:rPr>
                <w:sz w:val="17"/>
                <w:szCs w:val="17"/>
              </w:rPr>
            </w:pPr>
            <w:r>
              <w:rPr>
                <w:sz w:val="17"/>
                <w:szCs w:val="17"/>
              </w:rPr>
              <w:t>OurAirports; the holiday tables</w:t>
            </w:r>
          </w:p>
        </w:tc>
      </w:tr>
      <w:tr>
        <w:trPr>
          <w:cantSplit/>
        </w:trPr>
        <w:tc>
          <w:tcPr>
            <w:tcW w:w="2149" w:type="dxa"/>
            <w:tcBorders>
              <w:bottom w:val="single" w:sz="6" w:space="0" w:color="000000"/>
            </w:tcBorders>
          </w:tcPr>
          <w:p>
            <w:pPr>
              <w:pStyle w:val="TableContents"/>
              <w:bidi w:val="0"/>
              <w:spacing w:lineRule="auto" w:line="240" w:before="0" w:after="0"/>
              <w:jc w:val="left"/>
              <w:rPr>
                <w:sz w:val="17"/>
                <w:szCs w:val="17"/>
              </w:rPr>
            </w:pPr>
            <w:r>
              <w:rPr>
                <w:sz w:val="17"/>
                <w:szCs w:val="17"/>
              </w:rPr>
              <w:t>plan differences (ships)</w:t>
            </w:r>
          </w:p>
        </w:tc>
        <w:tc>
          <w:tcPr>
            <w:tcW w:w="1866" w:type="dxa"/>
            <w:tcBorders>
              <w:bottom w:val="single" w:sz="6" w:space="0" w:color="000000"/>
            </w:tcBorders>
          </w:tcPr>
          <w:p>
            <w:pPr>
              <w:pStyle w:val="TableContents"/>
              <w:bidi w:val="0"/>
              <w:spacing w:lineRule="auto" w:line="240" w:before="0" w:after="0"/>
              <w:jc w:val="left"/>
              <w:rPr>
                <w:sz w:val="17"/>
                <w:szCs w:val="17"/>
              </w:rPr>
            </w:pPr>
            <w:r>
              <w:rPr>
                <w:rStyle w:val="SourceText"/>
                <w:sz w:val="17"/>
                <w:szCs w:val="17"/>
              </w:rPr>
              <w:t>plan-diffs</w:t>
            </w:r>
          </w:p>
        </w:tc>
        <w:tc>
          <w:tcPr>
            <w:tcW w:w="3118" w:type="dxa"/>
            <w:tcBorders>
              <w:bottom w:val="single" w:sz="6" w:space="0" w:color="000000"/>
            </w:tcBorders>
          </w:tcPr>
          <w:p>
            <w:pPr>
              <w:pStyle w:val="TableContents"/>
              <w:bidi w:val="0"/>
              <w:spacing w:lineRule="auto" w:line="240" w:before="0" w:after="0"/>
              <w:jc w:val="left"/>
              <w:rPr>
                <w:sz w:val="17"/>
                <w:szCs w:val="17"/>
              </w:rPr>
            </w:pPr>
            <w:r>
              <w:rPr>
                <w:sz w:val="17"/>
                <w:szCs w:val="17"/>
              </w:rPr>
              <w:t>the plan's own off-block values against each other</w:t>
            </w:r>
          </w:p>
        </w:tc>
        <w:tc>
          <w:tcPr>
            <w:tcW w:w="2839" w:type="dxa"/>
            <w:tcBorders>
              <w:bottom w:val="single" w:sz="6" w:space="0" w:color="000000"/>
            </w:tcBorders>
          </w:tcPr>
          <w:p>
            <w:pPr>
              <w:pStyle w:val="TableContents"/>
              <w:bidi w:val="0"/>
              <w:spacing w:lineRule="auto" w:line="240" w:before="0" w:after="0"/>
              <w:jc w:val="left"/>
              <w:rPr>
                <w:sz w:val="17"/>
                <w:szCs w:val="17"/>
              </w:rPr>
            </w:pPr>
            <w:r>
              <w:rPr>
                <w:sz w:val="17"/>
                <w:szCs w:val="17"/>
              </w:rPr>
              <w:t>the Network Manager record, exposed</w:t>
            </w:r>
          </w:p>
        </w:tc>
      </w:tr>
    </w:tbl>
    <w:p>
      <w:pPr>
        <w:pStyle w:val="BodyText"/>
        <w:bidi w:val="0"/>
        <w:spacing w:lineRule="auto" w:line="276" w:before="160" w:after="140"/>
        <w:jc w:val="left"/>
        <w:rPr/>
      </w:pPr>
      <w:r>
        <w:rPr/>
        <w:t xml:space="preserve">The ladder also carries rungs the submission is not fitted from: two reference rungs that fit no booster (the airport mean, and the unimpeded-time reference of EUROCONTROL's Performance Review Unit), the geometric unimpeded term alone and with the wake class, two further versions of the shrunk identifier encoding of </w:t>
      </w:r>
      <w:hyperlink w:anchor="sec_7_4" w:history="1">
        <w:r>
          <w:rPr>
            <w:rStyle w:val="InternalRef"/>
          </w:rPr>
          <w:t xml:space="preserve">§7.4</w:t>
        </w:r>
      </w:hyperlink>
      <w:r>
        <w:rPr/>
        <w:t xml:space="preserve">, a runway-saturation block, a schedule-anchored reading of the stand-occupancy block, and the congestion chain fitted without the plan lags. </w:t>
      </w:r>
      <w:hyperlink w:anchor="sec_7_2" w:history="1">
        <w:r>
          <w:rPr>
            <w:rStyle w:val="InternalRef"/>
          </w:rPr>
          <w:t xml:space="preserve">§7.2</w:t>
        </w:r>
      </w:hyperlink>
      <w:r>
        <w:rPr/>
        <w:t xml:space="preserve"> and </w:t>
      </w:r>
      <w:hyperlink w:anchor="annex_A" w:history="1">
        <w:r>
          <w:rPr>
            <w:rStyle w:val="InternalRef"/>
          </w:rPr>
          <w:t xml:space="preserve">Annex A</w:t>
        </w:r>
      </w:hyperlink>
      <w:r>
        <w:rPr/>
        <w:t xml:space="preserve"> read them.</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sz w:val="18"/>
          <w:szCs w:val="18"/>
        </w:rPr>
        <w:t>reports/congestion.md</w:t>
      </w:r>
      <w:r>
        <w:rPr/>
        <w:t xml:space="preserve">, </w:t>
      </w:r>
      <w:r>
        <w:rPr>
          <w:rStyle w:val="Emphasis"/>
        </w:rPr>
        <w:t>The leakage audit</w:t>
      </w:r>
      <w:r>
        <w:rPr/>
        <w:t xml:space="preserve">; </w:t>
      </w:r>
      <w:r>
        <w:rPr>
          <w:rStyle w:val="SourceText"/>
          <w:sz w:val="18"/>
          <w:szCs w:val="18"/>
        </w:rPr>
        <w:t>src/taxiout/models.py</w:t>
      </w:r>
      <w:r>
        <w:rPr/>
        <w:t>, the rung table.</w:t>
      </w:r>
    </w:p>
    <w:p>
      <w:pPr>
        <w:pStyle w:val="Heading3"/>
        <w:numPr>
          <w:ilvl w:val="0"/>
          <w:numId w:val="0"/>
        </w:numPr>
        <w:bidi w:val="0"/>
        <w:spacing w:before="140" w:after="120"/>
        <w:jc w:val="left"/>
        <w:rPr/>
      </w:pPr>
      <w:bookmarkStart w:id="127" w:name="sec_3_3"/>
      <w:bookmarkStart w:id="126" w:name="_Toc000014"/>
      <w:r>
        <w:rPr/>
        <w:t>3.3 Two terms that bypass the booster</w:t>
      </w:r>
      <w:bookmarkEnd w:id="126"/>
      <w:bookmarkEnd w:id="127"/>
    </w:p>
    <w:p>
      <w:pPr>
        <w:pStyle w:val="BodyText"/>
        <w:bidi w:val="0"/>
        <w:spacing w:lineRule="auto" w:line="276" w:before="0" w:after="140"/>
        <w:jc w:val="left"/>
        <w:rPr/>
      </w:pPr>
      <w:r>
        <w:rPr/>
        <w:t xml:space="preserve">The record-quality term and the plan-shift rule are rules, not fitted models: each has the form </w:t>
      </w:r>
      <w:r>
        <w:rPr>
          <w:rStyle w:val="SourceText"/>
        </w:rPr>
        <w:t>share × lag + (1 − share) × rest_mean</w:t>
      </w:r>
      <w:r>
        <w:rPr/>
        <w:t xml:space="preserve">, where the lag is a planning value the ranking set exposes and the rest mean is an ordinary taxi-out: for the term, the cell's mean over its rows that were not defaulted, and for the plan-shift rule, the airport's mean over departures with a record and a taxi-out of four hours or less. The term reaches 383 of the 344,841 ranking rows, all at one airport; the plan-shift rule reaches one. </w:t>
      </w:r>
      <w:hyperlink w:anchor="sec_4" w:history="1">
        <w:r>
          <w:rPr>
            <w:rStyle w:val="InternalRef"/>
          </w:rPr>
          <w:t xml:space="preserve">§4</w:t>
        </w:r>
      </w:hyperlink>
      <w:r>
        <w:rPr/>
        <w:t xml:space="preserve"> gives the mechanism, the evidence and the basis of adoption for each. </w:t>
      </w:r>
      <w:hyperlink w:anchor="sec_8" w:history="1">
        <w:r>
          <w:rPr>
            <w:rStyle w:val="InternalRef"/>
          </w:rPr>
          <w:t xml:space="preserve">§8</w:t>
        </w:r>
      </w:hyperlink>
      <w:r>
        <w:rPr/>
        <w:t xml:space="preserve"> reports every pooled figure with and without the rows they cover, so that a reader who disagrees with either rule can subtract it.</w:t>
      </w:r>
    </w:p>
    <w:p>
      <w:pPr>
        <w:pStyle w:val="SourceNote"/>
        <w:bidi w:val="0"/>
        <w:spacing w:lineRule="auto" w:line="252" w:before="0" w:after="200"/>
        <w:jc w:val="left"/>
        <w:rPr/>
      </w:pPr>
      <w:r>
        <w:rPr/>
        <w:t xml:space="preserve">Sources: </w:t>
      </w:r>
      <w:r>
        <w:rPr>
          <w:rStyle w:val="SourceText"/>
          <w:sz w:val="18"/>
          <w:szCs w:val="18"/>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numPr>
          <w:ilvl w:val="0"/>
          <w:numId w:val="0"/>
        </w:numPr>
        <w:bidi w:val="0"/>
        <w:spacing w:before="140" w:after="120"/>
        <w:jc w:val="left"/>
        <w:rPr/>
      </w:pPr>
      <w:bookmarkStart w:id="129" w:name="sec_3_4"/>
      <w:bookmarkStart w:id="128" w:name="_Toc000015"/>
      <w:r>
        <w:rPr/>
        <w:t>3.4 The booster, its parameters, and the seed average</w:t>
      </w:r>
      <w:bookmarkEnd w:id="128"/>
      <w:bookmarkEnd w:id="129"/>
    </w:p>
    <w:p>
      <w:pPr>
        <w:pStyle w:val="BodyText"/>
        <w:bidi w:val="0"/>
        <w:spacing w:lineRule="auto" w:line="276" w:before="0" w:after="140"/>
        <w:jc w:val="left"/>
        <w:rPr/>
      </w:pPr>
      <w:r>
        <w:rPr/>
        <w:t xml:space="preserve">The booster is LightGBM (Ke et al., 2017) with </w:t>
      </w:r>
      <w:r>
        <w:rPr>
          <w:rStyle w:val="SourceText"/>
        </w:rPr>
        <w:t>objective</w:t>
      </w:r>
      <w:r>
        <w:rPr/>
        <w:t xml:space="preserve"> regression: 6,000 trees at a learning rate of 0.03, 127 leaves, a minimum child sample of 20, a column sample of 0.9 and a row sample of 0.8 per tree, and categorical splits capped at 64 thresholds with a smoothing of 20.0. It uses no early stopping, since stopping on the set being reported is tuning on it. It runs in LightGBM's deterministic mode with column-wise histograms at eight threads, so that a fit repeats to the bit (</w:t>
      </w:r>
      <w:hyperlink w:anchor="sec_10" w:history="1">
        <w:r>
          <w:rPr>
            <w:rStyle w:val="InternalRef"/>
          </w:rPr>
          <w:t xml:space="preserve">§10</w:t>
        </w:r>
      </w:hyperlink>
      <w:r>
        <w:rPr/>
        <w:t xml:space="preserve">). The four parameters that were searched were tuned on October 2025, a month no rung of the ladder scores, under a rule fixed before the search. When the best setting fell on the edge of the searched grid, the grid was widened after that result was seen; </w:t>
      </w:r>
      <w:hyperlink w:anchor="sec_7_1_2" w:history="1">
        <w:r>
          <w:rPr>
            <w:rStyle w:val="InternalRef"/>
          </w:rPr>
          <w:t xml:space="preserve">§7.1.2</w:t>
        </w:r>
      </w:hyperlink>
      <w:r>
        <w:rPr/>
        <w:t xml:space="preserve"> gives the account. The base configuration is the rung </w:t>
      </w:r>
      <w:r>
        <w:rPr>
          <w:rStyle w:val="SourceText"/>
        </w:rPr>
        <w:t>+ plan differences</w:t>
      </w:r>
      <w:r>
        <w:rPr/>
        <w:t xml:space="preserve"> fitted five times under consecutive seeds and averaged, adopted under a rule that compares its gain with the seed floor (</w:t>
      </w:r>
      <w:hyperlink w:anchor="sec_7_1_2" w:history="1">
        <w:r>
          <w:rPr>
            <w:rStyle w:val="InternalRef"/>
          </w:rPr>
          <w:t xml:space="preserve">§7.1.2</w:t>
        </w:r>
      </w:hyperlink>
      <w:r>
        <w:rPr/>
        <w:t xml:space="preserve">). On the December forward split the average lowers the error by 1.11 s against the single seed the ladder uses, where the seed floor is 0.23; on July it lowers it by 1.46 s against a floor of 0.54.</w:t>
      </w:r>
    </w:p>
    <w:p>
      <w:pPr>
        <w:pStyle w:val="SourceNote"/>
        <w:bidi w:val="0"/>
        <w:spacing w:lineRule="auto" w:line="252" w:before="0" w:after="200"/>
        <w:jc w:val="left"/>
        <w:rPr/>
      </w:pPr>
      <w:r>
        <w:rPr/>
        <w:t xml:space="preserve">Sources: </w:t>
      </w:r>
      <w:r>
        <w:rPr>
          <w:rStyle w:val="SourceText"/>
          <w:sz w:val="18"/>
          <w:szCs w:val="18"/>
        </w:rPr>
        <w:t>src/taxiout/models.py</w:t>
      </w:r>
      <w:r>
        <w:rPr/>
        <w:t xml:space="preserve">, </w:t>
      </w:r>
      <w:r>
        <w:rPr>
          <w:rStyle w:val="SourceText"/>
          <w:sz w:val="18"/>
          <w:szCs w:val="18"/>
        </w:rPr>
        <w:t>BOOSTER_PARAMS</w:t>
      </w:r>
      <w:r>
        <w:rPr/>
        <w:t xml:space="preserve">, </w:t>
      </w:r>
      <w:r>
        <w:rPr>
          <w:rStyle w:val="SourceText"/>
          <w:sz w:val="18"/>
          <w:szCs w:val="18"/>
        </w:rPr>
        <w:t>BAGGING_SEEDS</w:t>
      </w:r>
      <w:r>
        <w:rPr/>
        <w:t xml:space="preserve"> and </w:t>
      </w:r>
      <w:r>
        <w:rPr>
          <w:rStyle w:val="SourceText"/>
          <w:sz w:val="18"/>
          <w:szCs w:val="18"/>
        </w:rPr>
        <w:t>SEED_AVERAGE_ADOPTED</w:t>
      </w:r>
      <w:r>
        <w:rPr/>
        <w:t xml:space="preserve">; </w:t>
      </w:r>
      <w:r>
        <w:rPr>
          <w:rStyle w:val="SourceText"/>
          <w:sz w:val="18"/>
          <w:szCs w:val="18"/>
        </w:rPr>
        <w:t>reports/baseline.md</w:t>
      </w:r>
      <w:r>
        <w:rPr/>
        <w:t xml:space="preserve">, </w:t>
      </w:r>
      <w:r>
        <w:rPr>
          <w:rStyle w:val="Emphasis"/>
        </w:rPr>
        <w:t>What is fitted, and on what</w:t>
      </w:r>
      <w:r>
        <w:rPr/>
        <w:t xml:space="preserve"> and </w:t>
      </w:r>
      <w:r>
        <w:rPr>
          <w:rStyle w:val="Emphasis"/>
        </w:rPr>
        <w:t>Seed averaging</w:t>
      </w:r>
      <w:r>
        <w:rPr/>
        <w:t>.</w:t>
      </w:r>
    </w:p>
    <w:p>
      <w:pPr>
        <w:pStyle w:val="Heading3"/>
        <w:numPr>
          <w:ilvl w:val="0"/>
          <w:numId w:val="0"/>
        </w:numPr>
        <w:bidi w:val="0"/>
        <w:spacing w:before="140" w:after="120"/>
        <w:jc w:val="left"/>
        <w:rPr/>
      </w:pPr>
      <w:bookmarkStart w:id="131" w:name="sec_3_5"/>
      <w:bookmarkStart w:id="130" w:name="_Toc000016"/>
      <w:r>
        <w:rPr/>
        <w:t>3.5 The validation design</w:t>
      </w:r>
      <w:bookmarkEnd w:id="130"/>
      <w:bookmarkEnd w:id="131"/>
    </w:p>
    <w:p>
      <w:pPr>
        <w:pStyle w:val="BodyText"/>
        <w:bidi w:val="0"/>
        <w:spacing w:lineRule="auto" w:line="276" w:before="0" w:after="140"/>
        <w:jc w:val="left"/>
        <w:rPr/>
      </w:pPr>
      <w:r>
        <w:rPr/>
        <w:t>The design has six readings: three fixed before anything was fitted, and three added later and declared as such. None is a random K-fold on rows, because congestion is autocorrelated over hours.</w:t>
      </w:r>
    </w:p>
    <w:tbl>
      <w:tblPr>
        <w:tblW w:w="9972" w:type="dxa"/>
        <w:jc w:val="left"/>
        <w:tblInd w:w="58" w:type="dxa"/>
        <w:tblLayout w:type="fixed"/>
        <w:tblCellMar>
          <w:top w:w="36" w:type="dxa"/>
          <w:left w:w="58" w:type="dxa"/>
          <w:bottom w:w="36" w:type="dxa"/>
          <w:right w:w="58" w:type="dxa"/>
        </w:tblCellMar>
      </w:tblPr>
      <w:tblGrid>
        <w:gridCol w:w="1225"/>
        <w:gridCol w:w="2445"/>
        <w:gridCol w:w="2554"/>
        <w:gridCol w:w="2554"/>
        <w:gridCol w:w="1194"/>
      </w:tblGrid>
      <w:tr>
        <w:trPr>
          <w:tblHeader w:val="true"/>
          <w:cantSplit/>
        </w:trPr>
        <w:tc>
          <w:tcPr>
            <w:tcW w:w="1225"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reading</w:t>
            </w:r>
          </w:p>
        </w:tc>
        <w:tc>
          <w:tcPr>
            <w:tcW w:w="2445"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training rows</w:t>
            </w:r>
          </w:p>
        </w:tc>
        <w:tc>
          <w:tcPr>
            <w:tcW w:w="255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scored rows</w:t>
            </w:r>
          </w:p>
        </w:tc>
        <w:tc>
          <w:tcPr>
            <w:tcW w:w="255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stands in for, or asks</w:t>
            </w:r>
          </w:p>
        </w:tc>
        <w:tc>
          <w:tcPr>
            <w:tcW w:w="119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fixed</w:t>
            </w:r>
          </w:p>
        </w:tc>
      </w:tr>
      <w:tr>
        <w:trPr>
          <w:cantSplit/>
        </w:trPr>
        <w:tc>
          <w:tcPr>
            <w:tcW w:w="1225" w:type="dxa"/>
            <w:tcBorders>
              <w:bottom w:val="single" w:sz="2" w:space="0" w:color="BBBBBB"/>
            </w:tcBorders>
          </w:tcPr>
          <w:p>
            <w:pPr>
              <w:pStyle w:val="TableContents"/>
              <w:bidi w:val="0"/>
              <w:spacing w:lineRule="auto" w:line="240" w:before="0" w:after="0"/>
              <w:jc w:val="left"/>
              <w:rPr>
                <w:sz w:val="17"/>
                <w:szCs w:val="17"/>
              </w:rPr>
            </w:pPr>
            <w:r>
              <w:rPr>
                <w:sz w:val="17"/>
                <w:szCs w:val="17"/>
              </w:rPr>
              <w:t>December forward split</w:t>
            </w:r>
          </w:p>
        </w:tc>
        <w:tc>
          <w:tcPr>
            <w:tcW w:w="2445" w:type="dxa"/>
            <w:tcBorders>
              <w:bottom w:val="single" w:sz="2" w:space="0" w:color="BBBBBB"/>
            </w:tcBorders>
          </w:tcPr>
          <w:p>
            <w:pPr>
              <w:pStyle w:val="TableContents"/>
              <w:bidi w:val="0"/>
              <w:spacing w:lineRule="auto" w:line="240" w:before="0" w:after="0"/>
              <w:jc w:val="left"/>
              <w:rPr>
                <w:sz w:val="17"/>
                <w:szCs w:val="17"/>
              </w:rPr>
            </w:pPr>
            <w:r>
              <w:rPr>
                <w:sz w:val="17"/>
                <w:szCs w:val="17"/>
              </w:rPr>
              <w:t>January to November 2025, 1,919,370</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December 2025, all ten airports, 165,677</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January 2026</w:t>
            </w:r>
          </w:p>
        </w:tc>
        <w:tc>
          <w:tcPr>
            <w:tcW w:w="1194" w:type="dxa"/>
            <w:tcBorders>
              <w:bottom w:val="single" w:sz="2" w:space="0" w:color="BBBBBB"/>
            </w:tcBorders>
          </w:tcPr>
          <w:p>
            <w:pPr>
              <w:pStyle w:val="TableContents"/>
              <w:bidi w:val="0"/>
              <w:spacing w:lineRule="auto" w:line="240" w:before="0" w:after="0"/>
              <w:jc w:val="left"/>
              <w:rPr>
                <w:sz w:val="17"/>
                <w:szCs w:val="17"/>
              </w:rPr>
            </w:pPr>
            <w:r>
              <w:rPr>
                <w:sz w:val="17"/>
                <w:szCs w:val="17"/>
              </w:rPr>
              <w:t>before any fit</w:t>
            </w:r>
          </w:p>
        </w:tc>
      </w:tr>
      <w:tr>
        <w:trPr>
          <w:cantSplit/>
        </w:trPr>
        <w:tc>
          <w:tcPr>
            <w:tcW w:w="1225" w:type="dxa"/>
            <w:tcBorders>
              <w:bottom w:val="single" w:sz="2" w:space="0" w:color="BBBBBB"/>
            </w:tcBorders>
          </w:tcPr>
          <w:p>
            <w:pPr>
              <w:pStyle w:val="TableContents"/>
              <w:bidi w:val="0"/>
              <w:spacing w:lineRule="auto" w:line="240" w:before="0" w:after="0"/>
              <w:jc w:val="left"/>
              <w:rPr>
                <w:sz w:val="17"/>
                <w:szCs w:val="17"/>
              </w:rPr>
            </w:pPr>
            <w:r>
              <w:rPr>
                <w:sz w:val="17"/>
                <w:szCs w:val="17"/>
              </w:rPr>
              <w:t>July forward split</w:t>
            </w:r>
          </w:p>
        </w:tc>
        <w:tc>
          <w:tcPr>
            <w:tcW w:w="2445" w:type="dxa"/>
            <w:tcBorders>
              <w:bottom w:val="single" w:sz="2" w:space="0" w:color="BBBBBB"/>
            </w:tcBorders>
          </w:tcPr>
          <w:p>
            <w:pPr>
              <w:pStyle w:val="TableContents"/>
              <w:bidi w:val="0"/>
              <w:spacing w:lineRule="auto" w:line="240" w:before="0" w:after="0"/>
              <w:jc w:val="left"/>
              <w:rPr>
                <w:sz w:val="17"/>
                <w:szCs w:val="17"/>
              </w:rPr>
            </w:pPr>
            <w:r>
              <w:rPr>
                <w:sz w:val="17"/>
                <w:szCs w:val="17"/>
              </w:rPr>
              <w:t>January to June 2025, 1,005,519</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July 2025, all ten, 190,713; </w:t>
            </w:r>
            <w:r>
              <w:rPr>
                <w:rStyle w:val="Emphasis"/>
                <w:sz w:val="17"/>
                <w:szCs w:val="17"/>
              </w:rPr>
              <w:t>the three</w:t>
            </w:r>
            <w:r>
              <w:rPr>
                <w:sz w:val="17"/>
                <w:szCs w:val="17"/>
              </w:rPr>
              <w:t xml:space="preserve"> (Frankfurt, Heathrow, Schiphol) read on their own as well</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July 2026</w:t>
            </w:r>
          </w:p>
        </w:tc>
        <w:tc>
          <w:tcPr>
            <w:tcW w:w="1194" w:type="dxa"/>
            <w:tcBorders>
              <w:bottom w:val="single" w:sz="2" w:space="0" w:color="BBBBBB"/>
            </w:tcBorders>
          </w:tcPr>
          <w:p>
            <w:pPr>
              <w:pStyle w:val="TableContents"/>
              <w:bidi w:val="0"/>
              <w:spacing w:lineRule="auto" w:line="240" w:before="0" w:after="0"/>
              <w:jc w:val="left"/>
              <w:rPr>
                <w:sz w:val="17"/>
                <w:szCs w:val="17"/>
              </w:rPr>
            </w:pPr>
            <w:r>
              <w:rPr>
                <w:sz w:val="17"/>
                <w:szCs w:val="17"/>
              </w:rPr>
              <w:t>before any fit</w:t>
            </w:r>
          </w:p>
        </w:tc>
      </w:tr>
      <w:tr>
        <w:trPr>
          <w:cantSplit/>
        </w:trPr>
        <w:tc>
          <w:tcPr>
            <w:tcW w:w="1225" w:type="dxa"/>
            <w:tcBorders>
              <w:bottom w:val="single" w:sz="2" w:space="0" w:color="BBBBBB"/>
            </w:tcBorders>
          </w:tcPr>
          <w:p>
            <w:pPr>
              <w:pStyle w:val="TableContents"/>
              <w:bidi w:val="0"/>
              <w:spacing w:lineRule="auto" w:line="240" w:before="0" w:after="0"/>
              <w:jc w:val="left"/>
              <w:rPr>
                <w:sz w:val="17"/>
                <w:szCs w:val="17"/>
              </w:rPr>
            </w:pPr>
            <w:r>
              <w:rPr>
                <w:sz w:val="17"/>
                <w:szCs w:val="17"/>
              </w:rPr>
              <w:t>held-out pairs</w:t>
            </w:r>
          </w:p>
        </w:tc>
        <w:tc>
          <w:tcPr>
            <w:tcW w:w="2445" w:type="dxa"/>
            <w:tcBorders>
              <w:bottom w:val="single" w:sz="2" w:space="0" w:color="BBBBBB"/>
            </w:tcBorders>
          </w:tcPr>
          <w:p>
            <w:pPr>
              <w:pStyle w:val="TableContents"/>
              <w:bidi w:val="0"/>
              <w:spacing w:lineRule="auto" w:line="240" w:before="0" w:after="0"/>
              <w:jc w:val="left"/>
              <w:rPr>
                <w:sz w:val="17"/>
                <w:szCs w:val="17"/>
              </w:rPr>
            </w:pPr>
            <w:r>
              <w:rPr>
                <w:sz w:val="17"/>
                <w:szCs w:val="17"/>
              </w:rPr>
              <w:t>the year minus a third of every airport's (stand, runway) pairs, three folds of 1,303,727 to 1,338,046</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the held-out pairs, 676,400 to 712,627 per fold, beside a 5% sample of seen-pair rows</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whether a block carries over to a pair never seen; the claim of </w:t>
            </w:r>
            <w:hyperlink w:anchor="sec_7_2" w:history="1">
              <w:r>
                <w:rPr>
                  <w:rStyle w:val="InternalRef"/>
                  <w:sz w:val="17"/>
                  <w:szCs w:val="17"/>
                </w:rPr>
                <w:t xml:space="preserve">§7.2</w:t>
              </w:r>
            </w:hyperlink>
          </w:p>
        </w:tc>
        <w:tc>
          <w:tcPr>
            <w:tcW w:w="1194" w:type="dxa"/>
            <w:tcBorders>
              <w:bottom w:val="single" w:sz="2" w:space="0" w:color="BBBBBB"/>
            </w:tcBorders>
          </w:tcPr>
          <w:p>
            <w:pPr>
              <w:pStyle w:val="TableContents"/>
              <w:bidi w:val="0"/>
              <w:spacing w:lineRule="auto" w:line="240" w:before="0" w:after="0"/>
              <w:jc w:val="left"/>
              <w:rPr>
                <w:sz w:val="17"/>
                <w:szCs w:val="17"/>
              </w:rPr>
            </w:pPr>
            <w:r>
              <w:rPr>
                <w:sz w:val="17"/>
                <w:szCs w:val="17"/>
              </w:rPr>
              <w:t>before any fit</w:t>
            </w:r>
          </w:p>
        </w:tc>
      </w:tr>
      <w:tr>
        <w:trPr>
          <w:cantSplit/>
        </w:trPr>
        <w:tc>
          <w:tcPr>
            <w:tcW w:w="1225" w:type="dxa"/>
            <w:tcBorders>
              <w:bottom w:val="single" w:sz="2" w:space="0" w:color="BBBBBB"/>
            </w:tcBorders>
          </w:tcPr>
          <w:p>
            <w:pPr>
              <w:pStyle w:val="TableContents"/>
              <w:bidi w:val="0"/>
              <w:spacing w:lineRule="auto" w:line="240" w:before="0" w:after="0"/>
              <w:jc w:val="left"/>
              <w:rPr>
                <w:sz w:val="17"/>
                <w:szCs w:val="17"/>
              </w:rPr>
            </w:pPr>
            <w:r>
              <w:rPr>
                <w:sz w:val="17"/>
                <w:szCs w:val="17"/>
              </w:rPr>
              <w:t>October</w:t>
            </w:r>
          </w:p>
        </w:tc>
        <w:tc>
          <w:tcPr>
            <w:tcW w:w="2445" w:type="dxa"/>
            <w:tcBorders>
              <w:bottom w:val="single" w:sz="2" w:space="0" w:color="BBBBBB"/>
            </w:tcBorders>
          </w:tcPr>
          <w:p>
            <w:pPr>
              <w:pStyle w:val="TableContents"/>
              <w:bidi w:val="0"/>
              <w:spacing w:lineRule="auto" w:line="240" w:before="0" w:after="0"/>
              <w:jc w:val="left"/>
              <w:rPr>
                <w:sz w:val="17"/>
                <w:szCs w:val="17"/>
              </w:rPr>
            </w:pPr>
            <w:r>
              <w:rPr>
                <w:sz w:val="17"/>
                <w:szCs w:val="17"/>
              </w:rPr>
              <w:t>January to September 2025</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October 2025, all ten</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the leg the booster's parameters were tuned on, scored by no rung of the ladder</w:t>
            </w:r>
          </w:p>
        </w:tc>
        <w:tc>
          <w:tcPr>
            <w:tcW w:w="1194" w:type="dxa"/>
            <w:tcBorders>
              <w:bottom w:val="single" w:sz="2" w:space="0" w:color="BBBBBB"/>
            </w:tcBorders>
          </w:tcPr>
          <w:p>
            <w:pPr>
              <w:pStyle w:val="TableContents"/>
              <w:bidi w:val="0"/>
              <w:spacing w:lineRule="auto" w:line="240" w:before="0" w:after="0"/>
              <w:jc w:val="left"/>
              <w:rPr>
                <w:sz w:val="17"/>
                <w:szCs w:val="17"/>
              </w:rPr>
            </w:pPr>
            <w:r>
              <w:rPr>
                <w:sz w:val="17"/>
                <w:szCs w:val="17"/>
              </w:rPr>
              <w:t>added later, declared</w:t>
            </w:r>
          </w:p>
        </w:tc>
      </w:tr>
      <w:tr>
        <w:trPr>
          <w:cantSplit/>
        </w:trPr>
        <w:tc>
          <w:tcPr>
            <w:tcW w:w="1225" w:type="dxa"/>
            <w:tcBorders>
              <w:bottom w:val="single" w:sz="2" w:space="0" w:color="BBBBBB"/>
            </w:tcBorders>
          </w:tcPr>
          <w:p>
            <w:pPr>
              <w:pStyle w:val="TableContents"/>
              <w:bidi w:val="0"/>
              <w:spacing w:lineRule="auto" w:line="240" w:before="0" w:after="0"/>
              <w:jc w:val="left"/>
              <w:rPr>
                <w:sz w:val="17"/>
                <w:szCs w:val="17"/>
              </w:rPr>
            </w:pPr>
            <w:r>
              <w:rPr>
                <w:sz w:val="17"/>
                <w:szCs w:val="17"/>
              </w:rPr>
              <w:t>the gap leg</w:t>
            </w:r>
          </w:p>
        </w:tc>
        <w:tc>
          <w:tcPr>
            <w:tcW w:w="2445" w:type="dxa"/>
            <w:tcBorders>
              <w:bottom w:val="single" w:sz="2" w:space="0" w:color="BBBBBB"/>
            </w:tcBorders>
          </w:tcPr>
          <w:p>
            <w:pPr>
              <w:pStyle w:val="TableContents"/>
              <w:bidi w:val="0"/>
              <w:spacing w:lineRule="auto" w:line="240" w:before="0" w:after="0"/>
              <w:jc w:val="left"/>
              <w:rPr>
                <w:sz w:val="17"/>
                <w:szCs w:val="17"/>
              </w:rPr>
            </w:pPr>
            <w:r>
              <w:rPr>
                <w:sz w:val="17"/>
                <w:szCs w:val="17"/>
              </w:rPr>
              <w:t>January to June 2025</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December 2025</w:t>
            </w:r>
          </w:p>
        </w:tc>
        <w:tc>
          <w:tcPr>
            <w:tcW w:w="2554"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whether a recent month or the same season matters more, for the July 2026 rows whose nearest training month is seasonally opposite (</w:t>
            </w:r>
            <w:hyperlink w:anchor="sec_7_1_1" w:history="1">
              <w:r>
                <w:rPr>
                  <w:rStyle w:val="InternalRef"/>
                  <w:sz w:val="17"/>
                  <w:szCs w:val="17"/>
                </w:rPr>
                <w:t xml:space="preserve">§7.1.1</w:t>
              </w:r>
            </w:hyperlink>
            <w:r>
              <w:rPr>
                <w:sz w:val="17"/>
                <w:szCs w:val="17"/>
              </w:rPr>
              <w:t xml:space="preserve">)</w:t>
            </w:r>
          </w:p>
        </w:tc>
        <w:tc>
          <w:tcPr>
            <w:tcW w:w="1194" w:type="dxa"/>
            <w:tcBorders>
              <w:bottom w:val="single" w:sz="2" w:space="0" w:color="BBBBBB"/>
            </w:tcBorders>
          </w:tcPr>
          <w:p>
            <w:pPr>
              <w:pStyle w:val="TableContents"/>
              <w:bidi w:val="0"/>
              <w:spacing w:lineRule="auto" w:line="240" w:before="0" w:after="0"/>
              <w:jc w:val="left"/>
              <w:rPr>
                <w:sz w:val="17"/>
                <w:szCs w:val="17"/>
              </w:rPr>
            </w:pPr>
            <w:r>
              <w:rPr>
                <w:sz w:val="17"/>
                <w:szCs w:val="17"/>
              </w:rPr>
              <w:t>added later, declared</w:t>
            </w:r>
          </w:p>
        </w:tc>
      </w:tr>
      <w:tr>
        <w:trPr>
          <w:cantSplit/>
        </w:trPr>
        <w:tc>
          <w:tcPr>
            <w:tcW w:w="1225" w:type="dxa"/>
            <w:tcBorders>
              <w:bottom w:val="single" w:sz="6" w:space="0" w:color="000000"/>
            </w:tcBorders>
          </w:tcPr>
          <w:p>
            <w:pPr>
              <w:pStyle w:val="TableContents"/>
              <w:bidi w:val="0"/>
              <w:spacing w:lineRule="auto" w:line="240" w:before="0" w:after="0"/>
              <w:jc w:val="left"/>
              <w:rPr>
                <w:sz w:val="17"/>
                <w:szCs w:val="17"/>
              </w:rPr>
            </w:pPr>
            <w:r>
              <w:rPr>
                <w:sz w:val="17"/>
                <w:szCs w:val="17"/>
              </w:rPr>
              <w:t>every month held out</w:t>
            </w:r>
          </w:p>
        </w:tc>
        <w:tc>
          <w:tcPr>
            <w:tcW w:w="2445" w:type="dxa"/>
            <w:tcBorders>
              <w:bottom w:val="single" w:sz="6" w:space="0" w:color="000000"/>
            </w:tcBorders>
          </w:tcPr>
          <w:p>
            <w:pPr>
              <w:pStyle w:val="TableContents"/>
              <w:bidi w:val="0"/>
              <w:spacing w:lineRule="auto" w:line="240" w:before="0" w:after="0"/>
              <w:jc w:val="left"/>
              <w:rPr>
                <w:sz w:val="17"/>
                <w:szCs w:val="17"/>
              </w:rPr>
            </w:pPr>
            <w:r>
              <w:rPr>
                <w:sz w:val="17"/>
                <w:szCs w:val="17"/>
              </w:rPr>
              <w:t>the other eleven months of 2025</w:t>
            </w:r>
          </w:p>
        </w:tc>
        <w:tc>
          <w:tcPr>
            <w:tcW w:w="2554" w:type="dxa"/>
            <w:tcBorders>
              <w:bottom w:val="single" w:sz="6" w:space="0" w:color="000000"/>
            </w:tcBorders>
          </w:tcPr>
          <w:p>
            <w:pPr>
              <w:pStyle w:val="TableContents"/>
              <w:bidi w:val="0"/>
              <w:spacing w:lineRule="auto" w:line="240" w:before="0" w:after="0"/>
              <w:jc w:val="left"/>
              <w:rPr>
                <w:sz w:val="17"/>
                <w:szCs w:val="17"/>
              </w:rPr>
            </w:pPr>
            <w:r>
              <w:rPr>
                <w:sz w:val="17"/>
                <w:szCs w:val="17"/>
              </w:rPr>
              <w:t>each month of 2025 in turn, 143,732 to 191,182 rows</w:t>
            </w:r>
          </w:p>
        </w:tc>
        <w:tc>
          <w:tcPr>
            <w:tcW w:w="2554" w:type="dxa"/>
            <w:tcBorders>
              <w:bottom w:val="single" w:sz="6" w:space="0" w:color="000000"/>
            </w:tcBorders>
          </w:tcPr>
          <w:p>
            <w:pPr>
              <w:pStyle w:val="TableContents"/>
              <w:bidi w:val="0"/>
              <w:spacing w:lineRule="auto" w:line="240" w:before="0" w:after="0"/>
              <w:jc w:val="left"/>
              <w:rPr>
                <w:sz w:val="17"/>
                <w:szCs w:val="17"/>
              </w:rPr>
            </w:pPr>
            <w:r>
              <w:rPr>
                <w:sz w:val="17"/>
                <w:szCs w:val="17"/>
              </w:rPr>
              <w:t>how the figures and each block's worth are distributed over the year. Not forward in time, and a diagnostic</w:t>
            </w:r>
          </w:p>
        </w:tc>
        <w:tc>
          <w:tcPr>
            <w:tcW w:w="1194" w:type="dxa"/>
            <w:tcBorders>
              <w:bottom w:val="single" w:sz="6" w:space="0" w:color="000000"/>
            </w:tcBorders>
          </w:tcPr>
          <w:p>
            <w:pPr>
              <w:pStyle w:val="TableContents"/>
              <w:bidi w:val="0"/>
              <w:spacing w:lineRule="auto" w:line="240" w:before="0" w:after="0"/>
              <w:jc w:val="left"/>
              <w:rPr>
                <w:sz w:val="17"/>
                <w:szCs w:val="17"/>
              </w:rPr>
            </w:pPr>
            <w:r>
              <w:rPr>
                <w:sz w:val="17"/>
                <w:szCs w:val="17"/>
              </w:rPr>
              <w:t>added later, declared</w:t>
            </w:r>
          </w:p>
        </w:tc>
      </w:tr>
    </w:tbl>
    <w:p>
      <w:pPr>
        <w:pStyle w:val="BodyText"/>
        <w:bidi w:val="0"/>
        <w:spacing w:lineRule="auto" w:line="276" w:before="160" w:after="14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sz w:val="18"/>
          <w:szCs w:val="18"/>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sz w:val="18"/>
          <w:szCs w:val="18"/>
        </w:rPr>
        <w:t>reports/preregistered-2026-09-20.md</w:t>
      </w:r>
      <w:r>
        <w:rPr/>
        <w:t>, a dated record, for the gap leg.</w:t>
      </w:r>
    </w:p>
    <w:p>
      <w:pPr>
        <w:pStyle w:val="Heading3"/>
        <w:numPr>
          <w:ilvl w:val="0"/>
          <w:numId w:val="0"/>
        </w:numPr>
        <w:bidi w:val="0"/>
        <w:spacing w:before="140" w:after="120"/>
        <w:jc w:val="left"/>
        <w:rPr/>
      </w:pPr>
      <w:bookmarkStart w:id="133" w:name="sec_3_6"/>
      <w:bookmarkStart w:id="132" w:name="_Toc000017"/>
      <w:r>
        <w:rPr/>
        <w:t>3.6 The instruments</w:t>
      </w:r>
      <w:bookmarkEnd w:id="132"/>
      <w:bookmarkEnd w:id="133"/>
    </w:p>
    <w:p>
      <w:pPr>
        <w:pStyle w:val="BodyText"/>
        <w:bidi w:val="0"/>
        <w:spacing w:lineRule="auto" w:line="276" w:before="0" w:after="140"/>
        <w:jc w:val="left"/>
        <w:rPr/>
      </w:pPr>
      <w:r>
        <w:rPr/>
        <w:t>The paper uses three instruments, and wherever a figure is called real or called noise, it says which one speaks.</w:t>
      </w:r>
    </w:p>
    <w:p>
      <w:pPr>
        <w:pStyle w:val="BodyText"/>
        <w:numPr>
          <w:ilvl w:val="0"/>
          <w:numId w:val="3"/>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3"/>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(Efron &amp; Tibshirani, 1993) over the evaluation set with days as the clusters (Cameron et al., 2008) and the same draw for both arms: how far a figure would move on another sample of days. The interval and the floor measure different things and have disagreed (</w:t>
      </w:r>
      <w:hyperlink w:anchor="sec_7_1_1" w:history="1">
        <w:r>
          <w:rPr>
            <w:rStyle w:val="InternalRef"/>
          </w:rPr>
          <w:t xml:space="preserve">§7.1.1</w:t>
        </w:r>
      </w:hyperlink>
      <w:r>
        <w:rPr/>
        <w:t xml:space="preserve">, </w:t>
      </w:r>
      <w:hyperlink w:anchor="sec_7_1_2" w:history="1">
        <w:r>
          <w:rPr>
            <w:rStyle w:val="InternalRef"/>
          </w:rPr>
          <w:t xml:space="preserve">§7.1.2</w:t>
        </w:r>
      </w:hyperlink>
      <w:r>
        <w:rPr/>
        <w:t xml:space="preserve">). </w:t>
      </w:r>
    </w:p>
    <w:p>
      <w:pPr>
        <w:pStyle w:val="BodyText"/>
        <w:numPr>
          <w:ilvl w:val="0"/>
          <w:numId w:val="3"/>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spacing w:lineRule="auto" w:line="276" w:before="0" w:after="140"/>
        <w:jc w:val="left"/>
        <w:rPr/>
      </w:pPr>
      <w:r>
        <w:rPr/>
        <w:t xml:space="preserve">Printed precision is a tenth of a second, finer than every floor, so a pass or fail test that compares figures rounded to that precision can trip on seed noise alone, and once did (</w:t>
      </w:r>
      <w:hyperlink w:anchor="sec_7_1_1" w:history="1">
        <w:r>
          <w:rPr>
            <w:rStyle w:val="InternalRef"/>
          </w:rPr>
          <w:t xml:space="preserve">§7.1.1</w:t>
        </w:r>
      </w:hyperlink>
      <w:r>
        <w:rPr/>
        <w:t xml:space="preserve">). Changes are signed as </w:t>
      </w:r>
      <w:hyperlink w:anchor="sec_1_4" w:history="1">
        <w:r>
          <w:rPr>
            <w:rStyle w:val="InternalRef"/>
          </w:rPr>
          <w:t xml:space="preserve">§1.4</w:t>
        </w:r>
      </w:hyperlink>
      <w:r>
        <w:rPr/>
        <w:t xml:space="preserve"> states: negative means the error went down.</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sz w:val="18"/>
          <w:szCs w:val="18"/>
        </w:rPr>
        <w:t>reports/monthly_seeds.md</w:t>
      </w:r>
      <w:r>
        <w:rPr/>
        <w:t xml:space="preserve">, </w:t>
      </w:r>
      <w:r>
        <w:rPr>
          <w:rStyle w:val="Emphasis"/>
        </w:rPr>
        <w:t>Per month and over the year</w:t>
      </w:r>
      <w:r>
        <w:rPr/>
        <w:t>.</w:t>
      </w:r>
    </w:p>
    <w:p>
      <w:pPr>
        <w:pStyle w:val="Heading3"/>
        <w:numPr>
          <w:ilvl w:val="0"/>
          <w:numId w:val="0"/>
        </w:numPr>
        <w:bidi w:val="0"/>
        <w:spacing w:before="140" w:after="120"/>
        <w:jc w:val="left"/>
        <w:rPr/>
      </w:pPr>
      <w:bookmarkStart w:id="135" w:name="sec_3_7"/>
      <w:bookmarkStart w:id="134" w:name="_Toc000018"/>
      <w:r>
        <w:rPr/>
        <w:t>3.7 What was fixed before the numbers</w:t>
      </w:r>
      <w:bookmarkEnd w:id="134"/>
      <w:bookmarkEnd w:id="135"/>
    </w:p>
    <w:p>
      <w:pPr>
        <w:pStyle w:val="BodyText"/>
        <w:bidi w:val="0"/>
        <w:spacing w:lineRule="auto" w:line="276" w:before="0" w:after="140"/>
        <w:jc w:val="left"/>
        <w:rPr/>
      </w:pPr>
      <w:r>
        <w:rPr/>
        <w:t xml:space="preserve">Every rule the paper's figures are read against was written down before the figure it governs existed, except where </w:t>
      </w:r>
      <w:hyperlink w:anchor="sec_9_3" w:history="1">
        <w:r>
          <w:rPr>
            <w:rStyle w:val="InternalRef"/>
          </w:rPr>
          <w:t xml:space="preserve">§9.3</w:t>
        </w:r>
      </w:hyperlink>
      <w:r>
        <w:rPr/>
        <w:t xml:space="preserve"> says otherwise. Its table lists sixteen decisions taken after some of the figures they bear on had been seen, six before the first challenge score and ten after it, each with its date, what had been fixed, what had been seen, what was decided and the record that holds it. The table below gives, for each approach, the question it asks and how that bears on the central hypothesis, what was fixed before the figures, and what followed.</w:t>
      </w:r>
    </w:p>
    <w:tbl>
      <w:tblPr>
        <w:tblW w:w="9972" w:type="dxa"/>
        <w:jc w:val="left"/>
        <w:tblInd w:w="58" w:type="dxa"/>
        <w:tblLayout w:type="fixed"/>
        <w:tblCellMar>
          <w:top w:w="36" w:type="dxa"/>
          <w:left w:w="58" w:type="dxa"/>
          <w:bottom w:w="36" w:type="dxa"/>
          <w:right w:w="58" w:type="dxa"/>
        </w:tblCellMar>
      </w:tblPr>
      <w:tblGrid>
        <w:gridCol w:w="2170"/>
        <w:gridCol w:w="2673"/>
        <w:gridCol w:w="2618"/>
        <w:gridCol w:w="2511"/>
      </w:tblGrid>
      <w:tr>
        <w:trPr>
          <w:tblHeader w:val="true"/>
          <w:cantSplit/>
        </w:trPr>
        <w:tc>
          <w:tcPr>
            <w:tcW w:w="2170"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approach</w:t>
            </w:r>
          </w:p>
        </w:tc>
        <w:tc>
          <w:tcPr>
            <w:tcW w:w="267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it asks, and how it bears on the hypothesis</w:t>
            </w:r>
          </w:p>
        </w:tc>
        <w:tc>
          <w:tcPr>
            <w:tcW w:w="2618"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fixed before the figures</w:t>
            </w:r>
          </w:p>
        </w:tc>
        <w:tc>
          <w:tcPr>
            <w:tcW w:w="2511"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outcome</w:t>
            </w:r>
          </w:p>
        </w:tc>
      </w:tr>
      <w:tr>
        <w:trPr>
          <w:cantSplit/>
        </w:trPr>
        <w:tc>
          <w:tcPr>
            <w:tcW w:w="2170" w:type="dxa"/>
            <w:tcBorders>
              <w:bottom w:val="single" w:sz="2" w:space="0" w:color="BBBBBB"/>
            </w:tcBorders>
          </w:tcPr>
          <w:p>
            <w:pPr>
              <w:pStyle w:val="TableContents"/>
              <w:bidi w:val="0"/>
              <w:spacing w:lineRule="auto" w:line="240" w:before="0" w:after="0"/>
              <w:jc w:val="left"/>
              <w:rPr>
                <w:sz w:val="17"/>
                <w:szCs w:val="17"/>
              </w:rPr>
            </w:pPr>
            <w:r>
              <w:rPr>
                <w:sz w:val="17"/>
                <w:szCs w:val="17"/>
              </w:rPr>
              <w:t>seed averaging, recency weighting, season columns</w:t>
            </w:r>
          </w:p>
        </w:tc>
        <w:tc>
          <w:tcPr>
            <w:tcW w:w="2673" w:type="dxa"/>
            <w:tcBorders>
              <w:bottom w:val="single" w:sz="2" w:space="0" w:color="BBBBBB"/>
            </w:tcBorders>
          </w:tcPr>
          <w:p>
            <w:pPr>
              <w:pStyle w:val="TableContents"/>
              <w:bidi w:val="0"/>
              <w:spacing w:lineRule="auto" w:line="240" w:before="0" w:after="0"/>
              <w:jc w:val="left"/>
              <w:rPr>
                <w:sz w:val="17"/>
                <w:szCs w:val="17"/>
              </w:rPr>
            </w:pPr>
            <w:r>
              <w:rPr>
                <w:sz w:val="17"/>
                <w:szCs w:val="17"/>
              </w:rPr>
              <w:t>whether the forward legs mislead on time and seed choices; none changes the claim, each bounds how the legs are read</w:t>
            </w:r>
          </w:p>
        </w:tc>
        <w:tc>
          <w:tcPr>
            <w:tcW w:w="2618" w:type="dxa"/>
            <w:tcBorders>
              <w:bottom w:val="single" w:sz="2" w:space="0" w:color="BBBBBB"/>
            </w:tcBorders>
          </w:tcPr>
          <w:p>
            <w:pPr>
              <w:pStyle w:val="TableContents"/>
              <w:bidi w:val="0"/>
              <w:spacing w:lineRule="auto" w:line="240" w:before="0" w:after="0"/>
              <w:jc w:val="left"/>
              <w:rPr>
                <w:sz w:val="17"/>
                <w:szCs w:val="17"/>
              </w:rPr>
            </w:pPr>
            <w:r>
              <w:rPr>
                <w:sz w:val="17"/>
                <w:szCs w:val="17"/>
              </w:rPr>
              <w:t>the adoption rule for seed averaging; the pass or fail tests for recency and the season columns</w:t>
            </w:r>
          </w:p>
        </w:tc>
        <w:tc>
          <w:tcPr>
            <w:tcW w:w="2511"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seed averaging adopted; the other two not (</w:t>
            </w:r>
            <w:hyperlink w:anchor="sec_7_1_1" w:history="1">
              <w:r>
                <w:rPr>
                  <w:rStyle w:val="InternalRef"/>
                  <w:sz w:val="17"/>
                  <w:szCs w:val="17"/>
                </w:rPr>
                <w:t xml:space="preserve">§7.1.1</w:t>
              </w:r>
            </w:hyperlink>
            <w:r>
              <w:rPr>
                <w:sz w:val="17"/>
                <w:szCs w:val="17"/>
              </w:rPr>
              <w:t xml:space="preserve">, </w:t>
            </w:r>
            <w:hyperlink w:anchor="sec_7_1_2" w:history="1">
              <w:r>
                <w:rPr>
                  <w:rStyle w:val="InternalRef"/>
                  <w:sz w:val="17"/>
                  <w:szCs w:val="17"/>
                </w:rPr>
                <w:t xml:space="preserve">§7.1.2</w:t>
              </w:r>
            </w:hyperlink>
            <w:r>
              <w:rPr>
                <w:sz w:val="17"/>
                <w:szCs w:val="17"/>
              </w:rPr>
              <w:t xml:space="preserve">)</w:t>
            </w:r>
          </w:p>
        </w:tc>
      </w:tr>
      <w:tr>
        <w:trPr>
          <w:cantSplit/>
        </w:trPr>
        <w:tc>
          <w:tcPr>
            <w:tcW w:w="2170" w:type="dxa"/>
            <w:tcBorders>
              <w:bottom w:val="single" w:sz="2" w:space="0" w:color="BBBBBB"/>
            </w:tcBorders>
          </w:tcPr>
          <w:p>
            <w:pPr>
              <w:pStyle w:val="TableContents"/>
              <w:bidi w:val="0"/>
              <w:spacing w:lineRule="auto" w:line="240" w:before="0" w:after="0"/>
              <w:jc w:val="left"/>
              <w:rPr>
                <w:sz w:val="17"/>
                <w:szCs w:val="17"/>
              </w:rPr>
            </w:pPr>
            <w:r>
              <w:rPr>
                <w:sz w:val="17"/>
                <w:szCs w:val="17"/>
              </w:rPr>
              <w:t>the booster's parameters</w:t>
            </w:r>
          </w:p>
        </w:tc>
        <w:tc>
          <w:tcPr>
            <w:tcW w:w="2673" w:type="dxa"/>
            <w:tcBorders>
              <w:bottom w:val="single" w:sz="2" w:space="0" w:color="BBBBBB"/>
            </w:tcBorders>
          </w:tcPr>
          <w:p>
            <w:pPr>
              <w:pStyle w:val="TableContents"/>
              <w:bidi w:val="0"/>
              <w:spacing w:lineRule="auto" w:line="240" w:before="0" w:after="0"/>
              <w:jc w:val="left"/>
              <w:rPr>
                <w:sz w:val="17"/>
                <w:szCs w:val="17"/>
              </w:rPr>
            </w:pPr>
            <w:r>
              <w:rPr>
                <w:sz w:val="17"/>
                <w:szCs w:val="17"/>
              </w:rPr>
              <w:t>whether the setting can be chosen without tuning on a month that is reported</w:t>
            </w:r>
          </w:p>
        </w:tc>
        <w:tc>
          <w:tcPr>
            <w:tcW w:w="2618" w:type="dxa"/>
            <w:tcBorders>
              <w:bottom w:val="single" w:sz="2" w:space="0" w:color="BBBBBB"/>
            </w:tcBorders>
          </w:tcPr>
          <w:p>
            <w:pPr>
              <w:pStyle w:val="TableContents"/>
              <w:bidi w:val="0"/>
              <w:spacing w:lineRule="auto" w:line="240" w:before="0" w:after="0"/>
              <w:jc w:val="left"/>
              <w:rPr>
                <w:sz w:val="17"/>
                <w:szCs w:val="17"/>
              </w:rPr>
            </w:pPr>
            <w:r>
              <w:rPr>
                <w:sz w:val="17"/>
                <w:szCs w:val="17"/>
              </w:rPr>
              <w:t>the second sweep's grid and rule; the extension's criteria, before any figure past the grid's edge existed</w:t>
            </w:r>
          </w:p>
        </w:tc>
        <w:tc>
          <w:tcPr>
            <w:tcW w:w="2511"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a cheaper cell taken over a better one the instrument could not separate (</w:t>
            </w:r>
            <w:hyperlink w:anchor="sec_7_1_2" w:history="1">
              <w:r>
                <w:rPr>
                  <w:rStyle w:val="InternalRef"/>
                  <w:sz w:val="17"/>
                  <w:szCs w:val="17"/>
                </w:rPr>
                <w:t xml:space="preserve">§7.1.2</w:t>
              </w:r>
            </w:hyperlink>
            <w:r>
              <w:rPr>
                <w:sz w:val="17"/>
                <w:szCs w:val="17"/>
              </w:rPr>
              <w:t xml:space="preserve">)</w:t>
            </w:r>
          </w:p>
        </w:tc>
      </w:tr>
      <w:tr>
        <w:trPr>
          <w:cantSplit/>
        </w:trPr>
        <w:tc>
          <w:tcPr>
            <w:tcW w:w="2170" w:type="dxa"/>
            <w:tcBorders>
              <w:bottom w:val="single" w:sz="2" w:space="0" w:color="BBBBBB"/>
            </w:tcBorders>
          </w:tcPr>
          <w:p>
            <w:pPr>
              <w:pStyle w:val="TableContents"/>
              <w:bidi w:val="0"/>
              <w:spacing w:lineRule="auto" w:line="240" w:before="0" w:after="0"/>
              <w:jc w:val="left"/>
              <w:rPr>
                <w:sz w:val="17"/>
                <w:szCs w:val="17"/>
              </w:rPr>
            </w:pPr>
            <w:r>
              <w:rPr>
                <w:sz w:val="17"/>
                <w:szCs w:val="17"/>
              </w:rPr>
              <w:t>the record-quality term and the plan-shift rule</w:t>
            </w:r>
          </w:p>
        </w:tc>
        <w:tc>
          <w:tcPr>
            <w:tcW w:w="2673" w:type="dxa"/>
            <w:tcBorders>
              <w:bottom w:val="single" w:sz="2" w:space="0" w:color="BBBBBB"/>
            </w:tcBorders>
          </w:tcPr>
          <w:p>
            <w:pPr>
              <w:pStyle w:val="TableContents"/>
              <w:bidi w:val="0"/>
              <w:spacing w:lineRule="auto" w:line="240" w:before="0" w:after="0"/>
              <w:jc w:val="left"/>
              <w:rPr>
                <w:sz w:val="17"/>
                <w:szCs w:val="17"/>
              </w:rPr>
            </w:pPr>
            <w:r>
              <w:rPr>
                <w:sz w:val="17"/>
                <w:szCs w:val="17"/>
              </w:rPr>
              <w:t>whether rows whose recorded value no aircraft produced can be handled by a stated rule</w:t>
            </w:r>
          </w:p>
        </w:tc>
        <w:tc>
          <w:tcPr>
            <w:tcW w:w="2618" w:type="dxa"/>
            <w:tcBorders>
              <w:bottom w:val="single" w:sz="2" w:space="0" w:color="BBBBBB"/>
            </w:tcBorders>
          </w:tcPr>
          <w:p>
            <w:pPr>
              <w:pStyle w:val="TableContents"/>
              <w:bidi w:val="0"/>
              <w:spacing w:lineRule="auto" w:line="240" w:before="0" w:after="0"/>
              <w:jc w:val="left"/>
              <w:rPr>
                <w:sz w:val="17"/>
                <w:szCs w:val="17"/>
              </w:rPr>
            </w:pPr>
            <w:r>
              <w:rPr>
                <w:sz w:val="17"/>
                <w:szCs w:val="17"/>
              </w:rPr>
              <w:t>the term's form; the rule's form, before it was evaluated on any fold</w:t>
            </w:r>
          </w:p>
        </w:tc>
        <w:tc>
          <w:tcPr>
            <w:tcW w:w="2511"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adopted (</w:t>
            </w:r>
            <w:hyperlink w:anchor="sec_4" w:history="1">
              <w:r>
                <w:rPr>
                  <w:rStyle w:val="InternalRef"/>
                  <w:sz w:val="17"/>
                  <w:szCs w:val="17"/>
                </w:rPr>
                <w:t xml:space="preserve">§4</w:t>
              </w:r>
            </w:hyperlink>
            <w:r>
              <w:rPr>
                <w:sz w:val="17"/>
                <w:szCs w:val="17"/>
              </w:rPr>
              <w:t xml:space="preserve">)</w:t>
            </w:r>
          </w:p>
        </w:tc>
      </w:tr>
      <w:tr>
        <w:trPr>
          <w:cantSplit/>
        </w:trPr>
        <w:tc>
          <w:tcPr>
            <w:tcW w:w="2170" w:type="dxa"/>
            <w:tcBorders>
              <w:bottom w:val="single" w:sz="2" w:space="0" w:color="BBBBBB"/>
            </w:tcBorders>
          </w:tcPr>
          <w:p>
            <w:pPr>
              <w:pStyle w:val="TableContents"/>
              <w:bidi w:val="0"/>
              <w:spacing w:lineRule="auto" w:line="240" w:before="0" w:after="0"/>
              <w:jc w:val="left"/>
              <w:rPr>
                <w:sz w:val="17"/>
                <w:szCs w:val="17"/>
              </w:rPr>
            </w:pPr>
            <w:r>
              <w:rPr>
                <w:sz w:val="17"/>
                <w:szCs w:val="17"/>
              </w:rPr>
              <w:t>three model changes left untested at the freeze</w:t>
            </w:r>
          </w:p>
        </w:tc>
        <w:tc>
          <w:tcPr>
            <w:tcW w:w="2673" w:type="dxa"/>
            <w:tcBorders>
              <w:bottom w:val="single" w:sz="2" w:space="0" w:color="BBBBBB"/>
            </w:tcBorders>
          </w:tcPr>
          <w:p>
            <w:pPr>
              <w:pStyle w:val="TableContents"/>
              <w:bidi w:val="0"/>
              <w:spacing w:lineRule="auto" w:line="240" w:before="0" w:after="0"/>
              <w:jc w:val="left"/>
              <w:rPr>
                <w:sz w:val="17"/>
                <w:szCs w:val="17"/>
              </w:rPr>
            </w:pPr>
            <w:r>
              <w:rPr>
                <w:sz w:val="17"/>
                <w:szCs w:val="17"/>
              </w:rPr>
              <w:t>whether any improves the base configuration</w:t>
            </w:r>
          </w:p>
        </w:tc>
        <w:tc>
          <w:tcPr>
            <w:tcW w:w="2618" w:type="dxa"/>
            <w:tcBorders>
              <w:bottom w:val="single" w:sz="2" w:space="0" w:color="BBBBBB"/>
            </w:tcBorders>
          </w:tcPr>
          <w:p>
            <w:pPr>
              <w:pStyle w:val="TableContents"/>
              <w:bidi w:val="0"/>
              <w:spacing w:lineRule="auto" w:line="240" w:before="0" w:after="0"/>
              <w:jc w:val="left"/>
              <w:rPr>
                <w:sz w:val="17"/>
                <w:szCs w:val="17"/>
              </w:rPr>
            </w:pPr>
            <w:r>
              <w:rPr>
                <w:sz w:val="17"/>
                <w:szCs w:val="17"/>
              </w:rPr>
              <w:t>the rule for measuring them on top of it</w:t>
            </w:r>
          </w:p>
        </w:tc>
        <w:tc>
          <w:tcPr>
            <w:tcW w:w="2511"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none adopted (</w:t>
            </w:r>
            <w:hyperlink w:anchor="annex_J" w:history="1">
              <w:r>
                <w:rPr>
                  <w:rStyle w:val="InternalRef"/>
                  <w:sz w:val="17"/>
                  <w:szCs w:val="17"/>
                </w:rPr>
                <w:t xml:space="preserve">Annex J</w:t>
              </w:r>
            </w:hyperlink>
            <w:r>
              <w:rPr>
                <w:sz w:val="17"/>
                <w:szCs w:val="17"/>
              </w:rPr>
              <w:t xml:space="preserve">)</w:t>
            </w:r>
          </w:p>
        </w:tc>
      </w:tr>
      <w:tr>
        <w:trPr>
          <w:cantSplit/>
        </w:trPr>
        <w:tc>
          <w:tcPr>
            <w:tcW w:w="2170" w:type="dxa"/>
            <w:tcBorders>
              <w:bottom w:val="single" w:sz="6" w:space="0" w:color="000000"/>
            </w:tcBorders>
          </w:tcPr>
          <w:p>
            <w:pPr>
              <w:pStyle w:val="TableContents"/>
              <w:bidi w:val="0"/>
              <w:spacing w:lineRule="auto" w:line="240" w:before="0" w:after="0"/>
              <w:jc w:val="left"/>
              <w:rPr>
                <w:sz w:val="17"/>
                <w:szCs w:val="17"/>
              </w:rPr>
            </w:pPr>
            <w:r>
              <w:rPr>
                <w:sz w:val="17"/>
                <w:szCs w:val="17"/>
              </w:rPr>
              <w:t>changes after the first challenge score</w:t>
            </w:r>
          </w:p>
        </w:tc>
        <w:tc>
          <w:tcPr>
            <w:tcW w:w="2673" w:type="dxa"/>
            <w:tcBorders>
              <w:bottom w:val="single" w:sz="6" w:space="0" w:color="000000"/>
            </w:tcBorders>
          </w:tcPr>
          <w:p>
            <w:pPr>
              <w:pStyle w:val="TableContents"/>
              <w:bidi w:val="0"/>
              <w:spacing w:lineRule="auto" w:line="240" w:before="0" w:after="0"/>
              <w:jc w:val="left"/>
              <w:rPr>
                <w:sz w:val="17"/>
                <w:szCs w:val="17"/>
              </w:rPr>
            </w:pPr>
            <w:r>
              <w:rPr>
                <w:sz w:val="17"/>
                <w:szCs w:val="17"/>
              </w:rPr>
              <w:t>whether each improves the base configuration on the training year</w:t>
            </w:r>
          </w:p>
        </w:tc>
        <w:tc>
          <w:tcPr>
            <w:tcW w:w="2618" w:type="dxa"/>
            <w:tcBorders>
              <w:bottom w:val="single" w:sz="6" w:space="0" w:color="000000"/>
            </w:tcBorders>
          </w:tcPr>
          <w:p>
            <w:pPr>
              <w:pStyle w:val="TableContents"/>
              <w:bidi w:val="0"/>
              <w:spacing w:lineRule="auto" w:line="240" w:before="0" w:after="0"/>
              <w:jc w:val="left"/>
              <w:rPr>
                <w:sz w:val="17"/>
                <w:szCs w:val="17"/>
              </w:rPr>
            </w:pPr>
            <w:r>
              <w:rPr>
                <w:sz w:val="17"/>
                <w:szCs w:val="17"/>
              </w:rPr>
              <w:t xml:space="preserve">a written pre-registration for each change; ten decisions after the first score were taken after figures they bear on, and </w:t>
            </w:r>
            <w:hyperlink w:anchor="sec_9_3" w:history="1">
              <w:r>
                <w:rPr>
                  <w:rStyle w:val="InternalRef"/>
                  <w:sz w:val="17"/>
                  <w:szCs w:val="17"/>
                </w:rPr>
                <w:t xml:space="preserve">§9.3</w:t>
              </w:r>
            </w:hyperlink>
            <w:r>
              <w:rPr>
                <w:sz w:val="17"/>
                <w:szCs w:val="17"/>
              </w:rPr>
              <w:t xml:space="preserve"> lists them</w:t>
            </w:r>
          </w:p>
        </w:tc>
        <w:tc>
          <w:tcPr>
            <w:tcW w:w="2511" w:type="dxa"/>
            <w:tcBorders>
              <w:bottom w:val="single" w:sz="6" w:space="0" w:color="000000"/>
            </w:tcBorders>
          </w:tcPr>
          <w:p>
            <w:pPr>
              <w:pStyle w:val="TableContents"/>
              <w:bidi w:val="0"/>
              <w:spacing w:lineRule="auto" w:line="240" w:before="0" w:after="0"/>
              <w:jc w:val="left"/>
              <w:rPr>
                <w:sz w:val="17"/>
                <w:szCs w:val="17"/>
              </w:rPr>
            </w:pPr>
            <w:r>
              <w:rPr>
                <w:sz w:val="17"/>
                <w:szCs w:val="17"/>
              </w:rPr>
              <w:t xml:space="preserve">adopted in part (</w:t>
            </w:r>
            <w:hyperlink w:anchor="sec_8_7" w:history="1">
              <w:r>
                <w:rPr>
                  <w:rStyle w:val="InternalRef"/>
                  <w:sz w:val="17"/>
                  <w:szCs w:val="17"/>
                </w:rPr>
                <w:t xml:space="preserve">§8.7</w:t>
              </w:r>
            </w:hyperlink>
            <w:r>
              <w:rPr>
                <w:sz w:val="17"/>
                <w:szCs w:val="17"/>
              </w:rPr>
              <w:t xml:space="preserve">, </w:t>
            </w:r>
            <w:hyperlink w:anchor="sec_8_8" w:history="1">
              <w:r>
                <w:rPr>
                  <w:rStyle w:val="InternalRef"/>
                  <w:sz w:val="17"/>
                  <w:szCs w:val="17"/>
                </w:rPr>
                <w:t xml:space="preserve">§8.8</w:t>
              </w:r>
            </w:hyperlink>
            <w:r>
              <w:rPr>
                <w:sz w:val="17"/>
                <w:szCs w:val="17"/>
              </w:rPr>
              <w:t xml:space="preserve">, </w:t>
            </w:r>
            <w:hyperlink w:anchor="annex_K" w:history="1">
              <w:r>
                <w:rPr>
                  <w:rStyle w:val="InternalRef"/>
                  <w:sz w:val="17"/>
                  <w:szCs w:val="17"/>
                </w:rPr>
                <w:t xml:space="preserve">Annex K</w:t>
              </w:r>
            </w:hyperlink>
            <w:r>
              <w:rPr>
                <w:sz w:val="17"/>
                <w:szCs w:val="17"/>
              </w:rPr>
              <w:t xml:space="preserve">)</w:t>
            </w:r>
          </w:p>
        </w:tc>
      </w:tr>
    </w:tbl>
    <w:p>
      <w:pPr>
        <w:pStyle w:val="SourceNote"/>
        <w:bidi w:val="0"/>
        <w:spacing w:lineRule="auto" w:line="252" w:before="160" w:after="200"/>
        <w:jc w:val="left"/>
        <w:rPr/>
      </w:pPr>
      <w:r>
        <w:rPr/>
        <w:t xml:space="preserve">Sources: </w:t>
      </w:r>
      <w:r>
        <w:rPr>
          <w:rStyle w:val="SourceText"/>
          <w:sz w:val="18"/>
          <w:szCs w:val="18"/>
        </w:rPr>
        <w:t>reports/preregistered-2026-09-20.md</w:t>
      </w:r>
      <w:r>
        <w:rPr/>
        <w:t xml:space="preserve">, </w:t>
      </w:r>
      <w:r>
        <w:rPr>
          <w:rStyle w:val="SourceText"/>
          <w:sz w:val="18"/>
          <w:szCs w:val="18"/>
        </w:rPr>
        <w:t>reports/preregistered-2026-09-28.md</w:t>
      </w:r>
      <w:r>
        <w:rPr/>
        <w:t xml:space="preserve">, </w:t>
      </w:r>
      <w:r>
        <w:rPr>
          <w:rStyle w:val="SourceText"/>
          <w:sz w:val="18"/>
          <w:szCs w:val="18"/>
        </w:rPr>
        <w:t>reports/preregistered-2026-10-02.md</w:t>
      </w:r>
      <w:r>
        <w:rPr/>
        <w:t xml:space="preserve">, and </w:t>
      </w:r>
      <w:r>
        <w:rPr>
          <w:rStyle w:val="SourceText"/>
          <w:sz w:val="18"/>
          <w:szCs w:val="18"/>
        </w:rPr>
        <w:t>reports/preregistered-2026-10-03.md</w:t>
      </w:r>
      <w:r>
        <w:rPr/>
        <w:t>, dated records.</w:t>
      </w:r>
    </w:p>
    <w:p>
      <w:pPr>
        <w:pStyle w:val="Heading2"/>
        <w:numPr>
          <w:ilvl w:val="0"/>
          <w:numId w:val="0"/>
        </w:numPr>
        <w:bidi w:val="0"/>
        <w:spacing w:before="200" w:after="120"/>
        <w:jc w:val="left"/>
        <w:rPr/>
      </w:pPr>
      <w:bookmarkStart w:id="137" w:name="sec_4"/>
      <w:bookmarkStart w:id="136" w:name="_Toc000019"/>
      <w:r>
        <w:rPr/>
        <w:t>4. The tail, and what the scoring rule makes optimal</w:t>
      </w:r>
      <w:bookmarkEnd w:id="136"/>
      <w:bookmarkEnd w:id="137"/>
    </w:p>
    <w:p>
      <w:pPr>
        <w:pStyle w:val="BodyText"/>
        <w:bidi w:val="0"/>
        <w:spacing w:lineRule="auto" w:line="276" w:before="0" w:after="140"/>
        <w:jc w:val="left"/>
        <w:rPr/>
      </w:pPr>
      <w:r>
        <w:rPr>
          <w:rStyle w:val="Emphasis"/>
        </w:rPr>
        <w:t>This section comes early and stands alone because the record-quality term is the part of the method most open to misreading. It is a rule for rows whose recorded value no aircraft produced, and it is not a fitted model.</w:t>
      </w:r>
    </w:p>
    <w:p>
      <w:pPr>
        <w:pStyle w:val="BodyText"/>
        <w:bidi w:val="0"/>
        <w:spacing w:lineRule="auto" w:line="276" w:before="0" w:after="140"/>
        <w:jc w:val="left"/>
        <w:rPr/>
      </w:pPr>
      <w:r>
        <w:rPr/>
        <w:t xml:space="preserve">Rows whose error under the airport mean exceeds an hour are 0.086% of training departures and carry 50.9% of that predictor's squared error. The data review read them as records shifted by a whole day. Building the term found the mechanism behind most of it instead: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spacing w:lineRule="auto" w:line="276" w:before="0" w:after="140"/>
        <w:jc w:val="left"/>
        <w:rPr/>
      </w:pPr>
      <w:r>
        <w:rPr/>
        <w:t xml:space="preserve">The term is the conditional mean per (airport, record, lag-band) cell, computed knowing that mechanism. A cell is an airport, whether the departure has a flight-plan record, and a band of schedule lag: normal, from −1 h to 4 h; 4 to 12 h; over 12 h; and under −1 h. For a row in a covered cell the term predicts </w:t>
      </w:r>
      <w:r>
        <w:rPr>
          <w:rStyle w:val="SourceText"/>
        </w:rPr>
        <w:t>share × lag + (1 − share) × rest_mean</w:t>
      </w:r>
      <w:r>
        <w:rPr/>
        <w:t xml:space="preserve">, where the share is the cell's share of defaulted rows and the rest mean is the cell's mean taxi-out over its rows that were not defaulted. A cell is covered when it has at least five training rows and a defaulted share of at least 5%. Three cells qualify, all at Fiumicino (LIRF) and all without a record, with 1,485 training rows between them: the normal band, at a defaulted share of 21.7%, the band of 4 to 12 h, at 84.7%, and the band over 12 h, at 62.1%. They hold 383 of the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spacing w:lineRule="auto" w:line="276" w:before="0" w:after="14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On the 2025 validation legs a pooled design is worse than the adopted per-airport term on all three readings: 390 s against 341 on December, 586 against 461 on July pooled, and 385 against 339 on the three. That comparison is the arithmetic of the choice and not the whole of the answer. It sets a differently shaped design against the term, and the case that presses the question is not a validation leg. At Schiphol the ranking set lists six consecutive days in January 2026 with the defaulted-record pattern, and the training year holds no such day at that airport; the longest run anywhere in 2025 is two days, at Madrid.</w:t>
      </w:r>
    </w:p>
    <w:p>
      <w:pPr>
        <w:pStyle w:val="BodyText"/>
        <w:bidi w:val="0"/>
        <w:spacing w:lineRule="auto" w:line="276" w:before="0" w:after="140"/>
        <w:jc w:val="left"/>
        <w:rPr/>
      </w:pPr>
      <w:r>
        <w:rPr/>
        <w:t>What settles the question is an instrument already in the data, and it measures the premise pooling rests on. That premise is that the defaulted share of a lag-band cell, read across airports, is a property of the defaulting mechanism rather than of the airport, so that a cell learned where the mechanism is visible may be carried to an airport where it is not. The fitted cell table measures that premise per airport and per lag-band cell, on training rows, with no fit and no booster. It says the mechanism is at one airport: of the 432 training rows the term's own test picks out, 99.1% are at Fiumicino, and only three of the ten airports carry any at all. In the two lag-band cells a pooled cell would serve, every other airport reads 0.0% on every leg, at row counts small enough that a single defaulted row would show. The arithmetic test sets each airport's share against two standard errors of the pooled share at that airport's own row count. On that test the premise fails in both of those lag-band cells in each of the three training sets the legs use. Where an airport passes, it passes on the width of its interval and not on its share: in the larger lag-band cell over the full year three airports sit inside, each at 0.0%, because at 10 to 14 rows the interval reaches down to zero. The July leg is the thin one, with 187 and 26 rows pooled in the two lag-band cells, and the premise fails there too. Schiphol's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Schiphol's own 2025 rows. The pooled rule is therefore not adopted. The model version that would have tested it was not fitted, because its premise failed, and the reason is measured rather than asserted.</w:t>
      </w:r>
    </w:p>
    <w:p>
      <w:pPr>
        <w:pStyle w:val="BodyText"/>
        <w:bidi w:val="0"/>
        <w:spacing w:lineRule="auto" w:line="276" w:before="0" w:after="140"/>
        <w:jc w:val="left"/>
        <w:rPr/>
      </w:pPr>
      <w:r>
        <w:rPr/>
        <w:t xml:space="preserve">One limit remains, narrower than the decision it used to carry. Whether an uncovered airport's 2026 rows are themselves defaulted block times is a question about the two fields the ranking set hides, and no instrument reaches them. </w:t>
      </w:r>
      <w:hyperlink w:anchor="sec_7_3" w:history="1">
        <w:r>
          <w:rPr>
            <w:rStyle w:val="InternalRef"/>
          </w:rPr>
          <w:t xml:space="preserve">§7.3</w:t>
        </w:r>
      </w:hyperlink>
      <w:r>
        <w:rPr/>
        <w:t xml:space="preserve"> states the exposure that leaves.</w:t>
      </w:r>
    </w:p>
    <w:p>
      <w:pPr>
        <w:pStyle w:val="BodyText"/>
        <w:bidi w:val="0"/>
        <w:spacing w:lineRule="auto" w:line="276" w:before="0" w:after="140"/>
        <w:jc w:val="left"/>
        <w:rPr/>
      </w:pPr>
      <w:r>
        <w:rPr>
          <w:rStyle w:val="Strong"/>
        </w:rPr>
        <w:t>The plan-shifted departures, added after the freeze.</w:t>
      </w:r>
      <w:r>
        <w:rPr/>
        <w:t xml:space="preserve"> One class of departure lies outside the cells' reach: a take-off more than four hours after both of the flight plan's off-block estimates, </w:t>
      </w:r>
      <w:r>
        <w:rPr>
          <w:rStyle w:val="SourceText"/>
        </w:rPr>
        <w:t>EOBT_1_flt</w:t>
      </w:r>
      <w:r>
        <w:rPr/>
        <w:t xml:space="preserve"> and </w:t>
      </w:r>
      <w:r>
        <w:rPr>
          <w:rStyle w:val="SourceText"/>
        </w:rPr>
        <w:t>LOBT_flt</w:t>
      </w:r>
      <w:r>
        <w:rPr/>
        <w:t>. The cells key on the schedule lag and on the absence of a record, and these departures have a record. The class was seen in the ranking set's exposed fields, after the freeze, in the reading of the held-out-month ladder: one July 2026 departure at Fiumicino whose plan values all lie about a day before its take-off, which the base configuration predicted at 3,120 s. The training year holds three such departures, one at Paris and two at Fiumicino. Two of them recorded a taxi-out over four hours, 21,308 s and 87,002 s, each within minutes of take-off minus the plan's last off-block estimate; the third recorded 13,865 s, under the threshold. That is the whole of the evidence. The rule was written down and its digest recorded before it was evaluated on any fold or built into any file, so that nothing about it could be chosen on its effect.</w:t>
      </w:r>
    </w:p>
    <w:p>
      <w:pPr>
        <w:pStyle w:val="BodyText"/>
        <w:bidi w:val="0"/>
        <w:spacing w:lineRule="auto" w:line="276" w:before="0" w:after="140"/>
        <w:jc w:val="left"/>
        <w:rPr/>
      </w:pPr>
      <w:r>
        <w:rPr/>
        <w:t xml:space="preserve">The rule takes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The rule reads nothing else, never </w:t>
      </w:r>
      <w:r>
        <w:rPr>
          <w:rStyle w:val="SourceText"/>
        </w:rPr>
        <w:t>AOBT_3_flt</w:t>
      </w:r>
      <w:r>
        <w:rPr/>
        <w:t xml:space="preserve">, and it moves nothing else: the booster, its rows and its seeds, and the term's cells, are what they were. Evaluated after it was fixed, on the twelve held-out months, it touches three validation rows and lowers the RMSE over every row, the term's included, from 276.6 s to 272.4 s. The pre-registration itself says this is a statement of the arithmetic on three rows and not independent evidence that the rule is right (</w:t>
      </w:r>
      <w:hyperlink w:anchor="annex_I" w:history="1">
        <w:r>
          <w:rPr>
            <w:rStyle w:val="InternalRef"/>
          </w:rPr>
          <w:t xml:space="preserve">Annex I</w:t>
        </w:r>
      </w:hyperlink>
      <w:r>
        <w:rPr/>
        <w:t xml:space="preserve">).</w:t>
      </w:r>
    </w:p>
    <w:p>
      <w:pPr>
        <w:pStyle w:val="BodyText"/>
        <w:bidi w:val="0"/>
        <w:spacing w:lineRule="auto" w:line="276" w:before="0" w:after="140"/>
        <w:jc w:val="left"/>
        <w:rPr/>
      </w:pPr>
      <w:r>
        <w:rPr/>
        <w:t>On the one ranking row the rule predicts 52,550 s, against 3,120 s before. Its effect on the RMSE over the 344,841 ranking rows depends on what the row recorded, taken on an assumed base of 300 s. If it recorded the lag, 86,820 s, the RMSE would fall from 332.1 s to 305.6 s. If it recorded an ordinary taxi-out, the airport's rest mean, the RMSE would rise from 300.0 s to 312.5. The rule gives up the best case to avoid the worst, and the share it rests on says six in ten. No record of the row itself settles which outcome it has. The base of 300 s is an assumption and not a measurement, and the two cases are the row's two readings, not a distribution over them.</w:t>
      </w:r>
    </w:p>
    <w:p>
      <w:pPr>
        <w:pStyle w:val="BodyText"/>
        <w:bidi w:val="0"/>
        <w:spacing w:lineRule="auto" w:line="276" w:before="0" w:after="140"/>
        <w:jc w:val="left"/>
        <w:rPr/>
      </w:pPr>
      <w:r>
        <w:rPr/>
        <w:t xml:space="preserve">The final configuration goes further on this row. Its flight-plan window (</w:t>
      </w:r>
      <w:hyperlink w:anchor="sec_8_7_6" w:history="1">
        <w:r>
          <w:rPr>
            <w:rStyle w:val="InternalRef"/>
          </w:rPr>
          <w:t xml:space="preserve">§8.7.6</w:t>
        </w:r>
      </w:hyperlink>
      <w:r>
        <w:rPr/>
        <w:t xml:space="preserve">), applied after both rules, keeps every prediction within 3,618 s of the plan's lag, because no recorded off-block time of 2025 lies more than 3,606 s from the plan's last off-block estimate, and the class's July 2025 departure lies within a second of it. On this row the window lifts the rule's prediction to the plan's lag less 3,618 s, so the final file takes the reading in which the row recorded the lag. The two cases above are the base configuration's; in the final file the first case gains nearly all of the lag reading, and the second costs more than it does under the rule.</w:t>
      </w:r>
    </w:p>
    <w:p>
      <w:pPr>
        <w:pStyle w:val="SourceNote"/>
        <w:bidi w:val="0"/>
        <w:spacing w:lineRule="auto" w:line="252" w:before="0" w:after="200"/>
        <w:jc w:val="left"/>
        <w:rPr/>
      </w:pPr>
      <w:r>
        <w:rPr/>
        <w:t xml:space="preserve">Sources: </w:t>
      </w:r>
      <w:r>
        <w:rPr>
          <w:rStyle w:val="SourceText"/>
          <w:sz w:val="18"/>
          <w:szCs w:val="18"/>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sz w:val="18"/>
          <w:szCs w:val="18"/>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sz w:val="18"/>
          <w:szCs w:val="18"/>
        </w:rPr>
        <w:t>reports/window.md</w:t>
      </w:r>
      <w:r>
        <w:rPr/>
        <w:t xml:space="preserve">, </w:t>
      </w:r>
      <w:r>
        <w:rPr>
          <w:rStyle w:val="Emphasis"/>
        </w:rPr>
        <w:t>The verdict</w:t>
      </w:r>
      <w:r>
        <w:rPr/>
        <w:t xml:space="preserve"> and </w:t>
      </w:r>
      <w:r>
        <w:rPr>
          <w:rStyle w:val="Emphasis"/>
        </w:rPr>
        <w:t>The plan-shift class</w:t>
      </w:r>
      <w:r>
        <w:rPr/>
        <w:t xml:space="preserve">; </w:t>
      </w:r>
      <w:r>
        <w:rPr>
          <w:rStyle w:val="SourceText"/>
          <w:sz w:val="18"/>
          <w:szCs w:val="18"/>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numPr>
          <w:ilvl w:val="0"/>
          <w:numId w:val="0"/>
        </w:numPr>
        <w:bidi w:val="0"/>
        <w:spacing w:before="200" w:after="120"/>
        <w:jc w:val="left"/>
        <w:rPr/>
      </w:pPr>
      <w:bookmarkStart w:id="139" w:name="sec_5"/>
      <w:bookmarkStart w:id="138" w:name="_Toc000020"/>
      <w:r>
        <w:rPr/>
        <w:t>5. The unimpeded term</w:t>
      </w:r>
      <w:bookmarkEnd w:id="138"/>
      <w:bookmarkEnd w:id="139"/>
    </w:p>
    <w:p>
      <w:pPr>
        <w:pStyle w:val="Heading3"/>
        <w:numPr>
          <w:ilvl w:val="0"/>
          <w:numId w:val="0"/>
        </w:numPr>
        <w:bidi w:val="0"/>
        <w:spacing w:before="140" w:after="120"/>
        <w:jc w:val="left"/>
        <w:rPr/>
      </w:pPr>
      <w:bookmarkStart w:id="141" w:name="sec_5_1"/>
      <w:bookmarkStart w:id="140" w:name="_Toc000021"/>
      <w:r>
        <w:rPr/>
        <w:t>5.1 From OSM to a routable surface</w:t>
      </w:r>
      <w:bookmarkEnd w:id="140"/>
      <w:bookmarkEnd w:id="141"/>
    </w:p>
    <w:p>
      <w:pPr>
        <w:pStyle w:val="BodyText"/>
        <w:bidi w:val="0"/>
        <w:spacing w:lineRule="auto" w:line="276" w:before="0" w:after="140"/>
        <w:jc w:val="left"/>
        <w:rPr/>
      </w:pPr>
      <w:r>
        <w:rPr/>
        <w:t>Three defects are repaired to a fixed point: coincident-but-unshared nodes, nodes lying on edges they are not joined to, and ways that cross with no shared vertex. The repairs are not small: Frankfurt needs 808 edge splits, and Zurich 166 node merges and 1,925 splits. They run to a fixed point rather than once because every repair creates edges that may need repairing in turn: a runway crossed by several taxiways needs one round per crossing, and Frankfurt takes 25 rounds. Stands are attached to the repaired graph, with the snap distance recorded per stand. When the router chooses a route, runway pavement costs four times its length (the runway-edge penalty), so that a route does not use a runway as a convenient straight taxiway. The value sits on a plateau rather than at an optimum: from 4 upward, distances and descriptors barely move, while the share of stand-runway pairs that run along a foreign runway falls from 30.4% at a penalty of 1 to 9.2% at 4. Each route is described by several descriptors rather than one number: distance, turn angle on a Douglas–Peucker simplification (Douglas &amp; Peucker, 1973), junction-free running and backtrack. Backtrack is the distance run along the runway itself to reach a threshold that no mapped taxiway joins, which happens at 8 designators across 5 airports. On the repaired graph, 95.2% to 100% of stand-runway pairs are routable at each airport, and 98% to 100% of stands attach at each of the ten challenge airports. The runways cross-check against OurAirports: 39 match by designator, with 0 discrepancies.</w:t>
      </w:r>
    </w:p>
    <w:p>
      <w:pPr>
        <w:pStyle w:val="SourceNote"/>
        <w:bidi w:val="0"/>
        <w:spacing w:lineRule="auto" w:line="252" w:before="0" w:after="200"/>
        <w:jc w:val="left"/>
        <w:rPr/>
      </w:pPr>
      <w:r>
        <w:rPr/>
        <w:t xml:space="preserve">Sources: </w:t>
      </w:r>
      <w:r>
        <w:rPr>
          <w:rStyle w:val="SourceText"/>
          <w:sz w:val="18"/>
          <w:szCs w:val="18"/>
        </w:rPr>
        <w:t>reports/taxi_routing.md</w:t>
      </w:r>
      <w:r>
        <w:rPr/>
        <w:t xml:space="preserve">; </w:t>
      </w:r>
      <w:r>
        <w:rPr>
          <w:rStyle w:val="SourceText"/>
          <w:sz w:val="18"/>
          <w:szCs w:val="18"/>
        </w:rPr>
        <w:t>reports/penalty_sensitivity.md</w:t>
      </w:r>
      <w:r>
        <w:rPr/>
        <w:t xml:space="preserve">; </w:t>
      </w:r>
      <w:r>
        <w:rPr>
          <w:rStyle w:val="SourceText"/>
          <w:sz w:val="18"/>
          <w:szCs w:val="18"/>
        </w:rPr>
        <w:t>reports/runway_crosscheck.md</w:t>
      </w:r>
      <w:r>
        <w:rPr/>
        <w:t xml:space="preserve">; </w:t>
      </w:r>
      <w:r>
        <w:rPr>
          <w:rStyle w:val="SourceText"/>
          <w:sz w:val="18"/>
          <w:szCs w:val="18"/>
        </w:rPr>
        <w:t>docs/modelling_notes.md</w:t>
      </w:r>
      <w:r>
        <w:rPr/>
        <w:t xml:space="preserve">, </w:t>
      </w:r>
      <w:r>
        <w:rPr>
          <w:rStyle w:val="Emphasis"/>
        </w:rPr>
        <w:t>Graph construction</w:t>
      </w:r>
      <w:r>
        <w:rPr/>
        <w:t>.</w:t>
      </w:r>
    </w:p>
    <w:p>
      <w:pPr>
        <w:pStyle w:val="Heading3"/>
        <w:numPr>
          <w:ilvl w:val="0"/>
          <w:numId w:val="0"/>
        </w:numPr>
        <w:bidi w:val="0"/>
        <w:spacing w:before="140" w:after="120"/>
        <w:jc w:val="left"/>
        <w:rPr/>
      </w:pPr>
      <w:bookmarkStart w:id="143" w:name="sec_5_2"/>
      <w:bookmarkStart w:id="142" w:name="_Toc000022"/>
      <w:r>
        <w:rPr/>
        <w:t>5.2 A worked airport: where every number is known</w:t>
      </w:r>
      <w:bookmarkEnd w:id="142"/>
      <w:bookmarkEnd w:id="143"/>
    </w:p>
    <w:p>
      <w:pPr>
        <w:pStyle w:val="BodyText"/>
        <w:bidi w:val="0"/>
        <w:spacing w:lineRule="auto" w:line="276" w:before="0" w:after="140"/>
        <w:jc w:val="left"/>
        <w:rPr/>
      </w:pPr>
      <w:r>
        <w:rPr/>
        <w:t>A fictional field, on which every distance, turn and repair is hand-derived, is pushed through the pipeline unchanged. All 32 matrix cells agree to 11 mm and 0.10°, and the integer descriptors are exact; the runway-penalty crossovers fall where the arithmetic puts them. The field found three things in the pipeline, each below its working tolerance and each measured: overshoot and undershoot select different repairs; a merged node takes the last way's coordinates; and a two-feature stand's representative is decided by floating-point rounding. The field also carries worked traffic in the challenge's own schema, so the whole pipeline runs end to end in continuous integration without the challenge data. The worked field is how the geometry is known to be right without asking a reader to trust matrices that cannot be checked by hand.</w:t>
      </w:r>
    </w:p>
    <w:p>
      <w:pPr>
        <w:pStyle w:val="BodyText"/>
        <w:keepNext w:val="true"/>
        <w:bidi w:val="0"/>
        <w:spacing w:before="115" w:after="58"/>
        <w:jc w:val="center"/>
        <w:rPr/>
      </w:pPr>
      <w:r>
        <w:rPr/>
        <w:drawing>
          <wp:inline distT="0" distB="0" distL="0" distR="0">
            <wp:extent cx="6332220" cy="4174490"/>
            <wp:effectExtent l="0" t="0" r="0" b="0"/>
            <wp:docPr id="1" name="Image1" descr="The worked air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The worked airport"/>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6332220" cy="4174490"/>
                    </a:xfrm>
                    <a:prstGeom prst="rect">
                      <a:avLst/>
                    </a:prstGeom>
                    <a:noFill/>
                  </pic:spPr>
                </pic:pic>
              </a:graphicData>
            </a:graphic>
          </wp:inline>
        </w:drawing>
      </w:r>
    </w:p>
    <w:p>
      <w:pPr>
        <w:pStyle w:val="BodyText"/>
        <w:bidi w:val="0"/>
        <w:spacing w:lineRule="auto" w:line="276" w:before="0" w:after="140"/>
        <w:jc w:val="left"/>
        <w:rPr/>
      </w:pPr>
      <w:r>
        <w:rPr>
          <w:rStyle w:val="Strong"/>
        </w:rPr>
        <w:t>Figure 1.</w:t>
      </w:r>
      <w:r>
        <w:rPr/>
        <w:t xml:space="preserve"> The worked airport. Runways are gray and taxiways blue; the two worked routes, stand 1 to runway 09 and stand 12 to runway 36, are dashed, and the circles mark the repairs the pipeline makes: a merge, a split and a crossing. Stand 11, in red, does not attach to the network. Every distance in the field is derived by hand before the pipeline runs.</w:t>
      </w:r>
    </w:p>
    <w:p>
      <w:pPr>
        <w:pStyle w:val="SourceNote"/>
        <w:bidi w:val="0"/>
        <w:spacing w:lineRule="auto" w:line="252" w:before="0" w:after="200"/>
        <w:jc w:val="left"/>
        <w:rPr/>
      </w:pPr>
      <w:r>
        <w:rPr/>
        <w:t xml:space="preserve">Source: </w:t>
      </w:r>
      <w:r>
        <w:rPr>
          <w:rStyle w:val="SourceText"/>
          <w:sz w:val="18"/>
          <w:szCs w:val="18"/>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numPr>
          <w:ilvl w:val="0"/>
          <w:numId w:val="0"/>
        </w:numPr>
        <w:bidi w:val="0"/>
        <w:spacing w:before="140" w:after="120"/>
        <w:jc w:val="left"/>
        <w:rPr/>
      </w:pPr>
      <w:bookmarkStart w:id="145" w:name="sec_5_3"/>
      <w:bookmarkStart w:id="144" w:name="_Toc000023"/>
      <w:r>
        <w:rPr/>
        <w:t>5.3 What the geometry recovers, and what it does not</w:t>
      </w:r>
      <w:bookmarkEnd w:id="144"/>
      <w:bookmarkEnd w:id="145"/>
    </w:p>
    <w:p>
      <w:pPr>
        <w:pStyle w:val="BodyText"/>
        <w:bidi w:val="0"/>
        <w:spacing w:lineRule="auto" w:line="276" w:before="0" w:after="140"/>
        <w:jc w:val="left"/>
        <w:rPr/>
      </w:pPr>
      <w:r>
        <w:rPr/>
        <w:t>Per airport, a pair's fastest decile follows its routed distance with a residual of 85–190 s and an intercept of 313–740 s that no distance explains. The largest structured effect on that decile is wake category: mediums are 35–281 s faster than heavies at the same stand and runway, uniformly across designators. That pattern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SourceNote"/>
        <w:bidi w:val="0"/>
        <w:spacing w:lineRule="auto" w:line="252" w:before="0" w:after="200"/>
        <w:jc w:val="left"/>
        <w:rPr/>
      </w:pPr>
      <w:r>
        <w:rPr/>
        <w:t xml:space="preserve">Source: </w:t>
      </w:r>
      <w:r>
        <w:rPr>
          <w:rStyle w:val="SourceText"/>
          <w:sz w:val="18"/>
          <w:szCs w:val="18"/>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numPr>
          <w:ilvl w:val="0"/>
          <w:numId w:val="0"/>
        </w:numPr>
        <w:bidi w:val="0"/>
        <w:spacing w:before="140" w:after="120"/>
        <w:jc w:val="left"/>
        <w:rPr/>
      </w:pPr>
      <w:bookmarkStart w:id="147" w:name="sec_5_4"/>
      <w:bookmarkStart w:id="146" w:name="_Toc000024"/>
      <w:r>
        <w:rPr/>
        <w:t>5.4 Where memorization runs out, and what replaces it</w:t>
      </w:r>
      <w:bookmarkEnd w:id="146"/>
      <w:bookmarkEnd w:id="147"/>
    </w:p>
    <w:p>
      <w:pPr>
        <w:pStyle w:val="BodyText"/>
        <w:bidi w:val="0"/>
        <w:spacing w:lineRule="auto" w:line="276" w:before="0" w:after="14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across airports. Paris has 20.48% of its rows on thin pairs (seen a hundred times or fewer), 19.07%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They are at nine of the ten and carry 1,589 ranking rows. Zurich contributes eleven of them and Munich ten, but Munich's ten carry 1,182 of the 1,589 rows and Frankfurt's six another 300. One runway designator is new, on two rows. The never-seen bucket, 2,496 rows, splits into 1,589 on a new stand, two on the new designator, and 905 on a stand and a runway the training year saw separately and never together. The last kind is what the held-out-pair split measures; the first is the case no split of the training data can pose.</w:t>
      </w:r>
    </w:p>
    <w:p>
      <w:pPr>
        <w:pStyle w:val="BodyText"/>
        <w:bidi w:val="0"/>
        <w:spacing w:lineRule="auto" w:line="276" w:before="0" w:after="140"/>
        <w:jc w:val="left"/>
        <w:rPr/>
      </w:pPr>
      <w:r>
        <w:rPr>
          <w:rStyle w:val="Strong"/>
        </w:rPr>
        <w:t>A pair's own mean is worse than ignoring the pair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that passes for knowledge of the pair.</w:t>
      </w:r>
    </w:p>
    <w:p>
      <w:pPr>
        <w:pStyle w:val="BodyText"/>
        <w:bidi w:val="0"/>
        <w:spacing w:lineRule="auto" w:line="276" w:before="0" w:after="140"/>
        <w:jc w:val="left"/>
        <w:rPr/>
      </w:pPr>
      <w:r>
        <w:rPr>
          <w:rStyle w:val="Strong"/>
        </w:rPr>
        <w:t>The geometry is the better prior, and by more than the usual one.</w:t>
      </w:r>
      <w:r>
        <w:rPr/>
        <w:t xml:space="preserve"> The textbook remedy, shrinking the pair mean toward an estimate, depends on what it is shrunk toward. Toward the airport mean, the standard choice, the December bucket improves to 454.5 s. Toward the geometric prediction for that specific pair, with the shrinkage weight estimated per airport by the same construction the encoding of </w:t>
      </w:r>
      <w:hyperlink w:anchor="sec_7_4" w:history="1">
        <w:r>
          <w:rPr>
            <w:rStyle w:val="InternalRef"/>
          </w:rPr>
          <w:t xml:space="preserve">§7.4</w:t>
        </w:r>
      </w:hyperlink>
      <w:r>
        <w:rPr/>
        <w:t xml:space="preserve"> uses, it improves to </w:t>
      </w:r>
      <w:r>
        <w:rPr>
          <w:rStyle w:val="Strong"/>
        </w:rPr>
        <w:t>433.3 s</w:t>
      </w:r>
      <w:r>
        <w:rPr/>
        <w:t>. The geometric prior is worth 21.1 s more than the group prior on that bucket in December and 20.7 s in July. On the never-seen bucket, where the two priors stand bare with no pair mean to shrink, the margin is 19.7 and 22.9 s. On pairs seen more than a hundred times every version of the pair mean agrees to a second, because the count swamps the weight. Where memorization works, the prior does not matter; where it runs out, which prior it runs out to is the whole question. Per airport, the geometry explains 4% to 61% of the between-pair variance the airport mean leaves, which is why a pair's handful of draws is weighed less against it.</w:t>
      </w:r>
    </w:p>
    <w:p>
      <w:pPr>
        <w:pStyle w:val="BodyText"/>
        <w:bidi w:val="0"/>
        <w:spacing w:lineRule="auto" w:line="276" w:before="0" w:after="140"/>
        <w:jc w:val="left"/>
        <w:rPr/>
      </w:pPr>
      <w:r>
        <w:rPr>
          <w:rStyle w:val="Strong"/>
        </w:rPr>
        <w:t>The relation transfers between airports.</w:t>
      </w:r>
      <w:r>
        <w:rPr/>
        <w:t xml:space="preserve"> Fitted on nine airports and applied to the tenth, with no stand, pair or airport-level quantity of the tenth available, the transfer model beats the only baseline available without it, the grand mean of the other nine, at </w:t>
      </w:r>
      <w:r>
        <w:rPr>
          <w:rStyle w:val="Strong"/>
        </w:rPr>
        <w:t>ten airports out of ten</w:t>
      </w:r>
      <w:r>
        <w:rPr/>
        <w:t xml:space="preserve">. It wins by a median of 23.6% and by as much as 43.4% at Heathrow. The transfer model is the geometry plus the clock, the aircraft, the plan lags, the traffic in the window and the weather, with every identifier removed. The geometric term is one least-squares fit of each pair's 10th-percentile taxi-out, over the rows at or below it, on an intercept per airport and wake class plus the routed distance over a speed per airport. Five adjustments, pooled across airports, change the time per kilometer with the route's shape: turn angle per kilometer, junctions per kilometer, the share of straight running, the detour ratio and the share of backtrack. At an airport the fit has not seen, it answers with its pooled speed and intercept. That term </w:t>
      </w:r>
      <w:r>
        <w:rPr>
          <w:rStyle w:val="Emphasis"/>
        </w:rPr>
        <w:t>alone</w:t>
      </w:r>
      <w:r>
        <w:rPr/>
        <w:t>, two fitted numbers (a speed and an intercept) and the five adjustments, beats that mean at eight of ten and loses at Munich and Heathrow, by 4.1% and 1.5%. The speed the ten leave-one-out fits recover runs from 11.8 to 13.2 m/s, a 12% spread about 12.42 m/s, with the intercept at 434 to 500 s and the offset, the constant that carries an unimpeded estimate onto the scale of an observed taxi-out, at 251 to 276 s. That stability is the finding. The relation behaves as a transferable physical quantity rather than a per-airport adjustment, and it is the one thing in this work that an identifier model cannot reproduce even in principle, because at an unseen airport such a model has nothing to encode.</w:t>
      </w:r>
    </w:p>
    <w:p>
      <w:pPr>
        <w:pStyle w:val="SourceNote"/>
        <w:bidi w:val="0"/>
        <w:spacing w:lineRule="auto" w:line="252" w:before="0" w:after="200"/>
        <w:jc w:val="left"/>
        <w:rPr/>
      </w:pPr>
      <w:r>
        <w:rPr/>
        <w:t xml:space="preserve">Sources: </w:t>
      </w:r>
      <w:r>
        <w:rPr>
          <w:rStyle w:val="SourceText"/>
          <w:sz w:val="18"/>
          <w:szCs w:val="18"/>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sz w:val="18"/>
          <w:szCs w:val="18"/>
        </w:rPr>
        <w:t>reports/baseline.md</w:t>
      </w:r>
      <w:r>
        <w:rPr/>
        <w:t xml:space="preserve">, </w:t>
      </w:r>
      <w:r>
        <w:rPr>
          <w:rStyle w:val="Emphasis"/>
        </w:rPr>
        <w:t>The fit</w:t>
      </w:r>
      <w:r>
        <w:rPr/>
        <w:t xml:space="preserve"> and </w:t>
      </w:r>
      <w:r>
        <w:rPr>
          <w:rStyle w:val="Emphasis"/>
        </w:rPr>
        <w:t>The modulators</w:t>
      </w:r>
      <w:r>
        <w:rPr/>
        <w:t xml:space="preserve">, for the form of the geometric term; </w:t>
      </w:r>
      <w:r>
        <w:rPr>
          <w:rStyle w:val="SourceText"/>
          <w:sz w:val="18"/>
          <w:szCs w:val="18"/>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3"/>
        <w:numPr>
          <w:ilvl w:val="0"/>
          <w:numId w:val="0"/>
        </w:numPr>
        <w:bidi w:val="0"/>
        <w:spacing w:before="140" w:after="120"/>
        <w:jc w:val="left"/>
        <w:rPr/>
      </w:pPr>
      <w:bookmarkStart w:id="149" w:name="sec_5_5"/>
      <w:bookmarkStart w:id="148" w:name="_Toc000025"/>
      <w:r>
        <w:rPr/>
        <w:t>5.5 Taking the model to a new airport</w:t>
      </w:r>
      <w:bookmarkEnd w:id="148"/>
      <w:bookmarkEnd w:id="149"/>
    </w:p>
    <w:p>
      <w:pPr>
        <w:pStyle w:val="BodyText"/>
        <w:bidi w:val="0"/>
        <w:spacing w:lineRule="auto" w:line="276" w:before="0" w:after="140"/>
        <w:jc w:val="left"/>
        <w:rPr/>
      </w:pPr>
      <w:r>
        <w:rPr/>
        <w:t xml:space="preserve">The model needs different amounts from a new airport depending on how much of it is used. The geometric term needs only a map. The transfer model of </w:t>
      </w:r>
      <w:hyperlink w:anchor="sec_5_4" w:history="1">
        <w:r>
          <w:rPr>
            <w:rStyle w:val="InternalRef"/>
          </w:rPr>
          <w:t xml:space="preserve">§5.4</w:t>
        </w:r>
      </w:hyperlink>
      <w:r>
        <w:rPr/>
        <w:t xml:space="preserve"> needs the airport's traffic, flight plans and weather but no recorded taxi-out. The full model needs about a year of the airport's own history. The first two were measured by leaving each of the ten airports out in turn; the third was not measured at an unseen airport, and its evidence comes from the ten.</w:t>
      </w:r>
    </w:p>
    <w:p>
      <w:pPr>
        <w:pStyle w:val="BodyText"/>
        <w:bidi w:val="0"/>
        <w:spacing w:lineRule="auto" w:line="276" w:before="0" w:after="140"/>
        <w:jc w:val="left"/>
        <w:rPr/>
      </w:pPr>
      <w:r>
        <w:rPr>
          <w:rStyle w:val="Strong"/>
        </w:rPr>
        <w:t>What the airport has to supply.</w:t>
      </w:r>
    </w:p>
    <w:tbl>
      <w:tblPr>
        <w:tblW w:w="9972" w:type="dxa"/>
        <w:jc w:val="left"/>
        <w:tblInd w:w="58" w:type="dxa"/>
        <w:tblLayout w:type="fixed"/>
        <w:tblCellMar>
          <w:top w:w="36" w:type="dxa"/>
          <w:left w:w="58" w:type="dxa"/>
          <w:bottom w:w="36" w:type="dxa"/>
          <w:right w:w="58" w:type="dxa"/>
        </w:tblCellMar>
      </w:tblPr>
      <w:tblGrid>
        <w:gridCol w:w="2599"/>
        <w:gridCol w:w="2488"/>
        <w:gridCol w:w="2453"/>
        <w:gridCol w:w="2432"/>
      </w:tblGrid>
      <w:tr>
        <w:trPr>
          <w:tblHeader w:val="true"/>
          <w:cantSplit/>
        </w:trPr>
        <w:tc>
          <w:tcPr>
            <w:tcW w:w="259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input</w:t>
            </w:r>
          </w:p>
        </w:tc>
        <w:tc>
          <w:tcPr>
            <w:tcW w:w="2488"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used for</w:t>
            </w:r>
          </w:p>
        </w:tc>
        <w:tc>
          <w:tcPr>
            <w:tcW w:w="245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where this work gets it</w:t>
            </w:r>
          </w:p>
        </w:tc>
        <w:tc>
          <w:tcPr>
            <w:tcW w:w="2432"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without it</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aerodrome reference point and a search radius that encloses the movement area</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extent of the map extract</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published aerodrome reference points</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no map can be built</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OpenStreetMap aeroway features: taxiways, runways, aprons and parking positions</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routable surface</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one cached Overpass extract, with its fetch time pinned</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no geometry</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stand identifier on each mapped parking position, in the same code the operator's data uses</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joining a departure to its route</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the </w:t>
            </w:r>
            <w:r>
              <w:rPr>
                <w:rStyle w:val="SourceText"/>
                <w:sz w:val="17"/>
                <w:szCs w:val="17"/>
              </w:rPr>
              <w:t>ref</w:t>
            </w:r>
            <w:r>
              <w:rPr>
                <w:sz w:val="17"/>
                <w:szCs w:val="17"/>
              </w:rPr>
              <w:t xml:space="preserve">, </w:t>
            </w:r>
            <w:r>
              <w:rPr>
                <w:rStyle w:val="SourceText"/>
                <w:sz w:val="17"/>
                <w:szCs w:val="17"/>
              </w:rPr>
              <w:t>aeroway:ref</w:t>
            </w:r>
            <w:r>
              <w:rPr>
                <w:sz w:val="17"/>
                <w:szCs w:val="17"/>
              </w:rPr>
              <w:t xml:space="preserve">, </w:t>
            </w:r>
            <w:r>
              <w:rPr>
                <w:rStyle w:val="SourceText"/>
                <w:sz w:val="17"/>
                <w:szCs w:val="17"/>
              </w:rPr>
              <w:t>local_ref</w:t>
            </w:r>
            <w:r>
              <w:rPr>
                <w:sz w:val="17"/>
                <w:szCs w:val="17"/>
              </w:rPr>
              <w:t xml:space="preserve"> and </w:t>
            </w:r>
            <w:r>
              <w:rPr>
                <w:rStyle w:val="SourceText"/>
                <w:sz w:val="17"/>
                <w:szCs w:val="17"/>
              </w:rPr>
              <w:t>name</w:t>
            </w:r>
            <w:r>
              <w:rPr>
                <w:sz w:val="17"/>
                <w:szCs w:val="17"/>
              </w:rPr>
              <w:t xml:space="preserve"> tags</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the stand's distance features fall back to airport-level constants; coverage is audited per airport</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departure record: stand, runway, take-off time in UTC, aircraft type and wake class, operator, destination</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identifier, time and aircraft blocks</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the operator's or the network's movement data</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the blocks that read it are absent</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flight plan: scheduled time and the plan's off-block estimates</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the plan lags, the strongest single feature (62.9 s over the year, </w:t>
            </w:r>
            <w:hyperlink w:anchor="sec_8_4" w:history="1">
              <w:r>
                <w:rPr>
                  <w:rStyle w:val="InternalRef"/>
                  <w:sz w:val="17"/>
                  <w:szCs w:val="17"/>
                </w:rPr>
                <w:t xml:space="preserve">§8.4</w:t>
              </w:r>
            </w:hyperlink>
            <w:r>
              <w:rPr>
                <w:sz w:val="17"/>
                <w:szCs w:val="17"/>
              </w:rPr>
              <w:t xml:space="preserve">)</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the Network Manager record</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the model loses its strongest feature</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other movements around each take-off: times, runways, arrivals and their on-block times</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congestion, corridor and occupancy blocks</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the same movement data, every movement at the airport</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those blocks are absent; the plan lags carry most of the congestion signal (</w:t>
            </w:r>
            <w:hyperlink w:anchor="sec_8_4" w:history="1">
              <w:r>
                <w:rPr>
                  <w:rStyle w:val="InternalRef"/>
                  <w:sz w:val="17"/>
                  <w:szCs w:val="17"/>
                </w:rPr>
                <w:t xml:space="preserve">§8.4</w:t>
              </w:r>
            </w:hyperlink>
            <w:r>
              <w:rPr>
                <w:sz w:val="17"/>
                <w:szCs w:val="17"/>
              </w:rPr>
              <w:t xml:space="preserve">)</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a METAR archive for the airport's station</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three weather regime flags</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the Iowa Environmental Mesonet archive, public domain</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the weather block is absent</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airport's country</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holiday calendar</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a country code per airport</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the holiday columns read as missing, not as ordinary days, and the submission writer refuses</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the local time offset</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daily cycle</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not carried; the airport identifier absorbs it</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at a new airport the UTC clock misplaces the daily cycle by the offset; supplying it is untested</w:t>
            </w:r>
          </w:p>
        </w:tc>
      </w:tr>
      <w:tr>
        <w:trPr>
          <w:cantSplit/>
        </w:trPr>
        <w:tc>
          <w:tcPr>
            <w:tcW w:w="2599" w:type="dxa"/>
            <w:tcBorders>
              <w:bottom w:val="single" w:sz="2" w:space="0" w:color="BBBBBB"/>
            </w:tcBorders>
          </w:tcPr>
          <w:p>
            <w:pPr>
              <w:pStyle w:val="TableContents"/>
              <w:bidi w:val="0"/>
              <w:spacing w:lineRule="auto" w:line="240" w:before="0" w:after="0"/>
              <w:jc w:val="left"/>
              <w:rPr>
                <w:sz w:val="17"/>
                <w:szCs w:val="17"/>
              </w:rPr>
            </w:pPr>
            <w:r>
              <w:rPr>
                <w:sz w:val="17"/>
                <w:szCs w:val="17"/>
              </w:rPr>
              <w:t>about a year of recorded taxi-outs</w:t>
            </w:r>
          </w:p>
        </w:tc>
        <w:tc>
          <w:tcPr>
            <w:tcW w:w="2488" w:type="dxa"/>
            <w:tcBorders>
              <w:bottom w:val="single" w:sz="2" w:space="0" w:color="BBBBBB"/>
            </w:tcBorders>
          </w:tcPr>
          <w:p>
            <w:pPr>
              <w:pStyle w:val="TableContents"/>
              <w:bidi w:val="0"/>
              <w:spacing w:lineRule="auto" w:line="240" w:before="0" w:after="0"/>
              <w:jc w:val="left"/>
              <w:rPr>
                <w:sz w:val="17"/>
                <w:szCs w:val="17"/>
              </w:rPr>
            </w:pPr>
            <w:r>
              <w:rPr>
                <w:sz w:val="17"/>
                <w:szCs w:val="17"/>
              </w:rPr>
              <w:t>the shrunk encoding, the record-quality cells, the per-airport choices</w:t>
            </w:r>
          </w:p>
        </w:tc>
        <w:tc>
          <w:tcPr>
            <w:tcW w:w="2453" w:type="dxa"/>
            <w:tcBorders>
              <w:bottom w:val="single" w:sz="2" w:space="0" w:color="BBBBBB"/>
            </w:tcBorders>
          </w:tcPr>
          <w:p>
            <w:pPr>
              <w:pStyle w:val="TableContents"/>
              <w:bidi w:val="0"/>
              <w:spacing w:lineRule="auto" w:line="240" w:before="0" w:after="0"/>
              <w:jc w:val="left"/>
              <w:rPr>
                <w:sz w:val="17"/>
                <w:szCs w:val="17"/>
              </w:rPr>
            </w:pPr>
            <w:r>
              <w:rPr>
                <w:sz w:val="17"/>
                <w:szCs w:val="17"/>
              </w:rPr>
              <w:t>the operator's history</w:t>
            </w:r>
          </w:p>
        </w:tc>
        <w:tc>
          <w:tcPr>
            <w:tcW w:w="2432" w:type="dxa"/>
            <w:tcBorders>
              <w:bottom w:val="single" w:sz="2" w:space="0" w:color="BBBBBB"/>
            </w:tcBorders>
          </w:tcPr>
          <w:p>
            <w:pPr>
              <w:pStyle w:val="TableContents"/>
              <w:bidi w:val="0"/>
              <w:spacing w:lineRule="auto" w:line="240" w:before="0" w:after="0"/>
              <w:jc w:val="left"/>
              <w:rPr>
                <w:sz w:val="17"/>
                <w:szCs w:val="17"/>
              </w:rPr>
            </w:pPr>
            <w:r>
              <w:rPr>
                <w:sz w:val="17"/>
                <w:szCs w:val="17"/>
              </w:rPr>
              <w:t>not needed for the first two tiers</w:t>
            </w:r>
          </w:p>
        </w:tc>
      </w:tr>
      <w:tr>
        <w:trPr>
          <w:cantSplit/>
        </w:trPr>
        <w:tc>
          <w:tcPr>
            <w:tcW w:w="2599" w:type="dxa"/>
            <w:tcBorders>
              <w:bottom w:val="single" w:sz="6" w:space="0" w:color="000000"/>
            </w:tcBorders>
          </w:tcPr>
          <w:p>
            <w:pPr>
              <w:pStyle w:val="TableContents"/>
              <w:bidi w:val="0"/>
              <w:spacing w:lineRule="auto" w:line="240" w:before="0" w:after="0"/>
              <w:jc w:val="left"/>
              <w:rPr>
                <w:sz w:val="17"/>
                <w:szCs w:val="17"/>
              </w:rPr>
            </w:pPr>
            <w:r>
              <w:rPr>
                <w:sz w:val="17"/>
                <w:szCs w:val="17"/>
              </w:rPr>
              <w:t>receiver coverage of ground movements, and the airport's reference point</w:t>
            </w:r>
          </w:p>
        </w:tc>
        <w:tc>
          <w:tcPr>
            <w:tcW w:w="2488" w:type="dxa"/>
            <w:tcBorders>
              <w:bottom w:val="single" w:sz="6" w:space="0" w:color="000000"/>
            </w:tcBorders>
          </w:tcPr>
          <w:p>
            <w:pPr>
              <w:pStyle w:val="TableContents"/>
              <w:bidi w:val="0"/>
              <w:spacing w:lineRule="auto" w:line="240" w:before="0" w:after="0"/>
              <w:jc w:val="left"/>
              <w:rPr>
                <w:sz w:val="17"/>
                <w:szCs w:val="17"/>
              </w:rPr>
            </w:pPr>
            <w:r>
              <w:rPr>
                <w:sz w:val="17"/>
                <w:szCs w:val="17"/>
              </w:rPr>
              <w:t>the ground-movement correction</w:t>
            </w:r>
          </w:p>
        </w:tc>
        <w:tc>
          <w:tcPr>
            <w:tcW w:w="2453" w:type="dxa"/>
            <w:tcBorders>
              <w:bottom w:val="single" w:sz="6" w:space="0" w:color="000000"/>
            </w:tcBorders>
          </w:tcPr>
          <w:p>
            <w:pPr>
              <w:pStyle w:val="TableContents"/>
              <w:bidi w:val="0"/>
              <w:spacing w:lineRule="auto" w:line="240" w:before="0" w:after="0"/>
              <w:jc w:val="left"/>
              <w:rPr>
                <w:sz w:val="17"/>
                <w:szCs w:val="17"/>
              </w:rPr>
            </w:pPr>
            <w:r>
              <w:rPr>
                <w:sz w:val="17"/>
                <w:szCs w:val="17"/>
              </w:rPr>
              <w:t>adsb.lol and OPDI, open data</w:t>
            </w:r>
          </w:p>
        </w:tc>
        <w:tc>
          <w:tcPr>
            <w:tcW w:w="2432" w:type="dxa"/>
            <w:tcBorders>
              <w:bottom w:val="single" w:sz="6" w:space="0" w:color="000000"/>
            </w:tcBorders>
          </w:tcPr>
          <w:p>
            <w:pPr>
              <w:pStyle w:val="TableContents"/>
              <w:bidi w:val="0"/>
              <w:spacing w:lineRule="auto" w:line="240" w:before="0" w:after="0"/>
              <w:jc w:val="left"/>
              <w:rPr>
                <w:sz w:val="17"/>
                <w:szCs w:val="17"/>
              </w:rPr>
            </w:pPr>
            <w:r>
              <w:rPr>
                <w:sz w:val="17"/>
                <w:szCs w:val="17"/>
              </w:rPr>
              <w:t>the correction is not applied</w:t>
            </w:r>
          </w:p>
        </w:tc>
      </w:tr>
    </w:tbl>
    <w:p>
      <w:pPr>
        <w:pStyle w:val="BodyText"/>
        <w:bidi w:val="0"/>
        <w:spacing w:lineRule="auto" w:line="276" w:before="160" w:after="140"/>
        <w:jc w:val="left"/>
        <w:rPr/>
      </w:pPr>
      <w:r>
        <w:rPr>
          <w:rStyle w:val="Strong"/>
        </w:rPr>
        <w:t>The steps, in order.</w:t>
      </w:r>
      <w:r>
        <w:rPr/>
        <w:t xml:space="preserve"> Each step has its own check, so a failure shows where it happened.</w:t>
      </w:r>
    </w:p>
    <w:tbl>
      <w:tblPr>
        <w:tblW w:w="9972" w:type="dxa"/>
        <w:jc w:val="left"/>
        <w:tblInd w:w="58" w:type="dxa"/>
        <w:tblLayout w:type="fixed"/>
        <w:tblCellMar>
          <w:top w:w="36" w:type="dxa"/>
          <w:left w:w="58" w:type="dxa"/>
          <w:bottom w:w="36" w:type="dxa"/>
          <w:right w:w="58" w:type="dxa"/>
        </w:tblCellMar>
      </w:tblPr>
      <w:tblGrid>
        <w:gridCol w:w="475"/>
        <w:gridCol w:w="4764"/>
        <w:gridCol w:w="4733"/>
      </w:tblGrid>
      <w:tr>
        <w:trPr>
          <w:tblHeader w:val="true"/>
          <w:cantSplit/>
        </w:trPr>
        <w:tc>
          <w:tcPr>
            <w:tcW w:w="475" w:type="dxa"/>
            <w:tcBorders>
              <w:top w:val="single" w:sz="6" w:space="0" w:color="000000"/>
              <w:bottom w:val="single" w:sz="6" w:space="0" w:color="000000"/>
            </w:tcBorders>
            <w:shd w:fill="EEEEEE" w:val="clear"/>
          </w:tcPr>
          <w:p>
            <w:pPr>
              <w:pStyle w:val="TableHeading"/>
              <w:bidi w:val="0"/>
              <w:spacing w:lineRule="auto" w:line="240" w:before="0" w:after="0"/>
              <w:jc w:val="right"/>
              <w:rPr>
                <w:b/>
                <w:sz w:val="18"/>
                <w:szCs w:val="18"/>
              </w:rPr>
            </w:pPr>
            <w:r>
              <w:rPr>
                <w:b/>
                <w:sz w:val="18"/>
                <w:szCs w:val="18"/>
              </w:rPr>
              <w:t>step</w:t>
            </w:r>
          </w:p>
        </w:tc>
        <w:tc>
          <w:tcPr>
            <w:tcW w:w="4764"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what is done</w:t>
            </w:r>
          </w:p>
        </w:tc>
        <w:tc>
          <w:tcPr>
            <w:tcW w:w="4733"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what it checks</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1</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Add the airport's record (ICAO, IATA, name, reference point, radius) to the airport list.</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the license and provenance checks, which read the list</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2</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Fetch the OpenStreetMap extract, cache it, and pin its fetch time as the other airports' are.</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the pin check</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3</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Build the graph and the stand-to-runway matrix. The three defects of </w:t>
            </w:r>
            <w:hyperlink w:anchor="sec_5_1" w:history="1">
              <w:r>
                <w:rPr>
                  <w:rStyle w:val="InternalRef"/>
                  <w:sz w:val="18"/>
                  <w:szCs w:val="18"/>
                </w:rPr>
                <w:t xml:space="preserve">§5.1</w:t>
              </w:r>
            </w:hyperlink>
            <w:r>
              <w:rPr>
                <w:sz w:val="18"/>
                <w:szCs w:val="18"/>
              </w:rPr>
              <w:t xml:space="preserve"> are repaired to a fixed point.</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the routing report states what resolved and what did not</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4</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Audit stand coverage and the physical runways, and check the runway penalty's sensitivity.</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the share of the airport's stands that resolve; the runway thresholds against OurAirports</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5</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Add the country; fetch the METAR archive for the station.</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the calendar and weather blocks read as present, not missing</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6</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Predict with the transfer model. The same code builds the airport's rows as builds the training rows.</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geometric term alone is the floor to quote, as in </w:t>
            </w:r>
            <w:hyperlink w:anchor="sec_5_4" w:history="1">
              <w:r>
                <w:rPr>
                  <w:rStyle w:val="InternalRef"/>
                  <w:sz w:val="18"/>
                  <w:szCs w:val="18"/>
                </w:rPr>
                <w:t xml:space="preserve">§5.4</w:t>
              </w:r>
            </w:hyperlink>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7</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As movements accumulate, fit with the airport in training, and read it on its own held-out months.</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pair-frequency buckets and the contrast of </w:t>
            </w:r>
            <w:hyperlink w:anchor="sec_7_2" w:history="1">
              <w:r>
                <w:rPr>
                  <w:rStyle w:val="InternalRef"/>
                  <w:sz w:val="18"/>
                  <w:szCs w:val="18"/>
                </w:rPr>
                <w:t xml:space="preserve">§7.2</w:t>
              </w:r>
            </w:hyperlink>
            <w:r>
              <w:rPr>
                <w:sz w:val="18"/>
                <w:szCs w:val="18"/>
              </w:rPr>
              <w:t xml:space="preserve">, for that airport</w:t>
            </w:r>
          </w:p>
        </w:tc>
      </w:tr>
      <w:tr>
        <w:trPr>
          <w:cantSplit/>
        </w:trPr>
        <w:tc>
          <w:tcPr>
            <w:tcW w:w="475" w:type="dxa"/>
            <w:tcBorders>
              <w:bottom w:val="single" w:sz="2" w:space="0" w:color="BBBBBB"/>
            </w:tcBorders>
          </w:tcPr>
          <w:p>
            <w:pPr>
              <w:pStyle w:val="TableContents"/>
              <w:bidi w:val="0"/>
              <w:spacing w:lineRule="auto" w:line="240" w:before="0" w:after="0"/>
              <w:jc w:val="right"/>
              <w:rPr>
                <w:sz w:val="18"/>
                <w:szCs w:val="18"/>
              </w:rPr>
            </w:pPr>
            <w:r>
              <w:rPr>
                <w:sz w:val="18"/>
                <w:szCs w:val="18"/>
              </w:rPr>
              <w:t>8</w:t>
            </w:r>
          </w:p>
        </w:tc>
        <w:tc>
          <w:tcPr>
            <w:tcW w:w="4764"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Let the record-quality term test the airport: a cell is kept only where it holds at least five rows and a defaulted share of at least 5% (</w:t>
            </w:r>
            <w:hyperlink w:anchor="sec_4" w:history="1">
              <w:r>
                <w:rPr>
                  <w:rStyle w:val="InternalRef"/>
                  <w:sz w:val="18"/>
                  <w:szCs w:val="18"/>
                </w:rPr>
                <w:t xml:space="preserve">§4</w:t>
              </w:r>
            </w:hyperlink>
            <w:r>
              <w:rPr>
                <w:sz w:val="18"/>
                <w:szCs w:val="18"/>
              </w:rPr>
              <w:t xml:space="preserve">).</w:t>
            </w:r>
          </w:p>
        </w:tc>
        <w:tc>
          <w:tcPr>
            <w:tcW w:w="4733"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pooled-share test of </w:t>
            </w:r>
            <w:hyperlink w:anchor="sec_4" w:history="1">
              <w:r>
                <w:rPr>
                  <w:rStyle w:val="InternalRef"/>
                  <w:sz w:val="18"/>
                  <w:szCs w:val="18"/>
                </w:rPr>
                <w:t xml:space="preserve">§4</w:t>
              </w:r>
            </w:hyperlink>
          </w:p>
        </w:tc>
      </w:tr>
      <w:tr>
        <w:trPr>
          <w:cantSplit/>
        </w:trPr>
        <w:tc>
          <w:tcPr>
            <w:tcW w:w="475" w:type="dxa"/>
            <w:tcBorders>
              <w:bottom w:val="single" w:sz="6" w:space="0" w:color="000000"/>
            </w:tcBorders>
          </w:tcPr>
          <w:p>
            <w:pPr>
              <w:pStyle w:val="TableContents"/>
              <w:bidi w:val="0"/>
              <w:spacing w:lineRule="auto" w:line="240" w:before="0" w:after="0"/>
              <w:jc w:val="right"/>
              <w:rPr>
                <w:sz w:val="18"/>
                <w:szCs w:val="18"/>
              </w:rPr>
            </w:pPr>
            <w:r>
              <w:rPr>
                <w:sz w:val="18"/>
                <w:szCs w:val="18"/>
              </w:rPr>
              <w:t>9</w:t>
            </w:r>
          </w:p>
        </w:tc>
        <w:tc>
          <w:tcPr>
            <w:tcW w:w="4764" w:type="dxa"/>
            <w:tcBorders>
              <w:bottom w:val="single" w:sz="6" w:space="0" w:color="000000"/>
            </w:tcBorders>
          </w:tcPr>
          <w:p>
            <w:pPr>
              <w:pStyle w:val="TableContents"/>
              <w:bidi w:val="0"/>
              <w:spacing w:lineRule="auto" w:line="240" w:before="0" w:after="0"/>
              <w:jc w:val="left"/>
              <w:rPr>
                <w:sz w:val="18"/>
                <w:szCs w:val="18"/>
              </w:rPr>
            </w:pPr>
            <w:r>
              <w:rPr>
                <w:sz w:val="18"/>
                <w:szCs w:val="18"/>
              </w:rPr>
              <w:t xml:space="preserve">Add the airport's reference point to the ground-movement tables. Fit and gate the correction (</w:t>
            </w:r>
            <w:hyperlink w:anchor="sec_8_7_4" w:history="1">
              <w:r>
                <w:rPr>
                  <w:rStyle w:val="InternalRef"/>
                  <w:sz w:val="18"/>
                  <w:szCs w:val="18"/>
                </w:rPr>
                <w:t xml:space="preserve">§8.7.4</w:t>
              </w:r>
            </w:hyperlink>
            <w:r>
              <w:rPr>
                <w:sz w:val="18"/>
                <w:szCs w:val="18"/>
              </w:rPr>
              <w:t xml:space="preserve">) from the airport's own out-of-fold evidence, and let the selector of </w:t>
            </w:r>
            <w:hyperlink w:anchor="sec_8_7_5" w:history="1">
              <w:r>
                <w:rPr>
                  <w:rStyle w:val="InternalRef"/>
                  <w:sz w:val="18"/>
                  <w:szCs w:val="18"/>
                </w:rPr>
                <w:t xml:space="preserve">§8.7.5</w:t>
              </w:r>
            </w:hyperlink>
            <w:r>
              <w:rPr>
                <w:sz w:val="18"/>
                <w:szCs w:val="18"/>
              </w:rPr>
              <w:t xml:space="preserve"> choose the blend.</w:t>
            </w:r>
          </w:p>
        </w:tc>
        <w:tc>
          <w:tcPr>
            <w:tcW w:w="4733" w:type="dxa"/>
            <w:tcBorders>
              <w:bottom w:val="single" w:sz="6" w:space="0" w:color="000000"/>
            </w:tcBorders>
          </w:tcPr>
          <w:p>
            <w:pPr>
              <w:pStyle w:val="TableContents"/>
              <w:bidi w:val="0"/>
              <w:spacing w:lineRule="auto" w:line="240" w:before="0" w:after="0"/>
              <w:jc w:val="left"/>
              <w:rPr>
                <w:sz w:val="18"/>
                <w:szCs w:val="18"/>
              </w:rPr>
            </w:pPr>
            <w:r>
              <w:rPr>
                <w:sz w:val="18"/>
                <w:szCs w:val="18"/>
              </w:rPr>
              <w:t>the airport gate and the selector's choice over the held-out months</w:t>
            </w:r>
          </w:p>
        </w:tc>
      </w:tr>
    </w:tbl>
    <w:p>
      <w:pPr>
        <w:pStyle w:val="BodyText"/>
        <w:bidi w:val="0"/>
        <w:spacing w:lineRule="auto" w:line="276" w:before="160" w:after="140"/>
        <w:jc w:val="left"/>
        <w:rPr/>
      </w:pPr>
      <w:r>
        <w:rPr>
          <w:rStyle w:val="Strong"/>
        </w:rPr>
        <w:t>Crosswalk 1: conventions that change between airports.</w:t>
      </w:r>
      <w:r>
        <w:rPr/>
        <w:t xml:space="preserve"> Each row is a convention this work fixed once for ten airports, what can differ at a new one, and what the difference would do to a claim.</w:t>
      </w:r>
    </w:p>
    <w:tbl>
      <w:tblPr>
        <w:tblW w:w="9972" w:type="dxa"/>
        <w:jc w:val="left"/>
        <w:tblInd w:w="58" w:type="dxa"/>
        <w:tblLayout w:type="fixed"/>
        <w:tblCellMar>
          <w:top w:w="36" w:type="dxa"/>
          <w:left w:w="58" w:type="dxa"/>
          <w:bottom w:w="36" w:type="dxa"/>
          <w:right w:w="58" w:type="dxa"/>
        </w:tblCellMar>
      </w:tblPr>
      <w:tblGrid>
        <w:gridCol w:w="2464"/>
        <w:gridCol w:w="2579"/>
        <w:gridCol w:w="2464"/>
        <w:gridCol w:w="2465"/>
      </w:tblGrid>
      <w:tr>
        <w:trPr>
          <w:tblHeader w:val="true"/>
          <w:cantSplit/>
        </w:trPr>
        <w:tc>
          <w:tcPr>
            <w:tcW w:w="246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convention here</w:t>
            </w:r>
          </w:p>
        </w:tc>
        <w:tc>
          <w:tcPr>
            <w:tcW w:w="257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can differ at a new airport</w:t>
            </w:r>
          </w:p>
        </w:tc>
        <w:tc>
          <w:tcPr>
            <w:tcW w:w="246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to do</w:t>
            </w:r>
          </w:p>
        </w:tc>
        <w:tc>
          <w:tcPr>
            <w:tcW w:w="2465"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what it puts at risk</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All times are UTC, and no timezone table is carried; the airport identifier absorbs the offset.</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The local offset, and whether the airport observes daylight saving. The ten span UTC+0 to UTC+3; Istanbul and Antalya are three hours ahead, so the first three hours of a local holiday fall on the previous UTC date.</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Supply the offset and the daylight-saving rule per airport. Derive the hour of day and the holiday date from local time, and keep UTC for every join.</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daily cycle and the holiday flags, and any comparison of daily patterns across airports. Daylight saving is not examined in this work.</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target and the off-block fields are read at the resolution the data gives; the Network Manager's recorded off-block time has minute resolution.</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The operator's resolution and clock discipline.</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State the resolution of each time field before reading a figure; a coarse off-block field sets a floor under the error.</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size of the smallest effect that can be demonstrated.</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Airports are keyed by ICAO code, and the weather archive is queried with the ICAO code as the station.</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The archive may key a station differently outside Europe.</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Confirm the archive returns rows for the station before building the weather block.</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weather block, which would otherwise read as missing.</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Stand identifiers are joined in three stages: case and whitespace, leading zeros, one trailing letter.</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Padding, spaces and lettered half-stands differ per airport.</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Inspect what fails to match. Add a stage only on the join rate, never on a validation error.</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Whether pair-level geometry exists at the airport at all.</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Runway designators run 01 to 36 with an optional L, C or R, and thresholds come from </w:t>
            </w:r>
            <w:r>
              <w:rPr>
                <w:rStyle w:val="SourceText"/>
                <w:sz w:val="17"/>
                <w:szCs w:val="17"/>
              </w:rPr>
              <w:t>ref</w:t>
            </w:r>
            <w:r>
              <w:rPr>
                <w:sz w:val="17"/>
                <w:szCs w:val="17"/>
              </w:rPr>
              <w:t>-tagged geometry only.</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Non-standard designators, runways used in one direction only, displaced thresholds, and runways split into several map fragments.</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Parse the designators, take thresholds from tagged geometry, and check them against OurAirports.</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routed distance of every pair that uses the runway.</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holiday calendar is read by country, as ISO 3166-1 alpha-2; subdivisions are not read.</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In federal countries the regional holidays matter more.</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Keep the country code; treat a subdivision as a better feature, untested here.</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holiday columns at airports in such countries.</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weather flags use kilometers and degrees Celsius: 8 km and 1.5 km visibility bands, a 0 degree freezing line.</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Another region may report in other units.</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Convert before flagging; confirm the units the archive returns.</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The weather block.</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map is one OpenStreetMap extract per airport, pinned to its fetch time.</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The map changes as contributors edit it, and the license travels with the extract.</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Pin each fetch, re-fetch deliberately, and carry the ODbL attribution.</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Whether a distance can be reproduced.</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record-quality term exists where the off-block time was defaulted to the schedule, which here is one airport.</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A new operator may default differently, or never.</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 xml:space="preserve">Run the cell test of </w:t>
            </w:r>
            <w:hyperlink w:anchor="sec_4" w:history="1">
              <w:r>
                <w:rPr>
                  <w:rStyle w:val="InternalRef"/>
                  <w:sz w:val="17"/>
                  <w:szCs w:val="17"/>
                </w:rPr>
                <w:t xml:space="preserve">§4</w:t>
              </w:r>
            </w:hyperlink>
            <w:r>
              <w:rPr>
                <w:sz w:val="17"/>
                <w:szCs w:val="17"/>
              </w:rPr>
              <w:t xml:space="preserve"> on the airport. If no cell qualifies, the airport is left to the physical model.</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Whether an RMSE means anything at the airport.</w:t>
            </w:r>
          </w:p>
        </w:tc>
      </w:tr>
      <w:tr>
        <w:trPr>
          <w:cantSplit/>
        </w:trPr>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The ground-movement correction reads aircraft seen within 8 km of the reference point.</w:t>
            </w:r>
          </w:p>
        </w:tc>
        <w:tc>
          <w:tcPr>
            <w:tcW w:w="2579" w:type="dxa"/>
            <w:tcBorders>
              <w:bottom w:val="single" w:sz="2" w:space="0" w:color="BBBBBB"/>
            </w:tcBorders>
          </w:tcPr>
          <w:p>
            <w:pPr>
              <w:pStyle w:val="TableContents"/>
              <w:bidi w:val="0"/>
              <w:spacing w:lineRule="auto" w:line="240" w:before="0" w:after="0"/>
              <w:jc w:val="left"/>
              <w:rPr>
                <w:sz w:val="17"/>
                <w:szCs w:val="17"/>
              </w:rPr>
            </w:pPr>
            <w:r>
              <w:rPr>
                <w:sz w:val="17"/>
                <w:szCs w:val="17"/>
              </w:rPr>
              <w:t>Receiver coverage differs by airport and by day.</w:t>
            </w:r>
          </w:p>
        </w:tc>
        <w:tc>
          <w:tcPr>
            <w:tcW w:w="2464" w:type="dxa"/>
            <w:tcBorders>
              <w:bottom w:val="single" w:sz="2" w:space="0" w:color="BBBBBB"/>
            </w:tcBorders>
          </w:tcPr>
          <w:p>
            <w:pPr>
              <w:pStyle w:val="TableContents"/>
              <w:bidi w:val="0"/>
              <w:spacing w:lineRule="auto" w:line="240" w:before="0" w:after="0"/>
              <w:jc w:val="left"/>
              <w:rPr>
                <w:sz w:val="17"/>
                <w:szCs w:val="17"/>
              </w:rPr>
            </w:pPr>
            <w:r>
              <w:rPr>
                <w:sz w:val="17"/>
                <w:szCs w:val="17"/>
              </w:rPr>
              <w:t>Measure coverage per airport before applying the correction.</w:t>
            </w:r>
          </w:p>
        </w:tc>
        <w:tc>
          <w:tcPr>
            <w:tcW w:w="2465" w:type="dxa"/>
            <w:tcBorders>
              <w:bottom w:val="single" w:sz="2" w:space="0" w:color="BBBBBB"/>
            </w:tcBorders>
          </w:tcPr>
          <w:p>
            <w:pPr>
              <w:pStyle w:val="TableContents"/>
              <w:bidi w:val="0"/>
              <w:spacing w:lineRule="auto" w:line="240" w:before="0" w:after="0"/>
              <w:jc w:val="left"/>
              <w:rPr>
                <w:sz w:val="17"/>
                <w:szCs w:val="17"/>
              </w:rPr>
            </w:pPr>
            <w:r>
              <w:rPr>
                <w:sz w:val="17"/>
                <w:szCs w:val="17"/>
              </w:rPr>
              <w:t>Where the correction can be claimed to help.</w:t>
            </w:r>
          </w:p>
        </w:tc>
      </w:tr>
      <w:tr>
        <w:trPr>
          <w:cantSplit/>
        </w:trPr>
        <w:tc>
          <w:tcPr>
            <w:tcW w:w="2464" w:type="dxa"/>
            <w:tcBorders>
              <w:bottom w:val="single" w:sz="6" w:space="0" w:color="000000"/>
            </w:tcBorders>
          </w:tcPr>
          <w:p>
            <w:pPr>
              <w:pStyle w:val="TableContents"/>
              <w:bidi w:val="0"/>
              <w:spacing w:lineRule="auto" w:line="240" w:before="0" w:after="0"/>
              <w:jc w:val="left"/>
              <w:rPr>
                <w:sz w:val="17"/>
                <w:szCs w:val="17"/>
              </w:rPr>
            </w:pPr>
            <w:r>
              <w:rPr>
                <w:sz w:val="17"/>
                <w:szCs w:val="17"/>
              </w:rPr>
              <w:t>Data terms are recorded beside each cache: ODbL for the map and for adsb.lol, public domain for the weather and for OurAirports, MIT for the holiday code (Vacanza Team, n.d.).</w:t>
            </w:r>
          </w:p>
        </w:tc>
        <w:tc>
          <w:tcPr>
            <w:tcW w:w="2579" w:type="dxa"/>
            <w:tcBorders>
              <w:bottom w:val="single" w:sz="6" w:space="0" w:color="000000"/>
            </w:tcBorders>
          </w:tcPr>
          <w:p>
            <w:pPr>
              <w:pStyle w:val="TableContents"/>
              <w:bidi w:val="0"/>
              <w:spacing w:lineRule="auto" w:line="240" w:before="0" w:after="0"/>
              <w:jc w:val="left"/>
              <w:rPr>
                <w:sz w:val="17"/>
                <w:szCs w:val="17"/>
              </w:rPr>
            </w:pPr>
            <w:r>
              <w:rPr>
                <w:sz w:val="17"/>
                <w:szCs w:val="17"/>
              </w:rPr>
              <w:t>A new region's data may restrict redistribution.</w:t>
            </w:r>
          </w:p>
        </w:tc>
        <w:tc>
          <w:tcPr>
            <w:tcW w:w="2464" w:type="dxa"/>
            <w:tcBorders>
              <w:bottom w:val="single" w:sz="6" w:space="0" w:color="000000"/>
            </w:tcBorders>
          </w:tcPr>
          <w:p>
            <w:pPr>
              <w:pStyle w:val="TableContents"/>
              <w:bidi w:val="0"/>
              <w:spacing w:lineRule="auto" w:line="240" w:before="0" w:after="0"/>
              <w:jc w:val="left"/>
              <w:rPr>
                <w:sz w:val="17"/>
                <w:szCs w:val="17"/>
              </w:rPr>
            </w:pPr>
            <w:r>
              <w:rPr>
                <w:sz w:val="17"/>
                <w:szCs w:val="17"/>
              </w:rPr>
              <w:t>Record the terms with the cache manifest, as here.</w:t>
            </w:r>
          </w:p>
        </w:tc>
        <w:tc>
          <w:tcPr>
            <w:tcW w:w="2465" w:type="dxa"/>
            <w:tcBorders>
              <w:bottom w:val="single" w:sz="6" w:space="0" w:color="000000"/>
            </w:tcBorders>
          </w:tcPr>
          <w:p>
            <w:pPr>
              <w:pStyle w:val="TableContents"/>
              <w:bidi w:val="0"/>
              <w:spacing w:lineRule="auto" w:line="240" w:before="0" w:after="0"/>
              <w:jc w:val="left"/>
              <w:rPr>
                <w:sz w:val="17"/>
                <w:szCs w:val="17"/>
              </w:rPr>
            </w:pPr>
            <w:r>
              <w:rPr>
                <w:sz w:val="17"/>
                <w:szCs w:val="17"/>
              </w:rPr>
              <w:t>Whether the result can be reproduced by a reader.</w:t>
            </w:r>
          </w:p>
        </w:tc>
      </w:tr>
    </w:tbl>
    <w:p>
      <w:pPr>
        <w:pStyle w:val="BodyText"/>
        <w:bidi w:val="0"/>
        <w:spacing w:lineRule="auto" w:line="276" w:before="160" w:after="140"/>
        <w:jc w:val="left"/>
        <w:rPr/>
      </w:pPr>
      <w:r>
        <w:rPr>
          <w:rStyle w:val="Strong"/>
        </w:rPr>
        <w:t>Crosswalk 2: the operator's fields and the names used here.</w:t>
      </w:r>
      <w:r>
        <w:rPr/>
        <w:t xml:space="preserve"> A new airport maps its own fields onto these, and the mapping is the first thing to check.</w:t>
      </w:r>
    </w:p>
    <w:tbl>
      <w:tblPr>
        <w:tblW w:w="9972" w:type="dxa"/>
        <w:jc w:val="left"/>
        <w:tblInd w:w="58" w:type="dxa"/>
        <w:tblLayout w:type="fixed"/>
        <w:tblCellMar>
          <w:top w:w="36" w:type="dxa"/>
          <w:left w:w="58" w:type="dxa"/>
          <w:bottom w:w="36" w:type="dxa"/>
          <w:right w:w="58" w:type="dxa"/>
        </w:tblCellMar>
      </w:tblPr>
      <w:tblGrid>
        <w:gridCol w:w="3123"/>
        <w:gridCol w:w="2836"/>
        <w:gridCol w:w="4013"/>
      </w:tblGrid>
      <w:tr>
        <w:trPr>
          <w:tblHeader w:val="true"/>
          <w:cantSplit/>
        </w:trPr>
        <w:tc>
          <w:tcPr>
            <w:tcW w:w="3123"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the operator's field</w:t>
            </w:r>
          </w:p>
        </w:tc>
        <w:tc>
          <w:tcPr>
            <w:tcW w:w="2836"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name used here</w:t>
            </w:r>
          </w:p>
        </w:tc>
        <w:tc>
          <w:tcPr>
            <w:tcW w:w="4013"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used for</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departure airport</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ADEP_mvt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airport key</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stand</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STAND_mvt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join to the map</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runway</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RUNWAY_mvt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join to the map; values that name no runway are excluded</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take-off time, UTC</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MVT_TIME_UTC_mvt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anchor for every time feature</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off-block time, recorded</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BLOCK_TIME_UTC_mvt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target's start; withheld in the ranking set</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taxi-out in seconds</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TAXITIME_SEC_mvt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target</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scheduled time</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SCHED_TIME_UTC_mvt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schedule lag</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aircraft type; wake category</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AIRCRAFT_TYPE_mvt</w:t>
            </w:r>
            <w:r>
              <w:rPr>
                <w:sz w:val="18"/>
                <w:szCs w:val="18"/>
              </w:rPr>
              <w:t xml:space="preserve">; </w:t>
            </w:r>
            <w:r>
              <w:rPr>
                <w:rStyle w:val="SourceText"/>
                <w:sz w:val="18"/>
                <w:szCs w:val="18"/>
              </w:rPr>
              <w:t>WK_TBL_CAT_flt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aircraft block</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callsign; operator</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CALLSIGN_flt</w:t>
            </w:r>
            <w:r>
              <w:rPr>
                <w:sz w:val="18"/>
                <w:szCs w:val="18"/>
              </w:rPr>
              <w:t xml:space="preserve">; </w:t>
            </w:r>
            <w:r>
              <w:rPr>
                <w:rStyle w:val="SourceText"/>
                <w:sz w:val="18"/>
                <w:szCs w:val="18"/>
              </w:rPr>
              <w:t>AIRCRAFT_OPERATOR_flt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callsign-prefix block</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destination</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ADES_mvt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destination block</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movement phase: departure or arrival</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PHASE_mvt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separating the traffic around a take-off</w:t>
            </w:r>
          </w:p>
        </w:tc>
      </w:tr>
      <w:tr>
        <w:trPr>
          <w:cantSplit/>
        </w:trPr>
        <w:tc>
          <w:tcPr>
            <w:tcW w:w="3123" w:type="dxa"/>
            <w:tcBorders>
              <w:bottom w:val="single" w:sz="2" w:space="0" w:color="BBBBBB"/>
            </w:tcBorders>
          </w:tcPr>
          <w:p>
            <w:pPr>
              <w:pStyle w:val="TableContents"/>
              <w:bidi w:val="0"/>
              <w:spacing w:lineRule="auto" w:line="240" w:before="0" w:after="0"/>
              <w:jc w:val="left"/>
              <w:rPr>
                <w:sz w:val="18"/>
                <w:szCs w:val="18"/>
              </w:rPr>
            </w:pPr>
            <w:r>
              <w:rPr>
                <w:sz w:val="18"/>
                <w:szCs w:val="18"/>
              </w:rPr>
              <w:t>the flight plan's off-block estimates</w:t>
            </w:r>
          </w:p>
        </w:tc>
        <w:tc>
          <w:tcPr>
            <w:tcW w:w="2836"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EOBT_1_flt</w:t>
            </w:r>
            <w:r>
              <w:rPr>
                <w:sz w:val="18"/>
                <w:szCs w:val="18"/>
              </w:rPr>
              <w:t xml:space="preserve">, </w:t>
            </w:r>
            <w:r>
              <w:rPr>
                <w:rStyle w:val="SourceText"/>
                <w:sz w:val="18"/>
                <w:szCs w:val="18"/>
              </w:rPr>
              <w:t>LOBT_flt</w:t>
            </w:r>
          </w:p>
        </w:tc>
        <w:tc>
          <w:tcPr>
            <w:tcW w:w="4013" w:type="dxa"/>
            <w:tcBorders>
              <w:bottom w:val="single" w:sz="2" w:space="0" w:color="BBBBBB"/>
            </w:tcBorders>
          </w:tcPr>
          <w:p>
            <w:pPr>
              <w:pStyle w:val="TableContents"/>
              <w:bidi w:val="0"/>
              <w:spacing w:lineRule="auto" w:line="240" w:before="0" w:after="0"/>
              <w:jc w:val="left"/>
              <w:rPr>
                <w:sz w:val="18"/>
                <w:szCs w:val="18"/>
              </w:rPr>
            </w:pPr>
            <w:r>
              <w:rPr>
                <w:sz w:val="18"/>
                <w:szCs w:val="18"/>
              </w:rPr>
              <w:t>the plan lags</w:t>
            </w:r>
          </w:p>
        </w:tc>
      </w:tr>
      <w:tr>
        <w:trPr>
          <w:cantSplit/>
        </w:trPr>
        <w:tc>
          <w:tcPr>
            <w:tcW w:w="3123" w:type="dxa"/>
            <w:tcBorders>
              <w:bottom w:val="single" w:sz="6" w:space="0" w:color="000000"/>
            </w:tcBorders>
          </w:tcPr>
          <w:p>
            <w:pPr>
              <w:pStyle w:val="TableContents"/>
              <w:bidi w:val="0"/>
              <w:spacing w:lineRule="auto" w:line="240" w:before="0" w:after="0"/>
              <w:jc w:val="left"/>
              <w:rPr>
                <w:sz w:val="18"/>
                <w:szCs w:val="18"/>
              </w:rPr>
            </w:pPr>
            <w:r>
              <w:rPr>
                <w:sz w:val="18"/>
                <w:szCs w:val="18"/>
              </w:rPr>
              <w:t>the Network Manager's recorded off-block time</w:t>
            </w:r>
          </w:p>
        </w:tc>
        <w:tc>
          <w:tcPr>
            <w:tcW w:w="2836" w:type="dxa"/>
            <w:tcBorders>
              <w:bottom w:val="single" w:sz="6" w:space="0" w:color="000000"/>
            </w:tcBorders>
          </w:tcPr>
          <w:p>
            <w:pPr>
              <w:pStyle w:val="TableContents"/>
              <w:bidi w:val="0"/>
              <w:spacing w:lineRule="auto" w:line="240" w:before="0" w:after="0"/>
              <w:jc w:val="left"/>
              <w:rPr>
                <w:sz w:val="18"/>
                <w:szCs w:val="18"/>
              </w:rPr>
            </w:pPr>
            <w:r>
              <w:rPr>
                <w:rStyle w:val="SourceText"/>
                <w:sz w:val="18"/>
                <w:szCs w:val="18"/>
              </w:rPr>
              <w:t>AOBT_3_flt</w:t>
            </w:r>
          </w:p>
        </w:tc>
        <w:tc>
          <w:tcPr>
            <w:tcW w:w="4013" w:type="dxa"/>
            <w:tcBorders>
              <w:bottom w:val="single" w:sz="6" w:space="0" w:color="000000"/>
            </w:tcBorders>
          </w:tcPr>
          <w:p>
            <w:pPr>
              <w:pStyle w:val="TableContents"/>
              <w:bidi w:val="0"/>
              <w:spacing w:lineRule="auto" w:line="240" w:before="0" w:after="0"/>
              <w:jc w:val="left"/>
              <w:rPr>
                <w:sz w:val="18"/>
                <w:szCs w:val="18"/>
              </w:rPr>
            </w:pPr>
            <w:r>
              <w:rPr>
                <w:sz w:val="18"/>
                <w:szCs w:val="18"/>
              </w:rPr>
              <w:t xml:space="preserve">admitted with the feature group of </w:t>
            </w:r>
            <w:hyperlink w:anchor="sec_8_7_3" w:history="1">
              <w:r>
                <w:rPr>
                  <w:rStyle w:val="InternalRef"/>
                  <w:sz w:val="18"/>
                  <w:szCs w:val="18"/>
                </w:rPr>
                <w:t xml:space="preserve">§8.7.3</w:t>
              </w:r>
            </w:hyperlink>
            <w:r>
              <w:rPr>
                <w:sz w:val="18"/>
                <w:szCs w:val="18"/>
              </w:rPr>
              <w:t xml:space="preserve"> (</w:t>
            </w:r>
            <w:hyperlink w:anchor="sec_6_3" w:history="1">
              <w:r>
                <w:rPr>
                  <w:rStyle w:val="InternalRef"/>
                  <w:sz w:val="18"/>
                  <w:szCs w:val="18"/>
                </w:rPr>
                <w:t xml:space="preserve">§6.3</w:t>
              </w:r>
            </w:hyperlink>
            <w:r>
              <w:rPr>
                <w:sz w:val="18"/>
                <w:szCs w:val="18"/>
              </w:rPr>
              <w:t xml:space="preserve">)</w:t>
            </w:r>
          </w:p>
        </w:tc>
      </w:tr>
    </w:tbl>
    <w:p>
      <w:pPr>
        <w:pStyle w:val="BodyText"/>
        <w:bidi w:val="0"/>
        <w:spacing w:lineRule="auto" w:line="276" w:before="160" w:after="140"/>
        <w:jc w:val="left"/>
        <w:rPr/>
      </w:pPr>
      <w:r>
        <w:rPr>
          <w:rStyle w:val="Strong"/>
        </w:rPr>
        <w:t>What is measured and what is not.</w:t>
      </w:r>
      <w:r>
        <w:rPr/>
        <w:t xml:space="preserve"> Steps 1 to 6 are measured by the leave-one-out result of </w:t>
      </w:r>
      <w:hyperlink w:anchor="sec_5_4" w:history="1">
        <w:r>
          <w:rPr>
            <w:rStyle w:val="InternalRef"/>
          </w:rPr>
          <w:t xml:space="preserve">§5.4</w:t>
        </w:r>
      </w:hyperlink>
      <w:r>
        <w:rPr/>
        <w:t xml:space="preserve">: the transfer model beats the pooled mean at ten airports of ten, and the geometric term alone at eight. Steps 7 to 9 are measured only at the ten airports in the data. The ten are large European hubs with mapped taxiways, so the stability of the speed is evidence about airports like these. A regional field with one runway is not represented, and a hub with poor stand tagging would first meet step 4. Two conditions fail quietly if they are not checked: unresolved stands, and an unmapped country. The code treats both as measurements, so each shows as missing rather than as an ordinary value.</w:t>
      </w:r>
    </w:p>
    <w:p>
      <w:pPr>
        <w:pStyle w:val="SourceNote"/>
        <w:bidi w:val="0"/>
        <w:spacing w:lineRule="auto" w:line="252" w:before="0" w:after="200"/>
        <w:jc w:val="left"/>
        <w:rPr/>
      </w:pPr>
      <w:r>
        <w:rPr/>
        <w:t xml:space="preserve">Sources: </w:t>
      </w:r>
      <w:r>
        <w:rPr>
          <w:rStyle w:val="SourceText"/>
          <w:sz w:val="18"/>
          <w:szCs w:val="18"/>
        </w:rPr>
        <w:t>reports/transfer.md</w:t>
      </w:r>
      <w:r>
        <w:rPr/>
        <w:t xml:space="preserve">, </w:t>
      </w:r>
      <w:r>
        <w:rPr>
          <w:rStyle w:val="Emphasis"/>
        </w:rPr>
        <w:t>What each predictor is allowed to read</w:t>
      </w:r>
      <w:r>
        <w:rPr/>
        <w:t xml:space="preserve"> and </w:t>
      </w:r>
      <w:r>
        <w:rPr>
          <w:rStyle w:val="Emphasis"/>
        </w:rPr>
        <w:t>What this does not show</w:t>
      </w:r>
      <w:r>
        <w:rPr/>
        <w:t xml:space="preserve">; </w:t>
      </w:r>
      <w:r>
        <w:rPr>
          <w:rStyle w:val="SourceText"/>
          <w:sz w:val="18"/>
          <w:szCs w:val="18"/>
        </w:rPr>
        <w:t>reports/monthly_ladder.md</w:t>
      </w:r>
      <w:r>
        <w:rPr/>
        <w:t xml:space="preserve">, </w:t>
      </w:r>
      <w:r>
        <w:rPr>
          <w:rStyle w:val="Emphasis"/>
        </w:rPr>
        <w:t>Summary: the year, pooled from the twelve months</w:t>
      </w:r>
      <w:r>
        <w:rPr/>
        <w:t xml:space="preserve">; </w:t>
      </w:r>
      <w:r>
        <w:rPr>
          <w:rStyle w:val="SourceText"/>
          <w:sz w:val="18"/>
          <w:szCs w:val="18"/>
        </w:rPr>
        <w:t>reports/tails.md</w:t>
      </w:r>
      <w:r>
        <w:rPr/>
        <w:t xml:space="preserve">, </w:t>
      </w:r>
      <w:r>
        <w:rPr>
          <w:rStyle w:val="Emphasis"/>
        </w:rPr>
        <w:t>The cells</w:t>
      </w:r>
      <w:r>
        <w:rPr/>
        <w:t xml:space="preserve">; </w:t>
      </w:r>
      <w:r>
        <w:rPr>
          <w:rStyle w:val="SourceText"/>
          <w:sz w:val="18"/>
          <w:szCs w:val="18"/>
        </w:rPr>
        <w:t>src/taxiout/airports.py</w:t>
      </w:r>
      <w:r>
        <w:rPr/>
        <w:t xml:space="preserve">; </w:t>
      </w:r>
      <w:r>
        <w:rPr>
          <w:rStyle w:val="SourceText"/>
          <w:sz w:val="18"/>
          <w:szCs w:val="18"/>
        </w:rPr>
        <w:t>src/taxiout/coverage.py</w:t>
      </w:r>
      <w:r>
        <w:rPr/>
        <w:t xml:space="preserve">; </w:t>
      </w:r>
      <w:r>
        <w:rPr>
          <w:rStyle w:val="SourceText"/>
          <w:sz w:val="18"/>
          <w:szCs w:val="18"/>
        </w:rPr>
        <w:t>src/taxiout/calendar.py</w:t>
      </w:r>
      <w:r>
        <w:rPr/>
        <w:t xml:space="preserve">; </w:t>
      </w:r>
      <w:r>
        <w:rPr>
          <w:rStyle w:val="SourceText"/>
          <w:sz w:val="18"/>
          <w:szCs w:val="18"/>
        </w:rPr>
        <w:t>src/taxiout/features.py</w:t>
      </w:r>
      <w:r>
        <w:rPr/>
        <w:t xml:space="preserve">; </w:t>
      </w:r>
      <w:r>
        <w:rPr>
          <w:rStyle w:val="SourceText"/>
          <w:sz w:val="18"/>
          <w:szCs w:val="18"/>
        </w:rPr>
        <w:t>src/taxiout/join.py</w:t>
      </w:r>
      <w:r>
        <w:rPr/>
        <w:t xml:space="preserve">; </w:t>
      </w:r>
      <w:r>
        <w:rPr>
          <w:rStyle w:val="SourceText"/>
          <w:sz w:val="18"/>
          <w:szCs w:val="18"/>
        </w:rPr>
        <w:t>src/taxiout/runways.py</w:t>
      </w:r>
      <w:r>
        <w:rPr/>
        <w:t xml:space="preserve">; </w:t>
      </w:r>
      <w:r>
        <w:rPr>
          <w:rStyle w:val="SourceText"/>
          <w:sz w:val="18"/>
          <w:szCs w:val="18"/>
        </w:rPr>
        <w:t>src/taxiout/metar.py</w:t>
      </w:r>
      <w:r>
        <w:rPr/>
        <w:t xml:space="preserve">; </w:t>
      </w:r>
      <w:r>
        <w:rPr>
          <w:rStyle w:val="SourceText"/>
          <w:sz w:val="18"/>
          <w:szCs w:val="18"/>
        </w:rPr>
        <w:t>src/taxiout/adsb.py</w:t>
      </w:r>
      <w:r>
        <w:rPr/>
        <w:t xml:space="preserve">; </w:t>
      </w:r>
      <w:r>
        <w:rPr>
          <w:rStyle w:val="SourceText"/>
          <w:sz w:val="18"/>
          <w:szCs w:val="18"/>
        </w:rPr>
        <w:t>src/taxiout/challenge.py</w:t>
      </w:r>
      <w:r>
        <w:rPr/>
        <w:t>.</w:t>
      </w:r>
    </w:p>
    <w:p>
      <w:pPr>
        <w:pStyle w:val="Heading2"/>
        <w:numPr>
          <w:ilvl w:val="0"/>
          <w:numId w:val="0"/>
        </w:numPr>
        <w:bidi w:val="0"/>
        <w:spacing w:before="200" w:after="120"/>
        <w:jc w:val="left"/>
        <w:rPr/>
      </w:pPr>
      <w:bookmarkStart w:id="151" w:name="sec_6"/>
      <w:bookmarkStart w:id="150" w:name="_Toc000026"/>
      <w:r>
        <w:rPr/>
        <w:t>6. The excess term</w:t>
      </w:r>
      <w:bookmarkEnd w:id="150"/>
      <w:bookmarkEnd w:id="151"/>
    </w:p>
    <w:p>
      <w:pPr>
        <w:pStyle w:val="Heading3"/>
        <w:numPr>
          <w:ilvl w:val="0"/>
          <w:numId w:val="0"/>
        </w:numPr>
        <w:bidi w:val="0"/>
        <w:spacing w:before="140" w:after="120"/>
        <w:jc w:val="left"/>
        <w:rPr/>
      </w:pPr>
      <w:bookmarkStart w:id="153" w:name="sec_6_1"/>
      <w:bookmarkStart w:id="152" w:name="_Toc000027"/>
      <w:r>
        <w:rPr/>
        <w:t>6.1 What the ranking set allows, and the registry that enforces it</w:t>
      </w:r>
      <w:bookmarkEnd w:id="152"/>
      <w:bookmarkEnd w:id="153"/>
    </w:p>
    <w:p>
      <w:pPr>
        <w:pStyle w:val="BodyText"/>
        <w:bidi w:val="0"/>
        <w:spacing w:lineRule="auto" w:line="276" w:before="0" w:after="14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that the frame does not move. Arrivals' on-block and taxi-in times are exposed at 0.0% null and are read; no departure's block or taxi time is, ever.</w:t>
      </w:r>
    </w:p>
    <w:p>
      <w:pPr>
        <w:pStyle w:val="SourceNote"/>
        <w:bidi w:val="0"/>
        <w:spacing w:lineRule="auto" w:line="252" w:before="0" w:after="200"/>
        <w:jc w:val="left"/>
        <w:rPr/>
      </w:pPr>
      <w:r>
        <w:rPr/>
        <w:t xml:space="preserve">Sources: </w:t>
      </w:r>
      <w:r>
        <w:rPr>
          <w:rStyle w:val="SourceText"/>
          <w:sz w:val="18"/>
          <w:szCs w:val="18"/>
        </w:rPr>
        <w:t>reports/congestion.md</w:t>
      </w:r>
      <w:r>
        <w:rPr/>
        <w:t xml:space="preserve">, </w:t>
      </w:r>
      <w:r>
        <w:rPr>
          <w:rStyle w:val="Emphasis"/>
        </w:rPr>
        <w:t>The leakage audit</w:t>
      </w:r>
      <w:r>
        <w:rPr/>
        <w:t xml:space="preserve">; </w:t>
      </w:r>
      <w:r>
        <w:rPr>
          <w:rStyle w:val="SourceText"/>
          <w:sz w:val="18"/>
          <w:szCs w:val="18"/>
        </w:rPr>
        <w:t>reports/data_review.md</w:t>
      </w:r>
      <w:r>
        <w:rPr/>
        <w:t xml:space="preserve">, </w:t>
      </w:r>
      <w:r>
        <w:rPr>
          <w:rStyle w:val="Emphasis"/>
        </w:rPr>
        <w:t>Null rates</w:t>
      </w:r>
      <w:r>
        <w:rPr/>
        <w:t>.</w:t>
      </w:r>
    </w:p>
    <w:p>
      <w:pPr>
        <w:pStyle w:val="Heading3"/>
        <w:numPr>
          <w:ilvl w:val="0"/>
          <w:numId w:val="0"/>
        </w:numPr>
        <w:bidi w:val="0"/>
        <w:spacing w:before="140" w:after="120"/>
        <w:jc w:val="left"/>
        <w:rPr/>
      </w:pPr>
      <w:bookmarkStart w:id="155" w:name="sec_6_2"/>
      <w:bookmarkStart w:id="154" w:name="_Toc000028"/>
      <w:r>
        <w:rPr/>
        <w:t>6.2 Congestion, corridor, and weather</w:t>
      </w:r>
      <w:bookmarkEnd w:id="154"/>
      <w:bookmarkEnd w:id="155"/>
    </w:p>
    <w:p>
      <w:pPr>
        <w:pStyle w:val="BodyText"/>
        <w:bidi w:val="0"/>
        <w:spacing w:lineRule="auto" w:line="276" w:before="0" w:after="140"/>
        <w:jc w:val="left"/>
        <w:rPr/>
      </w:pPr>
      <w:r>
        <w:rPr/>
        <w:t xml:space="preserve">These blocks read throughput, arrivals, demand, runway configuration, shared-corridor load, and three weather regime flags per airport-hour. The corridor feature does not appear in the prior art of </w:t>
      </w:r>
      <w:hyperlink w:anchor="sec_1_3" w:history="1">
        <w:r>
          <w:rPr>
            <w:rStyle w:val="InternalRef"/>
          </w:rPr>
          <w:t xml:space="preserve">§1.3</w:t>
        </w:r>
      </w:hyperlink>
      <w:r>
        <w:rPr/>
        <w:t xml:space="preserve">. It weights other movements by how much of the subject's own taxiway route they share, with each edge weighted by the inverse of the routes using it. Read against </w:t>
      </w:r>
      <w:r>
        <w:rPr>
          <w:rStyle w:val="SourceText"/>
        </w:rPr>
        <w:t>+ configuration</w:t>
      </w:r>
      <w:r>
        <w:rPr/>
        <w:t xml:space="preserve">, it moves the RMSE by +0.13 s on December, inside the seed floor of </w:t>
      </w:r>
      <w:hyperlink w:anchor="sec_3_6" w:history="1">
        <w:r>
          <w:rPr>
            <w:rStyle w:val="InternalRef"/>
          </w:rPr>
          <w:t xml:space="preserve">§3.6</w:t>
        </w:r>
      </w:hyperlink>
      <w:r>
        <w:rPr/>
        <w:t xml:space="preserve">, by +1.16 s on July, beyond that leg's floor of 0.54 s, and by +0.99 s on the three, inside theirs. On held-out pairs it gains +0.3 s [−0.3, +0.8] more than on seen ones, an interval that spans zero. Over the twelve held-out months it moves the year by +0.1 s, inside the year's floor, and it sits inside the floor in 11 of the 12 months; in the twelfth, May, it helps by more than the floor.</w:t>
      </w:r>
    </w:p>
    <w:p>
      <w:pPr>
        <w:pStyle w:val="SourceNote"/>
        <w:bidi w:val="0"/>
        <w:spacing w:lineRule="auto" w:line="252" w:before="0" w:after="200"/>
        <w:jc w:val="left"/>
        <w:rPr/>
      </w:pPr>
      <w:r>
        <w:rPr/>
        <w:t xml:space="preserve">Sources: </w:t>
      </w:r>
      <w:r>
        <w:rPr>
          <w:rStyle w:val="SourceText"/>
          <w:sz w:val="18"/>
          <w:szCs w:val="18"/>
        </w:rPr>
        <w:t>reports/congestion.md</w:t>
      </w:r>
      <w:r>
        <w:rPr/>
        <w:t xml:space="preserve">; </w:t>
      </w:r>
      <w:r>
        <w:rPr>
          <w:rStyle w:val="SourceText"/>
          <w:sz w:val="18"/>
          <w:szCs w:val="18"/>
        </w:rPr>
        <w:t>reports/baseline.md</w:t>
      </w:r>
      <w:r>
        <w:rPr/>
        <w:t xml:space="preserve">, </w:t>
      </w:r>
      <w:r>
        <w:rPr>
          <w:rStyle w:val="Emphasis"/>
        </w:rPr>
        <w:t>The noise floor</w:t>
      </w:r>
      <w:r>
        <w:rPr/>
        <w:t xml:space="preserve"> and </w:t>
      </w:r>
      <w:r>
        <w:rPr>
          <w:rStyle w:val="Emphasis"/>
        </w:rPr>
        <w:t>What each block buys where the pair is new</w:t>
      </w:r>
      <w:r>
        <w:rPr/>
        <w:t xml:space="preserve">; </w:t>
      </w:r>
      <w:r>
        <w:rPr>
          <w:rStyle w:val="SourceText"/>
          <w:sz w:val="18"/>
          <w:szCs w:val="18"/>
        </w:rPr>
        <w:t>reports/monthly_seeds.md</w:t>
      </w:r>
      <w:r>
        <w:rPr/>
        <w:t xml:space="preserve">, </w:t>
      </w:r>
      <w:r>
        <w:rPr>
          <w:rStyle w:val="Emphasis"/>
        </w:rPr>
        <w:t>Each block's months, against each month's floor</w:t>
      </w:r>
      <w:r>
        <w:rPr/>
        <w:t>.</w:t>
      </w:r>
    </w:p>
    <w:p>
      <w:pPr>
        <w:pStyle w:val="Heading3"/>
        <w:numPr>
          <w:ilvl w:val="0"/>
          <w:numId w:val="0"/>
        </w:numPr>
        <w:bidi w:val="0"/>
        <w:spacing w:before="140" w:after="120"/>
        <w:jc w:val="left"/>
        <w:rPr/>
      </w:pPr>
      <w:bookmarkStart w:id="157" w:name="sec_6_3"/>
      <w:bookmarkStart w:id="156" w:name="_Toc000029"/>
      <w:r>
        <w:rPr/>
        <w:t>6.3 The flight plan's own delay signal</w:t>
      </w:r>
      <w:bookmarkEnd w:id="156"/>
      <w:bookmarkEnd w:id="157"/>
    </w:p>
    <w:p>
      <w:pPr>
        <w:pStyle w:val="BodyText"/>
        <w:bidi w:val="0"/>
        <w:spacing w:lineRule="auto" w:line="276" w:before="0" w:after="140"/>
        <w:jc w:val="left"/>
        <w:rPr/>
      </w:pPr>
      <w:r>
        <w:rPr/>
        <w:t xml:space="preserve">Take-off minus the filed off-block estimate is the strongest single feature in the model. As a ladder step it lowers the error by 79.3 s in December (320.2 → 240.9 s ex-flagged, that is, on the rows the record-quality term does not take) and 57.4 in July (407.3 → 349.9). Measured at the </w:t>
      </w:r>
      <w:r>
        <w:rPr>
          <w:rStyle w:val="SourceText"/>
        </w:rPr>
        <w:t>+ weather</w:t>
      </w:r>
      <w:r>
        <w:rPr/>
        <w:t xml:space="preserve"> rung, by removing it and keeping everything else, it is worth 59.3 and 51.7. Either way it is worth more than every congestion and weather block combined, which net of it are worth 7.7 s and 5.8.</w:t>
      </w:r>
    </w:p>
    <w:p>
      <w:pPr>
        <w:pStyle w:val="BodyText"/>
        <w:bidi w:val="0"/>
        <w:spacing w:lineRule="auto" w:line="276" w:before="0" w:after="140"/>
        <w:jc w:val="left"/>
        <w:rPr/>
      </w:pPr>
      <w:r>
        <w:rPr/>
        <w:t xml:space="preserve">The feature is admissible for the same reason the record-quality term is.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xml:space="preserve">, which is such a record, is excluded from the base configuration. The final configuration admits it (</w:t>
      </w:r>
      <w:hyperlink w:anchor="sec_8_7_3" w:history="1">
        <w:r>
          <w:rPr>
            <w:rStyle w:val="InternalRef"/>
          </w:rPr>
          <w:t xml:space="preserve">§8.7.3</w:t>
        </w:r>
      </w:hyperlink>
      <w:r>
        <w:rPr/>
        <w:t xml:space="preserve">) under the challenge's post-hoc framing: the data page documents the field, and the ranking set blanks only the block time and the taxi time.</w:t>
      </w:r>
    </w:p>
    <w:p>
      <w:pPr>
        <w:pStyle w:val="BodyText"/>
        <w:bidi w:val="0"/>
        <w:spacing w:lineRule="auto" w:line="276" w:before="0" w:after="140"/>
        <w:jc w:val="left"/>
        <w:rPr/>
      </w:pPr>
      <w:r>
        <w:rPr/>
        <w:t xml:space="preserve">Its held-out-pair contrast is −1.4 s [−5.8, +3.2], an interval that spans zero. It helps equally whether the pair is new or familiar, which is what a feature about the day rather than the place should do. The ladder is reported both with it and without it, and the regime exposure is bounded in </w:t>
      </w:r>
      <w:hyperlink w:anchor="sec_7_3" w:history="1">
        <w:r>
          <w:rPr>
            <w:rStyle w:val="InternalRef"/>
          </w:rPr>
          <w:t xml:space="preserve">§7.3</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sz w:val="18"/>
          <w:szCs w:val="18"/>
        </w:rPr>
        <w:t>reports/congestion.md</w:t>
      </w:r>
      <w:r>
        <w:rPr/>
        <w:t xml:space="preserve">, </w:t>
      </w:r>
      <w:r>
        <w:rPr>
          <w:rStyle w:val="Emphasis"/>
        </w:rPr>
        <w:t>Regime exposure</w:t>
      </w:r>
      <w:r>
        <w:rPr/>
        <w:t>.</w:t>
      </w:r>
    </w:p>
    <w:p>
      <w:pPr>
        <w:pStyle w:val="Heading3"/>
        <w:numPr>
          <w:ilvl w:val="0"/>
          <w:numId w:val="0"/>
        </w:numPr>
        <w:bidi w:val="0"/>
        <w:spacing w:before="140" w:after="120"/>
        <w:jc w:val="left"/>
        <w:rPr/>
      </w:pPr>
      <w:bookmarkStart w:id="159" w:name="sec_6_4"/>
      <w:bookmarkStart w:id="158" w:name="_Toc000030"/>
      <w:r>
        <w:rPr/>
        <w:t>6.4 The queue layer that was not built</w:t>
      </w:r>
      <w:bookmarkEnd w:id="158"/>
      <w:bookmarkEnd w:id="159"/>
    </w:p>
    <w:p>
      <w:pPr>
        <w:pStyle w:val="BodyText"/>
        <w:bidi w:val="0"/>
        <w:spacing w:lineRule="auto" w:line="276" w:before="0" w:after="140"/>
        <w:jc w:val="left"/>
        <w:rPr/>
      </w:pPr>
      <w:r>
        <w:rPr/>
        <w:t xml:space="preserve">An oracle diagnostic bounds what a queue layer could have added. It regresses a departure's residual on the mean residual of its same-runway neighbors, quantities no admissible feature may read and which a queue model is precisely an attempt to approximate. On the base configuration, the ceiling is </w:t>
      </w:r>
      <w:r>
        <w:rPr>
          <w:rStyle w:val="Strong"/>
        </w:rPr>
        <w:t>8.2 s in December and 8.3 in July</w:t>
      </w:r>
      <w:r>
        <w:rPr/>
        <w:t>; the lag-1 autocorrelation of consecutive same-runway residuals under two minutes is 0.19 and 0.09.</w:t>
      </w:r>
    </w:p>
    <w:p>
      <w:pPr>
        <w:pStyle w:val="BodyText"/>
        <w:bidi w:val="0"/>
        <w:spacing w:lineRule="auto" w:line="276" w:before="0" w:after="140"/>
        <w:jc w:val="left"/>
        <w:rPr/>
      </w:pPr>
      <w:r>
        <w:rPr/>
        <w:t>The plan-lag block is what closed that ceiling. On the full model fitted without that block the same ceiling is 31.5 s and 27.5, and the autocorrelation 0.31 and 0.17. Most of what a queue model would have found was therefore the day's delay against plan, and the cheapest possible feature had already taken it.</w:t>
      </w:r>
    </w:p>
    <w:p>
      <w:pPr>
        <w:pStyle w:val="BodyText"/>
        <w:bidi w:val="0"/>
        <w:spacing w:lineRule="auto" w:line="276" w:before="0" w:after="140"/>
        <w:jc w:val="left"/>
        <w:rPr/>
      </w:pPr>
      <w:r>
        <w:rPr/>
        <w:t>A saturation proxy was then built against that ceiling: the share of sub-90-second gaps, the minimum gap, and the span of the last three gaps on the subject's runway. Measured under the parameters then in force, it bought nothing. After the parameter sweep it cost half a second in December and eight tenths in July against the rung it was added to, and the rung carrying it had a ceiling of 10.0 and 8.5, within a second of the model's own. The queue-model work was stopped because of that measurement, not because time ran out; the stop is recorded in the plan, and the submission is not fitted from the block.</w:t>
      </w:r>
    </w:p>
    <w:p>
      <w:pPr>
        <w:pStyle w:val="BodyText"/>
        <w:bidi w:val="0"/>
        <w:spacing w:lineRule="auto" w:line="276" w:before="0" w:after="140"/>
        <w:jc w:val="left"/>
        <w:rPr/>
      </w:pPr>
      <w:r>
        <w:rPr/>
        <w:t xml:space="preserve">The block stays on the ladder, and under the parameters that ship it reads differently, which is reported rather than smoothed over. Against </w:t>
      </w:r>
      <w:r>
        <w:rPr>
          <w:rStyle w:val="SourceText"/>
        </w:rPr>
        <w:t>+ weather</w:t>
      </w:r>
      <w:r>
        <w:rPr/>
        <w:t>, the rung it was added to, it now lowers the error slightly, from 233.2 s to 232.7 in December and from 344.1 to 343.4 in July, a change larger than the seed floor on both splits. Its held-out-pair contrast is −0.6 s [−1.2, −0.1], and its ceiling, 9.2 s and 8.3, sits beside the base configuration's 8.2 and 8.3. It has never been measured on top of the rung the submission is now fitted from, so what it would add there is not known.</w:t>
      </w:r>
    </w:p>
    <w:p>
      <w:pPr>
        <w:pStyle w:val="BodyText"/>
        <w:bidi w:val="0"/>
        <w:spacing w:lineRule="auto" w:line="276" w:before="0" w:after="140"/>
        <w:jc w:val="left"/>
        <w:rPr/>
      </w:pPr>
      <w:r>
        <w:rPr/>
        <w:t>The diagnostic needs no model, which is why it could be run before one was built.</w:t>
      </w:r>
    </w:p>
    <w:p>
      <w:pPr>
        <w:pStyle w:val="SourceNote"/>
        <w:bidi w:val="0"/>
        <w:spacing w:lineRule="auto" w:line="252" w:before="0" w:after="200"/>
        <w:jc w:val="left"/>
        <w:rPr/>
      </w:pPr>
      <w:r>
        <w:rPr/>
        <w:t xml:space="preserve">Sources: </w:t>
      </w:r>
      <w:r>
        <w:rPr>
          <w:rStyle w:val="SourceText"/>
          <w:sz w:val="18"/>
          <w:szCs w:val="18"/>
        </w:rPr>
        <w:t>reports/congestion.md</w:t>
      </w:r>
      <w:r>
        <w:rPr/>
        <w:t xml:space="preserve">, </w:t>
      </w:r>
      <w:r>
        <w:rPr>
          <w:rStyle w:val="Emphasis"/>
        </w:rPr>
        <w:t>The ceiling</w:t>
      </w:r>
      <w:r>
        <w:rPr/>
        <w:t xml:space="preserve">; </w:t>
      </w:r>
      <w:r>
        <w:rPr>
          <w:rStyle w:val="SourceText"/>
          <w:sz w:val="18"/>
          <w:szCs w:val="18"/>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sz w:val="18"/>
          <w:szCs w:val="18"/>
        </w:rPr>
        <w:t>docs/plan.md</w:t>
      </w:r>
      <w:r>
        <w:rPr/>
        <w:t xml:space="preserve">, </w:t>
      </w:r>
      <w:r>
        <w:rPr>
          <w:rStyle w:val="Emphasis"/>
        </w:rPr>
        <w:t>When the data lands</w:t>
      </w:r>
      <w:r>
        <w:rPr/>
        <w:t>, a dated record, for the measurements of 3 and 4 September.</w:t>
      </w:r>
    </w:p>
    <w:p>
      <w:pPr>
        <w:pStyle w:val="Heading3"/>
        <w:numPr>
          <w:ilvl w:val="0"/>
          <w:numId w:val="0"/>
        </w:numPr>
        <w:bidi w:val="0"/>
        <w:spacing w:before="140" w:after="120"/>
        <w:jc w:val="left"/>
        <w:rPr/>
      </w:pPr>
      <w:bookmarkStart w:id="161" w:name="sec_6_5"/>
      <w:bookmarkStart w:id="160" w:name="_Toc000031"/>
      <w:r>
        <w:rPr/>
        <w:t>6.5 The stand's recent history, and the bound inside it</w:t>
      </w:r>
      <w:bookmarkEnd w:id="160"/>
      <w:bookmarkEnd w:id="161"/>
    </w:p>
    <w:p>
      <w:pPr>
        <w:pStyle w:val="BodyText"/>
        <w:bidi w:val="0"/>
        <w:spacing w:lineRule="auto" w:line="276" w:before="0" w:after="140"/>
        <w:jc w:val="left"/>
        <w:rPr/>
      </w:pPr>
      <w:r>
        <w:rPr/>
        <w:t xml:space="preserve">The stand-occupancy block is the largest of the four blocks added last (the others are the three smaller blocks below). It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w:t>
      </w:r>
      <w:hyperlink w:anchor="sec_6_1" w:history="1">
        <w:r>
          <w:rPr>
            <w:rStyle w:val="InternalRef"/>
          </w:rPr>
          <w:t xml:space="preserve">§6.1</w:t>
        </w:r>
      </w:hyperlink>
      <w:r>
        <w:rPr/>
        <w:t xml:space="preserve">). On the ladder it is worth 8.6 s in December (228.3 → 219.7 s ex-flagged) and 9.1 in July (342.2 → 333.0), the largest single step above the plan lags on either forward split; on the three, it is worth 16.0 s (256.6 → 240.6). Its held-out-pair contrast is +1.8 s [+0.8, +2.9]. The block buys slightly more where the pair is new, which is what a stand-level quantity should do where the encoding has nothing to say about the stand.</w:t>
      </w:r>
    </w:p>
    <w:p>
      <w:pPr>
        <w:pStyle w:val="BodyText"/>
        <w:bidi w:val="0"/>
        <w:spacing w:lineRule="auto" w:line="276" w:before="0" w:after="140"/>
        <w:jc w:val="left"/>
        <w:rPr/>
      </w:pPr>
      <w:r>
        <w:rPr>
          <w:rStyle w:val="Strong"/>
        </w:rPr>
        <w:t>The bound, and where it holds.</w:t>
      </w:r>
      <w:r>
        <w:rPr/>
        <w:t xml:space="preserve"> The bound is true only in a band of the gap. A stand holds one aircraft, so an arrival that on-blocks at the subject's stand before the subject takes off means the subject had already pushed back, and the gap is a lower bound on its taxi-out. That is why the block was built. Measured on the December rows of the rung that never read the gap, the bound behaves as follows. Under twenty minutes it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A floor can only act where the model is below the gap, and where the bound is true the model already obeys it. Instead, it enters as a feature, and the booster finds the band.</w:t>
      </w:r>
    </w:p>
    <w:p>
      <w:pPr>
        <w:pStyle w:val="BodyText"/>
        <w:bidi w:val="0"/>
        <w:spacing w:lineRule="auto" w:line="276" w:before="0" w:after="140"/>
        <w:jc w:val="left"/>
        <w:rPr/>
      </w:pPr>
      <w:r>
        <w:rPr>
          <w:rStyle w:val="Strong"/>
        </w:rPr>
        <w:t>Where the gain lands, and how much of it is the bound.</w:t>
      </w:r>
      <w:r>
        <w:rPr/>
        <w:t xml:space="preserve"> The bound accounts for a minority of the block on every leg. The block's reduction in squared error is a sum over rows, so it can be attributed to disjoint bands of the gap and the shares add. The 20–45 minute band is 1.0% of December's rows and 20.9% of the block's reduction in squared error (its cut); on the July three, 1.9% and 34.9%. Inside that band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Past an hour the gap bounds nothing, and the block still earns there. In December, 46.4% of the cut sits on gaps over an hour where the previous arrival was the subject's own type, the subject's own inbound, against 10.1% on the July three, where the short gaps carry the block instead. What the block reads at those gaps is the stand's recent history: the inbound's lateness and taxi-in, the scheduled ground time, and whether the aircraft on the stand was the subject's own. That is a turnaround-pattern signal, admissible on exactly the same footing as the bound and a different thing from it. Because that share of the cut, 46.4% in December against 10.1% on the July three, moves by a factor of several between the legs, a sentence about what this block </w:t>
      </w:r>
      <w:r>
        <w:rPr>
          <w:rStyle w:val="Emphasis"/>
        </w:rPr>
        <w:t>is</w:t>
      </w:r>
      <w:r>
        <w:rPr/>
        <w:t xml:space="preserve"> has to name the leg it is true of.</w:t>
      </w:r>
    </w:p>
    <w:p>
      <w:pPr>
        <w:pStyle w:val="BodyText"/>
        <w:bidi w:val="0"/>
        <w:spacing w:lineRule="auto" w:line="276" w:before="0" w:after="14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This is one of the places in this work where a feature depends on the challenge's post-hoc framing; the final configuration's features on </w:t>
      </w:r>
      <w:r>
        <w:rPr>
          <w:rStyle w:val="SourceText"/>
        </w:rPr>
        <w:t>AOBT_3_flt</w:t>
      </w:r>
      <w:r>
        <w:rPr/>
        <w:t xml:space="preserve"> and its ground-movement correction (</w:t>
      </w:r>
      <w:hyperlink w:anchor="sec_8_7_3" w:history="1">
        <w:r>
          <w:rPr>
            <w:rStyle w:val="InternalRef"/>
          </w:rPr>
          <w:t xml:space="preserve">§8.7.3</w:t>
        </w:r>
      </w:hyperlink>
      <w:r>
        <w:rPr/>
        <w:t xml:space="preserve">, </w:t>
      </w:r>
      <w:hyperlink w:anchor="sec_8_7_4" w:history="1">
        <w:r>
          <w:rPr>
            <w:rStyle w:val="InternalRef"/>
          </w:rPr>
          <w:t xml:space="preserve">§8.7.4</w:t>
        </w:r>
      </w:hyperlink>
      <w:r>
        <w:rPr/>
        <w:t xml:space="preserve">) are the others. How much of the block would survive an operational rule is measured rather than argued. A diagnostic rung, not a step of the ladder and not in the submission, re-anchors the block on the schedule: it takes the stand's last arrival at or before the subject's </w:t>
      </w:r>
      <w:r>
        <w:rPr>
          <w:rStyle w:val="Emphasis"/>
        </w:rPr>
        <w:t>scheduled</w:t>
      </w:r>
      <w:r>
        <w:rPr/>
        <w:t xml:space="preserve"> time and reads every column from that choice, so that nothing in it needs the take-off.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figures are lower bounds. On the three, however, the block is a post-hoc instrument almost entirely, and this section says so rather than burying it.</w:t>
      </w:r>
    </w:p>
    <w:p>
      <w:pPr>
        <w:pStyle w:val="BodyText"/>
        <w:bidi w:val="0"/>
        <w:spacing w:lineRule="auto" w:line="276" w:before="0" w:after="140"/>
        <w:jc w:val="left"/>
        <w:rPr/>
      </w:pPr>
      <w:r>
        <w:rPr>
          <w:rStyle w:val="Strong"/>
        </w:rPr>
        <w:t>The headroom overshoot.</w:t>
      </w:r>
      <w:r>
        <w:rPr/>
        <w:t xml:space="preserve"> Before each of the four blocks was built, its likely gain was estimated from the residuals of a frozen model (</w:t>
      </w:r>
      <w:r>
        <w:rPr>
          <w:rStyle w:val="SourceText"/>
        </w:rPr>
        <w:t>docs/review_headroom.md</w:t>
      </w:r>
      <w:r>
        <w:rPr/>
        <w:t xml:space="preserve">), and a test flags a block whose refit gain beats its estimate by more than five seconds. On the July three this block takes +16.0 s against an estimated +10.3, an overshoot of 5.681 s at 1.55 times the estimate, so the test fires by 0.681 s. That is inside the leg's seed floor of 1.02 s, so the verdict is within what changing the seed alone produces. The test was built as a leakage audit and it is not one: the review, written before the test ever fired, established that a booster fitted on a frozen model's stored residuals bounds a refit from below, so the gap between the two is the value of an interaction and not evidence of leakage. The leakage test proper is the source registry and the poison tests of </w:t>
      </w:r>
      <w:hyperlink w:anchor="sec_6_1" w:history="1">
        <w:r>
          <w:rPr>
            <w:rStyle w:val="InternalRef"/>
          </w:rPr>
          <w:t xml:space="preserve">§6.1</w:t>
        </w:r>
      </w:hyperlink>
      <w:r>
        <w:rPr/>
        <w:t xml:space="preserve">, and it passes. The block stays in the model on the reading that an overshoot inside the floor cannot tell leakage from noise. That reading was adopted after the number was seen, and this paper says so; what carries the weight is the date of the review, not the reinterpretation. The other reading is leakage, and it is the one the test exists for.</w:t>
      </w:r>
    </w:p>
    <w:p>
      <w:pPr>
        <w:pStyle w:val="BodyText"/>
        <w:bidi w:val="0"/>
        <w:spacing w:lineRule="auto" w:line="276" w:before="0" w:after="140"/>
        <w:jc w:val="left"/>
        <w:rPr/>
      </w:pPr>
      <w:r>
        <w:rPr/>
        <w:t xml:space="preserve">The test has also read differently from one regeneration of the ladder to the next, each time moved by something other than the block: 1.54 times the estimate on the first regeneration of the ladder, firing by 0.56 s; 1.48 on the second, missing by 0.029 s; 1.52 on the third, firing by 0.37 s; 1.42 on the fourth,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w:t>
      </w:r>
      <w:hyperlink w:anchor="sec_6_1" w:history="1">
        <w:r>
          <w:rPr>
            <w:rStyle w:val="InternalRef"/>
          </w:rPr>
          <w:t xml:space="preserve">§6.1</w:t>
        </w:r>
      </w:hyperlink>
      <w:r>
        <w:rPr/>
        <w:t xml:space="preserve">;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spacing w:lineRule="auto" w:line="276" w:before="0" w:after="140"/>
        <w:jc w:val="left"/>
        <w:rPr/>
      </w:pPr>
      <w:r>
        <w:rPr/>
        <w:t xml:space="preserve">Three smaller blocks stand on it in the chain (the operator read as the callsign prefix, the destination's bearing and distance with the holiday calendar, and the plan's two differences) and are read in </w:t>
      </w:r>
      <w:hyperlink w:anchor="sec_7_2" w:history="1">
        <w:r>
          <w:rPr>
            <w:rStyle w:val="InternalRef"/>
          </w:rPr>
          <w:t xml:space="preserve">§7.2</w:t>
        </w:r>
      </w:hyperlink>
      <w:r>
        <w:rPr/>
        <w:t xml:space="preserve"> and </w:t>
      </w:r>
      <w:hyperlink w:anchor="sec_8_4" w:history="1">
        <w:r>
          <w:rPr>
            <w:rStyle w:val="InternalRef"/>
          </w:rPr>
          <w:t xml:space="preserve">§8.4</w:t>
        </w:r>
      </w:hyperlink>
      <w:r>
        <w:rPr/>
        <w:t xml:space="preserve">, each net of the blocks below it.</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sz w:val="18"/>
          <w:szCs w:val="18"/>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sz w:val="18"/>
          <w:szCs w:val="18"/>
        </w:rPr>
        <w:t>reports/headroom.md</w:t>
      </w:r>
      <w:r>
        <w:rPr/>
        <w:t xml:space="preserve">, </w:t>
      </w:r>
      <w:r>
        <w:rPr>
          <w:rStyle w:val="Emphasis"/>
        </w:rPr>
        <w:t>The ratios</w:t>
      </w:r>
      <w:r>
        <w:rPr/>
        <w:t xml:space="preserve">; </w:t>
      </w:r>
      <w:r>
        <w:rPr>
          <w:rStyle w:val="SourceText"/>
          <w:sz w:val="18"/>
          <w:szCs w:val="18"/>
        </w:rPr>
        <w:t>docs/review_headroom.md</w:t>
      </w:r>
      <w:r>
        <w:rPr/>
        <w:t xml:space="preserve">, </w:t>
      </w:r>
      <w:hyperlink w:anchor="sec_7" w:history="1">
        <w:r>
          <w:rPr>
            <w:rStyle w:val="InternalRef"/>
          </w:rPr>
          <w:t xml:space="preserve">§7</w:t>
        </w:r>
      </w:hyperlink>
      <w:r>
        <w:rPr/>
        <w:t xml:space="preserve">, a dated record of 8 September; </w:t>
      </w:r>
      <w:r>
        <w:rPr>
          <w:rStyle w:val="SourceText"/>
          <w:sz w:val="18"/>
          <w:szCs w:val="18"/>
        </w:rPr>
        <w:t>docs/modelling_notes.md</w:t>
      </w:r>
      <w:r>
        <w:rPr/>
        <w:t xml:space="preserve">, </w:t>
      </w:r>
      <w:r>
        <w:rPr>
          <w:rStyle w:val="Emphasis"/>
        </w:rPr>
        <w:t>Leakage watch</w:t>
      </w:r>
      <w:r>
        <w:rPr/>
        <w:t>.</w:t>
      </w:r>
    </w:p>
    <w:p>
      <w:pPr>
        <w:pStyle w:val="Heading2"/>
        <w:numPr>
          <w:ilvl w:val="0"/>
          <w:numId w:val="0"/>
        </w:numPr>
        <w:bidi w:val="0"/>
        <w:spacing w:before="200" w:after="120"/>
        <w:jc w:val="left"/>
        <w:rPr/>
      </w:pPr>
      <w:bookmarkStart w:id="163" w:name="sec_7"/>
      <w:bookmarkStart w:id="162" w:name="_Toc000032"/>
      <w:r>
        <w:rPr/>
        <w:t>7. Validation</w:t>
      </w:r>
      <w:bookmarkEnd w:id="162"/>
      <w:bookmarkEnd w:id="163"/>
    </w:p>
    <w:p>
      <w:pPr>
        <w:pStyle w:val="Heading3"/>
        <w:numPr>
          <w:ilvl w:val="0"/>
          <w:numId w:val="0"/>
        </w:numPr>
        <w:bidi w:val="0"/>
        <w:spacing w:before="140" w:after="120"/>
        <w:jc w:val="left"/>
        <w:rPr/>
      </w:pPr>
      <w:bookmarkStart w:id="165" w:name="sec_7_1"/>
      <w:bookmarkStart w:id="164" w:name="_Toc000033"/>
      <w:r>
        <w:rPr/>
        <w:t>7.1 The design, fixed before anything was fitted</w:t>
      </w:r>
      <w:bookmarkEnd w:id="164"/>
      <w:bookmarkEnd w:id="165"/>
    </w:p>
    <w:p>
      <w:pPr>
        <w:pStyle w:val="BodyText"/>
        <w:bidi w:val="0"/>
        <w:spacing w:lineRule="auto" w:line="276" w:before="0" w:after="140"/>
        <w:jc w:val="left"/>
        <w:rPr/>
      </w:pPr>
      <w:r>
        <w:rPr/>
        <w:t xml:space="preserve">The design has three parts: two forward splits, a held-out-pair split and pair-frequency strata. In the forward splits, December 2025 at all ten airports stands in for January 2026, and July 2025 at all ten for July 2026. The three, Frankfurt, Heathrow and Schiphol, are also read on their own, as a second July reading. The held-out-pair split is GroupKFold over stand-to-runway pairs. Random K-fold on rows is never used, because congestion is autocorrelated over hours. The three-airport reading is kept as it was fixed; any rule below that reads it says so, and </w:t>
      </w:r>
      <w:hyperlink w:anchor="sec_8" w:history="1">
        <w:r>
          <w:rPr>
            <w:rStyle w:val="InternalRef"/>
          </w:rPr>
          <w:t xml:space="preserve">§8</w:t>
        </w:r>
      </w:hyperlink>
      <w:r>
        <w:rPr/>
        <w:t xml:space="preserve"> says which July figure it quotes.</w:t>
      </w:r>
    </w:p>
    <w:p>
      <w:pPr>
        <w:pStyle w:val="BodyText"/>
        <w:bidi w:val="0"/>
        <w:spacing w:lineRule="auto" w:line="276" w:before="0" w:after="140"/>
        <w:jc w:val="left"/>
        <w:rPr/>
      </w:pPr>
      <w:r>
        <w:rPr/>
        <w:t xml:space="preserve">The held-out unit is the </w:t>
      </w:r>
      <w:r>
        <w:rPr>
          <w:rStyle w:val="Strong"/>
        </w:rPr>
        <w:t>pair</w:t>
      </w:r>
      <w:r>
        <w:rPr/>
        <w:t xml:space="preserve">, not the stand. Every stand and runway is still seen in other pairs, so this split bounds what the geometry buys on a new combination; it does not isolate what the geometry would buy on a new stand, which no split of this data can measure. The claim is a difference in differences, what a block is worth on held-out pairs minus what it is worth on seen ones, so composition cancels. Intervals come from a cluster bootstrap over pairs, 1,000 draws, resampling stored residuals; no model is refitted. After the freeze the ladder was also read with every month of 2025 held out in turn. That diagnostic is not forward in time and decides nothing (</w:t>
      </w:r>
      <w:hyperlink w:anchor="sec_3_5" w:history="1">
        <w:r>
          <w:rPr>
            <w:rStyle w:val="InternalRef"/>
          </w:rPr>
          <w:t xml:space="preserve">§3.5</w:t>
        </w:r>
      </w:hyperlink>
      <w:r>
        <w:rPr/>
        <w:t xml:space="preserve">); </w:t>
      </w:r>
      <w:hyperlink w:anchor="sec_8" w:history="1">
        <w:r>
          <w:rPr>
            <w:rStyle w:val="InternalRef"/>
          </w:rPr>
          <w:t xml:space="preserve">§8</w:t>
        </w:r>
      </w:hyperlink>
      <w:r>
        <w:rPr/>
        <w:t xml:space="preserve"> and the annexes carry it, and the forward splits remain the proxies for the two test months.</w:t>
      </w:r>
    </w:p>
    <w:p>
      <w:pPr>
        <w:pStyle w:val="SourceNote"/>
        <w:bidi w:val="0"/>
        <w:spacing w:lineRule="auto" w:line="252" w:before="0" w:after="200"/>
        <w:jc w:val="left"/>
        <w:rPr/>
      </w:pPr>
      <w:r>
        <w:rPr/>
        <w:t xml:space="preserve">Source: </w:t>
      </w:r>
      <w:r>
        <w:rPr>
          <w:rStyle w:val="SourceText"/>
          <w:sz w:val="18"/>
          <w:szCs w:val="18"/>
        </w:rPr>
        <w:t>reports/baseline.md</w:t>
      </w:r>
      <w:r>
        <w:rPr/>
        <w:t xml:space="preserve">, </w:t>
      </w:r>
      <w:r>
        <w:rPr>
          <w:rStyle w:val="Emphasis"/>
        </w:rPr>
        <w:t>Held-out pairs</w:t>
      </w:r>
      <w:r>
        <w:rPr/>
        <w:t>.</w:t>
      </w:r>
    </w:p>
    <w:p>
      <w:pPr>
        <w:pStyle w:val="Heading4"/>
        <w:numPr>
          <w:ilvl w:val="0"/>
          <w:numId w:val="0"/>
        </w:numPr>
        <w:bidi w:val="0"/>
        <w:spacing w:before="120" w:after="120"/>
        <w:jc w:val="left"/>
        <w:rPr/>
      </w:pPr>
      <w:bookmarkStart w:id="167" w:name="sec_7_1_1"/>
      <w:bookmarkStart w:id="166" w:name="_Toc000034"/>
      <w:r>
        <w:rPr/>
        <w:t>7.1.1 What the forward legs cannot see</w:t>
      </w:r>
      <w:bookmarkEnd w:id="166"/>
      <w:bookmarkEnd w:id="167"/>
    </w:p>
    <w:p>
      <w:pPr>
        <w:pStyle w:val="BodyText"/>
        <w:bidi w:val="0"/>
        <w:spacing w:lineRule="auto" w:line="276" w:before="0" w:after="140"/>
        <w:jc w:val="left"/>
        <w:rPr/>
      </w:pPr>
      <w:r>
        <w:rPr/>
        <w:t xml:space="preserve">This subsection gives three limitations of the design above, each measured and not asserted. None changes the claim of </w:t>
      </w:r>
      <w:hyperlink w:anchor="sec_7_2" w:history="1">
        <w:r>
          <w:rPr>
            <w:rStyle w:val="InternalRef"/>
          </w:rPr>
          <w:t xml:space="preserve">§7.2</w:t>
        </w:r>
      </w:hyperlink>
      <w:r>
        <w:rPr/>
        <w:t xml:space="preserve">; each bounds how the forward legs can be read. The measurements were made under the parameters then in force and were not repeated under the parameters that ship, so every figure here is read from the dated record the experiments wrote (</w:t>
      </w:r>
      <w:hyperlink w:anchor="sec_3_7" w:history="1">
        <w:r>
          <w:rPr>
            <w:rStyle w:val="InternalRef"/>
          </w:rPr>
          <w:t xml:space="preserve">§3.7</w:t>
        </w:r>
      </w:hyperlink>
      <w:r>
        <w:rPr/>
        <w:t xml:space="preserve">).</w:t>
      </w:r>
    </w:p>
    <w:p>
      <w:pPr>
        <w:pStyle w:val="BodyText"/>
        <w:bidi w:val="0"/>
        <w:spacing w:lineRule="auto" w:line="276" w:before="0" w:after="140"/>
        <w:jc w:val="left"/>
        <w:rPr/>
      </w:pPr>
      <w:r>
        <w:rPr>
          <w:rStyle w:val="Emphasis"/>
        </w:rPr>
        <w:t>The season columns.</w:t>
      </w:r>
      <w:r>
        <w:rPr/>
        <w:t xml:space="preserve"> Under the parameters then in force, the rung the base configuration is fitted from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xml:space="preserve">, at its first seed and with everything else unchanged. A rule fixed before the sign was known said no adoption would follow either way. Removing the columns improved December by 0.40 s and the ranking mix by 0.30, and cost July 1.15 s on the three and 0.77 s pooled over all ten, so the sign is not the same on the two legs. The measurement, however, answers a question the ranking months do not ask. Both forward legs validate on a month and a day-of-year range the training side never held (December after January to November, and July after January to June), whereas the ranking months, January 2026 and July 2026, each have their twin in the training year. The legs therefore extrapolate on these columns where the final fit interpolates. A held-out-month split, training around a month and validating inside it, would answer the question the ranking months do ask, but it breaks the forward discipline every leg here keeps. When this subsection was written, it named that split as the one that would answer the question; the split was later run as a diagnostic after the freeze (</w:t>
      </w:r>
      <w:hyperlink w:anchor="sec_3_5" w:history="1">
        <w:r>
          <w:rPr>
            <w:rStyle w:val="InternalRef"/>
          </w:rPr>
          <w:t xml:space="preserve">§3.5</w:t>
        </w:r>
      </w:hyperlink>
      <w:r>
        <w:rPr/>
        <w:t xml:space="preserve">, </w:t>
      </w:r>
      <w:hyperlink w:anchor="sec_8_2" w:history="1">
        <w:r>
          <w:rPr>
            <w:rStyle w:val="InternalRef"/>
          </w:rPr>
          <w:t xml:space="preserve">§8.2</w:t>
        </w:r>
      </w:hyperlink>
      <w:r>
        <w:rPr/>
        <w:t xml:space="preserve">), without repeating the season-column experiment on it. The columns stay in the model.</w:t>
      </w:r>
    </w:p>
    <w:p>
      <w:pPr>
        <w:pStyle w:val="BodyText"/>
        <w:bidi w:val="0"/>
        <w:spacing w:lineRule="auto" w:line="276" w:before="0" w:after="140"/>
        <w:jc w:val="left"/>
        <w:rPr/>
      </w:pPr>
      <w:r>
        <w:rPr>
          <w:rStyle w:val="Emphasis"/>
        </w:rPr>
        <w:t>Two instruments, and the first time they disagreed.</w:t>
      </w:r>
      <w:r>
        <w:rPr/>
        <w:t xml:space="preserve"> This paper sizes a difference two ways. The seed floor is root two times the standard deviation of five single-seed fits of one rung on one leg; it asks how far a figure moves when nothing but the random seed does. The interval is a day-clustered percentile interval over the evaluation set, with days as the clusters and the same draw for both arms; it asks how far the figure would move on another sample of days. They measure different things, and they can disagree about the same contrast. They did on the season columns above. Three of the four differences (December, the ranking mix, July over all ten and the three) were outside their leg's seed floor, while every interval printed spanned zero: December all ten at −0.40 s against a floor of 0.34 with an interval of [−1.6, +0.9], and July all ten at +0.77 against 0.23 with [−0.2, +2.3]. Nothing chose between the two instruments there, and nothing needed to, because no adoption followed. They disagreed again over the booster setting, and </w:t>
      </w:r>
      <w:hyperlink w:anchor="sec_7_1_2" w:history="1">
        <w:r>
          <w:rPr>
            <w:rStyle w:val="InternalRef"/>
          </w:rPr>
          <w:t xml:space="preserve">§7.1.2</w:t>
        </w:r>
      </w:hyperlink>
      <w:r>
        <w:rPr/>
        <w:t xml:space="preserve"> gives that occasion. </w:t>
      </w:r>
      <w:r>
        <w:rPr>
          <w:rStyle w:val="Strong"/>
        </w:rPr>
        <w:t>Where a figure in this paper is called real or called noise, the sentence says which instrument said so.</w:t>
      </w:r>
    </w:p>
    <w:p>
      <w:pPr>
        <w:pStyle w:val="BodyText"/>
        <w:bidi w:val="0"/>
        <w:spacing w:lineRule="auto" w:line="276" w:before="0" w:after="14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therefore cannot separate recency from season. For the January 2026 ranking rows the two agree. For the July 2026 rows they do not: the most recent training month, December 2025, is seasonally opposite, and the seasonal twin, July 2025, is five months older. The gap leg was built to break the confound. It trains on January to June 2025 and scores December, which is the July 2026 geometry as nearly as one training year permits, without the twin month. Two recency schedules were fixed in advance, with weights halving every 3 and every 12 months over the booster's fitting rows, together with a pass or fail test fixed at printed precision.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was rejected because the test compares figures at printed precision, and at that precision its 224.8 s is worse than the reference's 224.7. </w:t>
      </w:r>
      <w:r>
        <w:rPr>
          <w:rStyle w:val="Strong"/>
        </w:rPr>
        <w:t>The reason no recency term ships is that test,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SourceNote"/>
        <w:bidi w:val="0"/>
        <w:spacing w:lineRule="auto" w:line="252" w:before="0" w:after="200"/>
        <w:jc w:val="left"/>
        <w:rPr/>
      </w:pPr>
      <w:r>
        <w:rPr/>
        <w:t xml:space="preserve">Source: </w:t>
      </w:r>
      <w:r>
        <w:rPr>
          <w:rStyle w:val="SourceText"/>
          <w:sz w:val="18"/>
          <w:szCs w:val="18"/>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4"/>
        <w:numPr>
          <w:ilvl w:val="0"/>
          <w:numId w:val="0"/>
        </w:numPr>
        <w:bidi w:val="0"/>
        <w:spacing w:before="120" w:after="120"/>
        <w:jc w:val="left"/>
        <w:rPr/>
      </w:pPr>
      <w:bookmarkStart w:id="169" w:name="sec_7_1_2"/>
      <w:bookmarkStart w:id="168" w:name="_Toc000035"/>
      <w:r>
        <w:rPr/>
        <w:t>7.1.2 The rules under the parameters that ship, and how those parameters were chosen</w:t>
      </w:r>
      <w:bookmarkEnd w:id="168"/>
      <w:bookmarkEnd w:id="169"/>
    </w:p>
    <w:p>
      <w:pPr>
        <w:pStyle w:val="BodyText"/>
        <w:bidi w:val="0"/>
        <w:spacing w:lineRule="auto" w:line="276" w:before="0" w:after="140"/>
        <w:jc w:val="left"/>
        <w:rPr/>
      </w:pPr>
      <w:r>
        <w:rPr>
          <w:rStyle w:val="Emphasis"/>
        </w:rPr>
        <w:t>Printed precision, and the seed rule.</w:t>
      </w:r>
      <w:r>
        <w:rPr/>
        <w:t xml:space="preserve"> Printed precision in this paper is a tenth of a second, and every seed floor is larger than that: under the parameters that ship, 0.23 s on December, 0.54 on July over all ten airports, 1.02 on the three and 0.21 on October. A pass or fail test written at printed precision can therefore trip, in either direction, on a difference the same run calls seed noise, and in the recency test one did (</w:t>
      </w:r>
      <w:hyperlink w:anchor="sec_7_1_1" w:history="1">
        <w:r>
          <w:rPr>
            <w:rStyle w:val="InternalRef"/>
          </w:rPr>
          <w:t xml:space="preserve">§7.1.1</w:t>
        </w:r>
      </w:hyperlink>
      <w:r>
        <w:rPr/>
        <w:t xml:space="preserve">). That is a property of the rules as they were fixed; it was not changed after the fact, and the tests were applied as written. The rule for adopting the seed average, fixed before any measurement under it existed, compares gains with the seed floor, not with rounded figures. Under the parameters that ship, the five-seed average lowers the error by 1.11 s against the ladder's single seed in December, where the floor is 0.23, and by 1.46 s in July against 0.54; it beats every single seed on both legs and passes the rule with a margin. Under the parameter setting (cell) the second sweep chose, the margin was thin: July gained 0.63 s against a floor of 0.61, and the report itself says that the standard deviation behind a floor measured from five seeds is uncertain by about 35%. The setting that ships widened that margin rather than resting on it.</w:t>
      </w:r>
    </w:p>
    <w:p>
      <w:pPr>
        <w:pStyle w:val="BodyText"/>
        <w:bidi w:val="0"/>
        <w:spacing w:lineRule="auto" w:line="276" w:before="0" w:after="140"/>
        <w:jc w:val="left"/>
        <w:rPr/>
      </w:pPr>
      <w:r>
        <w:rPr>
          <w:rStyle w:val="Emphasis"/>
        </w:rPr>
        <w:t>The two instruments, a second time.</w:t>
      </w:r>
      <w:r>
        <w:rPr/>
        <w:t xml:space="preserve"> The floor and the interval disagreed a second time, about the booster cell that ships. Against the cell it replaced, it reads 0.4654 s better, 2.56 times the seed floor, while its day-clustered interval, [−0.9492, +0.0009], spans zero by nine ten-thousandths of a second. The rule that chose the cell reads the floor and nothing else, so the interval decided nothing; both are printed. It is the second time this work has met such a disagreement, after the season columns of </w:t>
      </w:r>
      <w:hyperlink w:anchor="sec_7_1_1" w:history="1">
        <w:r>
          <w:rPr>
            <w:rStyle w:val="InternalRef"/>
          </w:rPr>
          <w:t xml:space="preserve">§7.1.1</w:t>
        </w:r>
      </w:hyperlink>
      <w:r>
        <w:rPr/>
        <w:t xml:space="preserve">.</w:t>
      </w:r>
    </w:p>
    <w:p>
      <w:pPr>
        <w:pStyle w:val="BodyText"/>
        <w:bidi w:val="0"/>
        <w:spacing w:lineRule="auto" w:line="276" w:before="0" w:after="140"/>
        <w:jc w:val="left"/>
        <w:rPr/>
      </w:pPr>
      <w:r>
        <w:rPr>
          <w:rStyle w:val="Emphasis"/>
        </w:rPr>
        <w:t>How the booster's parameters were chosen, including the part that was not planned.</w:t>
      </w:r>
      <w:r>
        <w:rPr/>
        <w:t xml:space="preserve"> The parameters were tuned on October 2025, a month no rung of the ladder scores, by two sweeps and one extension of the second, all fitting January to September 2025. The first sweep ran on the rung that was then the top of the ladder and under fit rules that have since changed, and its figures are not comparable with the second's (</w:t>
      </w:r>
      <w:hyperlink w:anchor="sec_9_3" w:history="1">
        <w:r>
          <w:rPr>
            <w:rStyle w:val="InternalRef"/>
          </w:rPr>
          <w:t xml:space="preserve">§9.3</w:t>
        </w:r>
      </w:hyperlink>
      <w:r>
        <w:rPr/>
        <w:t xml:space="preserve">). The second sweep was pre-registered and permitted once. It read twenty-seven cells on the rung the base configuration is fitted from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That rule was reopened after the edge was recorded and with October's error known to be still falling toward it. The step was taken with the result in view, and it is stated here as such rather than presented as the plan. The extension's criteria were fixed in writing before any figure past the edge existed. Three of the four axes were probed, one step out each, independently. They were chosen from the sweep's own gradients, which is a design choice and is disclosed as one; the learning rate was the axis left out. The trees axis won: 6,000 trees read 214.3041 s against 214.9045, 0.6004 s better, 3.31 times the seed floor, on one leaf setting, and there the day-clustered interval agreed with the floor. The other two lost, 511 leaves by 0.2274 s and a minimum child sample of 10 by 0.2381 s. At 6,000 the trees axis was on an edge again, with October still falling at 4,000, 5,000 and 6,000, and the extension's criteria ended the search there.</w:t>
      </w:r>
    </w:p>
    <w:p>
      <w:pPr>
        <w:pStyle w:val="BodyText"/>
        <w:bidi w:val="0"/>
        <w:spacing w:lineRule="auto" w:line="276" w:before="0" w:after="14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et al. (1984) exists for: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that the choice is visible rather than implied. The shipped cell is the worse of the two readings, and it is presented as the cheaper of two cells the evidence cannot separate, not as the better score.</w:t>
      </w:r>
    </w:p>
    <w:p>
      <w:pPr>
        <w:pStyle w:val="BodyText"/>
        <w:bidi w:val="0"/>
        <w:spacing w:lineRule="auto" w:line="276" w:before="0" w:after="14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not a measurement. It is computed under independent, normally distributed seed noise with every cell at one level, which is the largest the shortfall can be. The measurement came before the extension was probed: the four cells within one floor of the sweep's best were refitted at a second seed, and the sweep's chosen cell went from first of the four to last, and of the six pairwise orderings among the four, four reversed. The trees result is read differently, as the difference between two fits that share a seed, a difference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sz w:val="18"/>
          <w:szCs w:val="18"/>
        </w:rPr>
        <w:t>src/taxiout/models.py</w:t>
      </w:r>
      <w:r>
        <w:rPr/>
        <w:t xml:space="preserve">, the comment on </w:t>
      </w:r>
      <w:r>
        <w:rPr>
          <w:rStyle w:val="SourceText"/>
          <w:sz w:val="18"/>
          <w:szCs w:val="18"/>
        </w:rPr>
        <w:t>BOOSTER_PARAMS</w:t>
      </w:r>
      <w:r>
        <w:rPr/>
        <w:t xml:space="preserve">, which is the repository's own account of the sweeps, the extension and the cost decision; </w:t>
      </w:r>
      <w:r>
        <w:rPr>
          <w:rStyle w:val="SourceText"/>
          <w:sz w:val="18"/>
          <w:szCs w:val="18"/>
        </w:rPr>
        <w:t>src/taxiout/provenance.py</w:t>
      </w:r>
      <w:r>
        <w:rPr/>
        <w:t xml:space="preserve">, the basis of </w:t>
      </w:r>
      <w:r>
        <w:rPr>
          <w:rStyle w:val="SourceText"/>
          <w:sz w:val="18"/>
          <w:szCs w:val="18"/>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sz w:val="18"/>
          <w:szCs w:val="18"/>
        </w:rPr>
        <w:t>scripts/commit_extension_probe.sh</w:t>
      </w:r>
      <w:r>
        <w:rPr/>
        <w:t>.</w:t>
      </w:r>
    </w:p>
    <w:p>
      <w:pPr>
        <w:pStyle w:val="Heading3"/>
        <w:numPr>
          <w:ilvl w:val="0"/>
          <w:numId w:val="0"/>
        </w:numPr>
        <w:bidi w:val="0"/>
        <w:spacing w:before="140" w:after="120"/>
        <w:jc w:val="left"/>
        <w:rPr/>
      </w:pPr>
      <w:bookmarkStart w:id="171" w:name="sec_7_2"/>
      <w:bookmarkStart w:id="170" w:name="_Toc000036"/>
      <w:r>
        <w:rPr/>
        <w:t>7.2 The ladder, and the claim</w:t>
      </w:r>
      <w:bookmarkEnd w:id="170"/>
      <w:bookmarkEnd w:id="171"/>
    </w:p>
    <w:p>
      <w:pPr>
        <w:pStyle w:val="BodyText"/>
        <w:bidi w:val="0"/>
        <w:spacing w:lineRule="auto" w:line="276" w:before="0" w:after="140"/>
        <w:jc w:val="left"/>
        <w:rPr/>
      </w:pPr>
      <w:r>
        <w:rPr/>
        <w:t xml:space="preserve">The ladder reports every rung on both splits, ex-flagged and with the record-quality term, and the seen-versus-held-out contrast per rung with its interval. The base configuration is fitted from </w:t>
      </w:r>
      <w:r>
        <w:rPr>
          <w:rStyle w:val="SourceText"/>
        </w:rPr>
        <w:t>+ plan differences</w:t>
      </w:r>
      <w:r>
        <w:rPr/>
        <w:t xml:space="preserve">, the last rung, reached once the four blocks of </w:t>
      </w:r>
      <w:hyperlink w:anchor="sec_6_5" w:history="1">
        <w:r>
          <w:rPr>
            <w:rStyle w:val="InternalRef"/>
          </w:rPr>
          <w:t xml:space="preserve">§6.5</w:t>
        </w:r>
      </w:hyperlink>
      <w:r>
        <w:rPr/>
        <w:t xml:space="preserve"> are added. That rung reads 214.7 s (December) and 322.4 (July) ex-flagged on the ladder's own single seed; </w:t>
      </w:r>
      <w:hyperlink w:anchor="sec_8" w:history="1">
        <w:r>
          <w:rPr>
            <w:rStyle w:val="InternalRef"/>
          </w:rPr>
          <w:t xml:space="preserve">§8</w:t>
        </w:r>
      </w:hyperlink>
      <w:r>
        <w:rPr/>
        <w:t xml:space="preserve"> gives the figures of the base configuration. Each rung is read against the rung below it, and the three versions of the shrunk encoding of </w:t>
      </w:r>
      <w:hyperlink w:anchor="sec_7_4" w:history="1">
        <w:r>
          <w:rPr>
            <w:rStyle w:val="InternalRef"/>
          </w:rPr>
          <w:t xml:space="preserve">§7.4</w:t>
        </w:r>
      </w:hyperlink>
      <w:r>
        <w:rPr/>
        <w:t xml:space="preserve"> against </w:t>
      </w:r>
      <w:r>
        <w:rPr>
          <w:rStyle w:val="SourceText"/>
        </w:rPr>
        <w:t>+ weather</w:t>
      </w:r>
      <w:r>
        <w:rPr/>
        <w:t>, at 233.2 and 344.1.</w:t>
      </w:r>
    </w:p>
    <w:p>
      <w:pPr>
        <w:pStyle w:val="BodyText"/>
        <w:bidi w:val="0"/>
        <w:spacing w:lineRule="auto" w:line="276" w:before="0" w:after="140"/>
        <w:jc w:val="left"/>
        <w:rPr/>
      </w:pPr>
      <w:r>
        <w:rPr/>
        <w:t xml:space="preserve">The claim contrast, identifiers + time → identifiers + time + geometry, is </w:t>
      </w:r>
      <w:r>
        <w:rPr>
          <w:rStyle w:val="Strong"/>
        </w:rPr>
        <w:t>+18.5 s [+16.7, +20.5]</w:t>
      </w:r>
      <w:r>
        <w:rPr/>
        <w:t>: the geometry block lowers the error by 0.4 s where the model has seen the pair and by 19.0 s where it has not. The interval excludes zero.</w:t>
      </w:r>
    </w:p>
    <w:p>
      <w:pPr>
        <w:pStyle w:val="BodyText"/>
        <w:bidi w:val="0"/>
        <w:spacing w:lineRule="auto" w:line="276" w:before="0" w:after="140"/>
        <w:jc w:val="left"/>
        <w:rPr/>
      </w:pPr>
      <w:r>
        <w:rPr/>
        <w:t>Two neighboring rows are worth reading beside it, because they are what gives the claim its meaning. The step from the geometric unimpeded term, with the wake class, to the identifier model is −41.3 s [−47.1, −35.7]: identifiers beat geometry outright where the pair is known, which is the objection this work has to answer. The step into the geometry block from identifiers is where that reverses. Together they show that the two encodings are not competing descriptions of the same thing (one memorizes a pair, the other computes it), and only the held-out-pair split can tell them apart.</w:t>
      </w:r>
    </w:p>
    <w:p>
      <w:pPr>
        <w:pStyle w:val="BodyText"/>
        <w:bidi w:val="0"/>
        <w:spacing w:lineRule="auto" w:line="276" w:before="0" w:after="140"/>
        <w:jc w:val="left"/>
        <w:rPr/>
      </w:pPr>
      <w:r>
        <w:rPr/>
        <w:t xml:space="preserve">Three versions of the rung above </w:t>
      </w:r>
      <w:r>
        <w:rPr>
          <w:rStyle w:val="SourceText"/>
        </w:rPr>
        <w:t>+ weather</w:t>
      </w:r>
      <w:r>
        <w:rPr/>
        <w:t xml:space="preserve"> carry a shrunk identifier encoding. They are the subject of </w:t>
      </w:r>
      <w:hyperlink w:anchor="sec_7_4" w:history="1">
        <w:r>
          <w:rPr>
            <w:rStyle w:val="InternalRef"/>
          </w:rPr>
          <w:t xml:space="preserve">§7.4</w:t>
        </w:r>
      </w:hyperlink>
      <w:r>
        <w:rPr/>
        <w:t xml:space="preserve">, and one of them is carried into the base configuration; the claim contrast is measured near the foot of the ladder, where neither rung carries it.</w:t>
      </w:r>
    </w:p>
    <w:p>
      <w:pPr>
        <w:pStyle w:val="BodyText"/>
        <w:bidi w:val="0"/>
        <w:spacing w:lineRule="auto" w:line="276" w:before="0" w:after="14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w:t>
      </w:r>
      <w:hyperlink w:anchor="sec_7_1" w:history="1">
        <w:r>
          <w:rPr>
            <w:rStyle w:val="InternalRef"/>
          </w:rPr>
          <w:t xml:space="preserve">§7.1</w:t>
        </w:r>
      </w:hyperlink>
      <w:r>
        <w:rPr/>
        <w:t xml:space="preserve">: how much more the block lowers the error on pairs the model has never seen than on pairs it has, with its 95% interval. A change smaller than the seed floor, 0.23 s in December and 0.54 in July, cannot be told from what changing the random seed alone does; </w:t>
      </w:r>
      <w:r>
        <w:rPr>
          <w:rStyle w:val="SourceText"/>
        </w:rPr>
        <w:t>reports/baseline.md</w:t>
      </w:r>
      <w:r>
        <w:rPr/>
        <w:t xml:space="preserve"> lists by name the steps inside that floor.</w:t>
      </w:r>
    </w:p>
    <w:tbl>
      <w:tblPr>
        <w:tblW w:w="9972" w:type="dxa"/>
        <w:jc w:val="left"/>
        <w:tblInd w:w="58" w:type="dxa"/>
        <w:tblLayout w:type="fixed"/>
        <w:tblCellMar>
          <w:top w:w="36" w:type="dxa"/>
          <w:left w:w="58" w:type="dxa"/>
          <w:bottom w:w="36" w:type="dxa"/>
          <w:right w:w="58" w:type="dxa"/>
        </w:tblCellMar>
      </w:tblPr>
      <w:tblGrid>
        <w:gridCol w:w="1216"/>
        <w:gridCol w:w="1375"/>
        <w:gridCol w:w="1476"/>
        <w:gridCol w:w="1476"/>
        <w:gridCol w:w="1476"/>
        <w:gridCol w:w="1476"/>
        <w:gridCol w:w="1477"/>
      </w:tblGrid>
      <w:tr>
        <w:trPr>
          <w:tblHeader w:val="true"/>
          <w:cantSplit/>
        </w:trPr>
        <w:tc>
          <w:tcPr>
            <w:tcW w:w="1216"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block added</w:t>
            </w:r>
          </w:p>
        </w:tc>
        <w:tc>
          <w:tcPr>
            <w:tcW w:w="137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what it reads</w:t>
            </w:r>
          </w:p>
        </w:tc>
        <w:tc>
          <w:tcPr>
            <w:tcW w:w="147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December (s)</w:t>
            </w:r>
          </w:p>
        </w:tc>
        <w:tc>
          <w:tcPr>
            <w:tcW w:w="147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change (s)</w:t>
            </w:r>
          </w:p>
        </w:tc>
        <w:tc>
          <w:tcPr>
            <w:tcW w:w="147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July (s)</w:t>
            </w:r>
          </w:p>
        </w:tc>
        <w:tc>
          <w:tcPr>
            <w:tcW w:w="147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change (s)</w:t>
            </w:r>
          </w:p>
        </w:tc>
        <w:tc>
          <w:tcPr>
            <w:tcW w:w="147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held-out-pair difference [95%]</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identifiers + time</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airport, stand, runway, pair; clock and calendar</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324.0</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410.9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geometry</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the routed stand-to-runway distance and route shape</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321.7</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2.27</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411.1</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+0.14</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+18.5 [+16.7, +20.5]</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aircraft</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wake class and type</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320.2</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1.5</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407.3</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3.8</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+4.2 [+3.2, +5.3]</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plan lags</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take-off against the plan's off-block estimates and the schedule</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240.9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79.3</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349.9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57.4</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1.4 [−5.8, +3.2]</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congestion and weather, six blocks</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throughput, arrivals, demand, runway configuration, shared corridor, weather flags</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233.2</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7.7</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344.1</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5.8</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shrunk encoding, replacing the stand</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the pair's training mean shrunk toward the geometry</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228.3</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4.9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342.2</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1.9</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4.4 [−5.8, −3.0]</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stand occupancy</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the last arrival at the subject's stand</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219.7</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8.60</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333.0</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9.12</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+1.8 [+0.8, +2.9]</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callsign prefix</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the operator</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217.6</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2.11</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328.4</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4.64</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+0.7 [−0.8, +2.2]</w:t>
            </w:r>
          </w:p>
        </w:tc>
      </w:tr>
      <w:tr>
        <w:trPr>
          <w:cantSplit/>
        </w:trPr>
        <w:tc>
          <w:tcPr>
            <w:tcW w:w="1216" w:type="dxa"/>
            <w:tcBorders>
              <w:bottom w:val="single" w:sz="2" w:space="0" w:color="BBBBBB"/>
            </w:tcBorders>
          </w:tcPr>
          <w:p>
            <w:pPr>
              <w:pStyle w:val="TableContents"/>
              <w:bidi w:val="0"/>
              <w:spacing w:lineRule="auto" w:line="240" w:before="0" w:after="0"/>
              <w:jc w:val="left"/>
              <w:rPr>
                <w:sz w:val="16"/>
                <w:szCs w:val="16"/>
              </w:rPr>
            </w:pPr>
            <w:r>
              <w:rPr>
                <w:sz w:val="16"/>
                <w:szCs w:val="16"/>
              </w:rPr>
              <w:t>destination and holidays</w:t>
            </w:r>
          </w:p>
        </w:tc>
        <w:tc>
          <w:tcPr>
            <w:tcW w:w="1375" w:type="dxa"/>
            <w:tcBorders>
              <w:bottom w:val="single" w:sz="2" w:space="0" w:color="BBBBBB"/>
            </w:tcBorders>
          </w:tcPr>
          <w:p>
            <w:pPr>
              <w:pStyle w:val="TableContents"/>
              <w:bidi w:val="0"/>
              <w:spacing w:lineRule="auto" w:line="240" w:before="0" w:after="0"/>
              <w:jc w:val="left"/>
              <w:rPr>
                <w:sz w:val="16"/>
                <w:szCs w:val="16"/>
              </w:rPr>
            </w:pPr>
            <w:r>
              <w:rPr>
                <w:sz w:val="16"/>
                <w:szCs w:val="16"/>
              </w:rPr>
              <w:t>where the flight goes; the public-holiday calendar</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215.8</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1.79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326.9</w:t>
            </w:r>
          </w:p>
        </w:tc>
        <w:tc>
          <w:tcPr>
            <w:tcW w:w="1476"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1.49</w:t>
            </w:r>
          </w:p>
        </w:tc>
        <w:tc>
          <w:tcPr>
            <w:tcW w:w="1477"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0.4 [−1.1, +0.4]</w:t>
            </w:r>
          </w:p>
        </w:tc>
      </w:tr>
      <w:tr>
        <w:trPr>
          <w:cantSplit/>
        </w:trPr>
        <w:tc>
          <w:tcPr>
            <w:tcW w:w="1216" w:type="dxa"/>
            <w:tcBorders>
              <w:bottom w:val="single" w:sz="6" w:space="0" w:color="000000"/>
            </w:tcBorders>
          </w:tcPr>
          <w:p>
            <w:pPr>
              <w:pStyle w:val="TableContents"/>
              <w:bidi w:val="0"/>
              <w:spacing w:lineRule="auto" w:line="240" w:before="0" w:after="0"/>
              <w:jc w:val="left"/>
              <w:rPr>
                <w:sz w:val="16"/>
                <w:szCs w:val="16"/>
              </w:rPr>
            </w:pPr>
            <w:r>
              <w:rPr>
                <w:sz w:val="16"/>
                <w:szCs w:val="16"/>
              </w:rPr>
              <w:t>plan differences (the base configuration)</w:t>
            </w:r>
          </w:p>
        </w:tc>
        <w:tc>
          <w:tcPr>
            <w:tcW w:w="1375" w:type="dxa"/>
            <w:tcBorders>
              <w:bottom w:val="single" w:sz="6" w:space="0" w:color="000000"/>
            </w:tcBorders>
          </w:tcPr>
          <w:p>
            <w:pPr>
              <w:pStyle w:val="TableContents"/>
              <w:bidi w:val="0"/>
              <w:spacing w:lineRule="auto" w:line="240" w:before="0" w:after="0"/>
              <w:jc w:val="left"/>
              <w:rPr>
                <w:sz w:val="16"/>
                <w:szCs w:val="16"/>
              </w:rPr>
            </w:pPr>
            <w:r>
              <w:rPr>
                <w:sz w:val="16"/>
                <w:szCs w:val="16"/>
              </w:rPr>
              <w:t>the plan's own off-block values against each other</w:t>
            </w:r>
          </w:p>
        </w:tc>
        <w:tc>
          <w:tcPr>
            <w:tcW w:w="1476" w:type="dxa"/>
            <w:tcBorders>
              <w:bottom w:val="single" w:sz="6" w:space="0" w:color="000000"/>
            </w:tcBorders>
          </w:tcPr>
          <w:p>
            <w:pPr>
              <w:pStyle w:val="TableContents"/>
              <w:bidi w:val="0"/>
              <w:spacing w:lineRule="auto" w:line="240" w:before="0" w:after="0"/>
              <w:jc w:val="right"/>
              <w:rPr>
                <w:sz w:val="16"/>
                <w:szCs w:val="16"/>
              </w:rPr>
            </w:pPr>
            <w:r>
              <w:rPr>
                <w:sz w:val="16"/>
                <w:szCs w:val="16"/>
              </w:rPr>
              <w:t>214.7</w:t>
            </w:r>
          </w:p>
        </w:tc>
        <w:tc>
          <w:tcPr>
            <w:tcW w:w="1476" w:type="dxa"/>
            <w:tcBorders>
              <w:bottom w:val="single" w:sz="6" w:space="0" w:color="000000"/>
            </w:tcBorders>
          </w:tcPr>
          <w:p>
            <w:pPr>
              <w:pStyle w:val="TableContents"/>
              <w:bidi w:val="0"/>
              <w:spacing w:lineRule="auto" w:line="240" w:before="0" w:after="0"/>
              <w:jc w:val="right"/>
              <w:rPr>
                <w:sz w:val="16"/>
                <w:szCs w:val="16"/>
              </w:rPr>
            </w:pPr>
            <w:r>
              <w:rPr>
                <w:sz w:val="16"/>
                <w:szCs w:val="16"/>
              </w:rPr>
              <w:t>−</w:t>
            </w:r>
            <w:r>
              <w:rPr>
                <w:sz w:val="16"/>
                <w:szCs w:val="16"/>
              </w:rPr>
              <w:t>1.14</w:t>
            </w:r>
          </w:p>
        </w:tc>
        <w:tc>
          <w:tcPr>
            <w:tcW w:w="1476" w:type="dxa"/>
            <w:tcBorders>
              <w:bottom w:val="single" w:sz="6" w:space="0" w:color="000000"/>
            </w:tcBorders>
          </w:tcPr>
          <w:p>
            <w:pPr>
              <w:pStyle w:val="TableContents"/>
              <w:bidi w:val="0"/>
              <w:spacing w:lineRule="auto" w:line="240" w:before="0" w:after="0"/>
              <w:jc w:val="right"/>
              <w:rPr>
                <w:sz w:val="16"/>
                <w:szCs w:val="16"/>
              </w:rPr>
            </w:pPr>
            <w:r>
              <w:rPr>
                <w:sz w:val="16"/>
                <w:szCs w:val="16"/>
              </w:rPr>
              <w:t>322.4</w:t>
            </w:r>
          </w:p>
        </w:tc>
        <w:tc>
          <w:tcPr>
            <w:tcW w:w="1476" w:type="dxa"/>
            <w:tcBorders>
              <w:bottom w:val="single" w:sz="6" w:space="0" w:color="000000"/>
            </w:tcBorders>
          </w:tcPr>
          <w:p>
            <w:pPr>
              <w:pStyle w:val="TableContents"/>
              <w:bidi w:val="0"/>
              <w:spacing w:lineRule="auto" w:line="240" w:before="0" w:after="0"/>
              <w:jc w:val="right"/>
              <w:rPr>
                <w:sz w:val="16"/>
                <w:szCs w:val="16"/>
              </w:rPr>
            </w:pPr>
            <w:r>
              <w:rPr>
                <w:sz w:val="16"/>
                <w:szCs w:val="16"/>
              </w:rPr>
              <w:t>−</w:t>
            </w:r>
            <w:r>
              <w:rPr>
                <w:sz w:val="16"/>
                <w:szCs w:val="16"/>
              </w:rPr>
              <w:t>4.55</w:t>
            </w:r>
          </w:p>
        </w:tc>
        <w:tc>
          <w:tcPr>
            <w:tcW w:w="1477" w:type="dxa"/>
            <w:tcBorders>
              <w:bottom w:val="single" w:sz="6" w:space="0" w:color="000000"/>
            </w:tcBorders>
          </w:tcPr>
          <w:p>
            <w:pPr>
              <w:pStyle w:val="TableContents"/>
              <w:bidi w:val="0"/>
              <w:spacing w:lineRule="auto" w:line="240" w:before="0" w:after="0"/>
              <w:jc w:val="right"/>
              <w:rPr>
                <w:sz w:val="16"/>
                <w:szCs w:val="16"/>
              </w:rPr>
            </w:pPr>
            <w:r>
              <w:rPr>
                <w:sz w:val="16"/>
                <w:szCs w:val="16"/>
              </w:rPr>
              <w:t>−</w:t>
            </w:r>
            <w:r>
              <w:rPr>
                <w:sz w:val="16"/>
                <w:szCs w:val="16"/>
              </w:rPr>
              <w:t>1.0 [−2.5, +0.4]</w:t>
            </w:r>
          </w:p>
        </w:tc>
      </w:tr>
    </w:tbl>
    <w:p>
      <w:pPr>
        <w:pStyle w:val="BodyText"/>
        <w:bidi w:val="0"/>
        <w:spacing w:lineRule="auto" w:line="276" w:before="160" w:after="140"/>
        <w:jc w:val="left"/>
        <w:rPr/>
      </w:pPr>
      <w:r>
        <w:rPr/>
        <w:t xml:space="preserve">The table supports three readings. The plan lags are worth more than every other block together, and they are not about the place: their held-out contrast has an interval that includes zero. The geometry is worth almost nothing on a forward split and is the only block whose worth is concentrated on pairs the model has never seen. The encoding is the reverse: it gains on the forward splits and loses on held-out pairs, which is what smoothed memorization does (</w:t>
      </w:r>
      <w:hyperlink w:anchor="sec_7_4" w:history="1">
        <w:r>
          <w:rPr>
            <w:rStyle w:val="InternalRef"/>
          </w:rPr>
          <w:t xml:space="preserve">§7.4</w:t>
        </w:r>
      </w:hyperlink>
      <w:r>
        <w:rPr/>
        <w:t xml:space="preserve">). The congestion blocks are read one by one in </w:t>
      </w:r>
      <w:r>
        <w:rPr>
          <w:rStyle w:val="SourceText"/>
        </w:rPr>
        <w:t>reports/baseline.md</w:t>
      </w:r>
      <w:r>
        <w:rPr/>
        <w:t xml:space="preserve">; each is under two seconds net of the plan lags. </w:t>
      </w:r>
      <w:hyperlink w:anchor="sec_8_4" w:history="1">
        <w:r>
          <w:rPr>
            <w:rStyle w:val="InternalRef"/>
          </w:rPr>
          <w:t xml:space="preserve">§8.4</w:t>
        </w:r>
      </w:hyperlink>
      <w:r>
        <w:rPr/>
        <w:t xml:space="preserve"> reads the same table over the twelve months of the training year held out in turn, with each block's change pooled over the year and counted against the floor measured in each month.</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numPr>
          <w:ilvl w:val="0"/>
          <w:numId w:val="0"/>
        </w:numPr>
        <w:bidi w:val="0"/>
        <w:spacing w:before="140" w:after="120"/>
        <w:jc w:val="left"/>
        <w:rPr/>
      </w:pPr>
      <w:bookmarkStart w:id="173" w:name="sec_7_3"/>
      <w:bookmarkStart w:id="172" w:name="_Toc000037"/>
      <w:r>
        <w:rPr/>
        <w:t>7.3 Exposure to a shift between the training year and the ranking months</w:t>
      </w:r>
      <w:bookmarkEnd w:id="172"/>
      <w:bookmarkEnd w:id="173"/>
    </w:p>
    <w:p>
      <w:pPr>
        <w:pStyle w:val="BodyText"/>
        <w:bidi w:val="0"/>
        <w:spacing w:lineRule="auto" w:line="276" w:before="0" w:after="140"/>
        <w:jc w:val="left"/>
        <w:rPr/>
      </w:pPr>
      <w:r>
        <w:rPr/>
        <w:t>Three exposures, each stated as a bound rather than an estimate, and one extrapolation that the final model does not make.</w:t>
      </w:r>
    </w:p>
    <w:p>
      <w:pPr>
        <w:pStyle w:val="BodyText"/>
        <w:bidi w:val="0"/>
        <w:spacing w:lineRule="auto" w:line="276" w:before="0" w:after="14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shift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spacing w:lineRule="auto" w:line="276" w:before="0" w:after="14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largest July exposure. It is not among the three, and its July departures take off eight minutes earlier against their filed estimates than in July 2025, the largest shift at any airport in either month.</w:t>
      </w:r>
    </w:p>
    <w:p>
      <w:pPr>
        <w:pStyle w:val="BodyText"/>
        <w:bidi w:val="0"/>
        <w:spacing w:lineRule="auto" w:line="276" w:before="0" w:after="14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9972" w:type="dxa"/>
        <w:jc w:val="left"/>
        <w:tblInd w:w="58" w:type="dxa"/>
        <w:tblLayout w:type="fixed"/>
        <w:tblCellMar>
          <w:top w:w="36" w:type="dxa"/>
          <w:left w:w="58" w:type="dxa"/>
          <w:bottom w:w="36" w:type="dxa"/>
          <w:right w:w="58" w:type="dxa"/>
        </w:tblCellMar>
      </w:tblPr>
      <w:tblGrid>
        <w:gridCol w:w="1484"/>
        <w:gridCol w:w="1824"/>
        <w:gridCol w:w="2674"/>
        <w:gridCol w:w="1569"/>
        <w:gridCol w:w="2421"/>
      </w:tblGrid>
      <w:tr>
        <w:trPr>
          <w:tblHeader w:val="true"/>
          <w:cantSplit/>
        </w:trPr>
        <w:tc>
          <w:tcPr>
            <w:tcW w:w="148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airport</w:t>
            </w:r>
          </w:p>
        </w:tc>
        <w:tc>
          <w:tcPr>
            <w:tcW w:w="1824"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January shift</w:t>
            </w:r>
          </w:p>
        </w:tc>
        <w:tc>
          <w:tcPr>
            <w:tcW w:w="2674"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January worst-case cost</w:t>
            </w:r>
          </w:p>
        </w:tc>
        <w:tc>
          <w:tcPr>
            <w:tcW w:w="1569"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July shift</w:t>
            </w:r>
          </w:p>
        </w:tc>
        <w:tc>
          <w:tcPr>
            <w:tcW w:w="2421"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July worst-case cost</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Frankfurt</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+224</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+12.8</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135</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+4.7</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Munich</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+193</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+8.0</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104</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+3.0</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Heathrow</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+47</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+0.6</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127</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+3.4</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Schiphol</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+148</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+3.7</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74</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+0.9</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Barcelona</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+23</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+0.1</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93</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Madrid</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+92</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+1.7</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64</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+0.7</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Paris</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80</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+1.0</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480</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+31.0</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Fiumicino</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35</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+0.6</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83</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+1.1</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Zurich</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+178</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+5.0</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69</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+0.7</w:t>
            </w:r>
          </w:p>
        </w:tc>
      </w:tr>
      <w:tr>
        <w:trPr>
          <w:cantSplit/>
        </w:trPr>
        <w:tc>
          <w:tcPr>
            <w:tcW w:w="1484" w:type="dxa"/>
            <w:tcBorders>
              <w:bottom w:val="single" w:sz="2" w:space="0" w:color="BBBBBB"/>
            </w:tcBorders>
          </w:tcPr>
          <w:p>
            <w:pPr>
              <w:pStyle w:val="TableContents"/>
              <w:bidi w:val="0"/>
              <w:spacing w:lineRule="auto" w:line="240" w:before="0" w:after="0"/>
              <w:jc w:val="left"/>
              <w:rPr>
                <w:sz w:val="17"/>
                <w:szCs w:val="17"/>
              </w:rPr>
            </w:pPr>
            <w:r>
              <w:rPr>
                <w:sz w:val="17"/>
                <w:szCs w:val="17"/>
              </w:rPr>
              <w:t>Istanbul</w:t>
            </w:r>
          </w:p>
        </w:tc>
        <w:tc>
          <w:tcPr>
            <w:tcW w:w="1824" w:type="dxa"/>
            <w:tcBorders>
              <w:bottom w:val="single" w:sz="2" w:space="0" w:color="BBBBBB"/>
            </w:tcBorders>
          </w:tcPr>
          <w:p>
            <w:pPr>
              <w:pStyle w:val="TableContents"/>
              <w:bidi w:val="0"/>
              <w:spacing w:lineRule="auto" w:line="240" w:before="0" w:after="0"/>
              <w:jc w:val="right"/>
              <w:rPr>
                <w:sz w:val="17"/>
                <w:szCs w:val="17"/>
              </w:rPr>
            </w:pPr>
            <w:r>
              <w:rPr>
                <w:sz w:val="17"/>
                <w:szCs w:val="17"/>
              </w:rPr>
              <w:t>+288</w:t>
            </w:r>
          </w:p>
        </w:tc>
        <w:tc>
          <w:tcPr>
            <w:tcW w:w="2674" w:type="dxa"/>
            <w:tcBorders>
              <w:bottom w:val="single" w:sz="2" w:space="0" w:color="BBBBBB"/>
            </w:tcBorders>
          </w:tcPr>
          <w:p>
            <w:pPr>
              <w:pStyle w:val="TableContents"/>
              <w:bidi w:val="0"/>
              <w:spacing w:lineRule="auto" w:line="240" w:before="0" w:after="0"/>
              <w:jc w:val="right"/>
              <w:rPr>
                <w:sz w:val="17"/>
                <w:szCs w:val="17"/>
              </w:rPr>
            </w:pPr>
            <w:r>
              <w:rPr>
                <w:sz w:val="17"/>
                <w:szCs w:val="17"/>
              </w:rPr>
              <w:t>+20.3</w:t>
            </w:r>
          </w:p>
        </w:tc>
        <w:tc>
          <w:tcPr>
            <w:tcW w:w="1569" w:type="dxa"/>
            <w:tcBorders>
              <w:bottom w:val="single" w:sz="2" w:space="0" w:color="BBBBBB"/>
            </w:tcBorders>
          </w:tcPr>
          <w:p>
            <w:pPr>
              <w:pStyle w:val="TableContents"/>
              <w:bidi w:val="0"/>
              <w:spacing w:lineRule="auto" w:line="240" w:before="0" w:after="0"/>
              <w:jc w:val="right"/>
              <w:rPr>
                <w:sz w:val="17"/>
                <w:szCs w:val="17"/>
              </w:rPr>
            </w:pPr>
            <w:r>
              <w:rPr>
                <w:sz w:val="17"/>
                <w:szCs w:val="17"/>
              </w:rPr>
              <w:t>−</w:t>
            </w:r>
            <w:r>
              <w:rPr>
                <w:sz w:val="17"/>
                <w:szCs w:val="17"/>
              </w:rPr>
              <w:t>192</w:t>
            </w:r>
          </w:p>
        </w:tc>
        <w:tc>
          <w:tcPr>
            <w:tcW w:w="2421" w:type="dxa"/>
            <w:tcBorders>
              <w:bottom w:val="single" w:sz="2" w:space="0" w:color="BBBBBB"/>
            </w:tcBorders>
          </w:tcPr>
          <w:p>
            <w:pPr>
              <w:pStyle w:val="TableContents"/>
              <w:bidi w:val="0"/>
              <w:spacing w:lineRule="auto" w:line="240" w:before="0" w:after="0"/>
              <w:jc w:val="right"/>
              <w:rPr>
                <w:sz w:val="17"/>
                <w:szCs w:val="17"/>
              </w:rPr>
            </w:pPr>
            <w:r>
              <w:rPr>
                <w:sz w:val="17"/>
                <w:szCs w:val="17"/>
              </w:rPr>
              <w:t>+7.1</w:t>
            </w:r>
          </w:p>
        </w:tc>
      </w:tr>
      <w:tr>
        <w:trPr>
          <w:cantSplit/>
        </w:trPr>
        <w:tc>
          <w:tcPr>
            <w:tcW w:w="1484" w:type="dxa"/>
            <w:tcBorders>
              <w:bottom w:val="single" w:sz="6" w:space="0" w:color="000000"/>
            </w:tcBorders>
          </w:tcPr>
          <w:p>
            <w:pPr>
              <w:pStyle w:val="TableContents"/>
              <w:bidi w:val="0"/>
              <w:spacing w:lineRule="auto" w:line="240" w:before="0" w:after="0"/>
              <w:jc w:val="left"/>
              <w:rPr>
                <w:sz w:val="17"/>
                <w:szCs w:val="17"/>
              </w:rPr>
            </w:pPr>
            <w:r>
              <w:rPr>
                <w:sz w:val="17"/>
                <w:szCs w:val="17"/>
              </w:rPr>
              <w:t>pooled</w:t>
            </w:r>
          </w:p>
        </w:tc>
        <w:tc>
          <w:tcPr>
            <w:tcW w:w="1824" w:type="dxa"/>
            <w:tcBorders>
              <w:bottom w:val="single" w:sz="6" w:space="0" w:color="000000"/>
            </w:tcBorders>
          </w:tcPr>
          <w:p>
            <w:pPr>
              <w:pStyle w:val="TableContents"/>
              <w:bidi w:val="0"/>
              <w:spacing w:lineRule="auto" w:line="240" w:before="0" w:after="0"/>
              <w:jc w:val="right"/>
              <w:rPr>
                <w:sz w:val="17"/>
                <w:szCs w:val="17"/>
              </w:rPr>
            </w:pPr>
            <w:r>
              <w:rPr>
                <w:sz w:val="17"/>
                <w:szCs w:val="17"/>
              </w:rPr>
            </w:r>
          </w:p>
        </w:tc>
        <w:tc>
          <w:tcPr>
            <w:tcW w:w="2674" w:type="dxa"/>
            <w:tcBorders>
              <w:bottom w:val="single" w:sz="6" w:space="0" w:color="000000"/>
            </w:tcBorders>
          </w:tcPr>
          <w:p>
            <w:pPr>
              <w:pStyle w:val="TableContents"/>
              <w:bidi w:val="0"/>
              <w:spacing w:lineRule="auto" w:line="240" w:before="0" w:after="0"/>
              <w:jc w:val="right"/>
              <w:rPr>
                <w:sz w:val="17"/>
                <w:szCs w:val="17"/>
              </w:rPr>
            </w:pPr>
            <w:r>
              <w:rPr>
                <w:sz w:val="17"/>
                <w:szCs w:val="17"/>
              </w:rPr>
              <w:t>+5.6</w:t>
            </w:r>
          </w:p>
        </w:tc>
        <w:tc>
          <w:tcPr>
            <w:tcW w:w="1569" w:type="dxa"/>
            <w:tcBorders>
              <w:bottom w:val="single" w:sz="6" w:space="0" w:color="000000"/>
            </w:tcBorders>
          </w:tcPr>
          <w:p>
            <w:pPr>
              <w:pStyle w:val="TableContents"/>
              <w:bidi w:val="0"/>
              <w:spacing w:lineRule="auto" w:line="240" w:before="0" w:after="0"/>
              <w:jc w:val="right"/>
              <w:rPr>
                <w:sz w:val="17"/>
                <w:szCs w:val="17"/>
              </w:rPr>
            </w:pPr>
            <w:r>
              <w:rPr>
                <w:sz w:val="17"/>
                <w:szCs w:val="17"/>
              </w:rPr>
            </w:r>
          </w:p>
        </w:tc>
        <w:tc>
          <w:tcPr>
            <w:tcW w:w="2421" w:type="dxa"/>
            <w:tcBorders>
              <w:bottom w:val="single" w:sz="6" w:space="0" w:color="000000"/>
            </w:tcBorders>
          </w:tcPr>
          <w:p>
            <w:pPr>
              <w:pStyle w:val="TableContents"/>
              <w:bidi w:val="0"/>
              <w:spacing w:lineRule="auto" w:line="240" w:before="0" w:after="0"/>
              <w:jc w:val="right"/>
              <w:rPr>
                <w:sz w:val="17"/>
                <w:szCs w:val="17"/>
              </w:rPr>
            </w:pPr>
            <w:r>
              <w:rPr>
                <w:sz w:val="17"/>
                <w:szCs w:val="17"/>
              </w:rPr>
              <w:t>+5.1</w:t>
            </w:r>
          </w:p>
        </w:tc>
      </w:tr>
    </w:tbl>
    <w:p>
      <w:pPr>
        <w:pStyle w:val="BodyText"/>
        <w:bidi w:val="0"/>
        <w:spacing w:lineRule="auto" w:line="276" w:before="160" w:after="140"/>
        <w:jc w:val="left"/>
        <w:rPr/>
      </w:pPr>
      <w:r>
        <w:rPr>
          <w:rStyle w:val="Strong"/>
        </w:rPr>
        <w:t>The winter regime.</w:t>
      </w:r>
      <w:r>
        <w:rPr/>
        <w:t xml:space="preserve"> January 2026 froze for 48% of Frankfurt's hours against 30% in 2025, and for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spacing w:lineRule="auto" w:line="276" w:before="0" w:after="140"/>
        <w:jc w:val="left"/>
        <w:rPr/>
      </w:pPr>
      <w:r>
        <w:rPr/>
        <w:t xml:space="preserve">What a winter month outside the model's experience costs is on the record once in the training year. Istanbul's February 2025 froze for 22.6% of its hours against a 2019 to 2024 range of 0.0% to 16.7%, and had precipitation in 39.1% against 9.1% to 23.5%. Read with that month held out, the shipped model scores 520.8 s there with a bias of −92 s and no row over four hours, against 173.4 to 237.1 s at six ordinary airports over the year (</w:t>
      </w:r>
      <w:hyperlink w:anchor="sec_8_3" w:history="1">
        <w:r>
          <w:rPr>
            <w:rStyle w:val="InternalRef"/>
          </w:rPr>
          <w:t xml:space="preserve">§8.3</w:t>
        </w:r>
      </w:hyperlink>
      <w:r>
        <w:rPr/>
        <w:t xml:space="preserve">). The seven February days above the month's figure had 10 to 20 freezing hours and plan lags of +1,454 to +2,486 s. January 2026 at the same airport froze for 14.8% of its hours against that February's 22.6%. Of its 31 days, 3 fall inside those seven days' range of freezing hours, 10 inside their range of plan lags, and 3 inside both; on freezing hours, 29 fall inside the range of the ordinary February days. That comparison is descriptive: the ranges come from 28 days of one airport-month, and no figure here says what January 2026 will score (</w:t>
      </w:r>
      <w:hyperlink w:anchor="annex_G" w:history="1">
        <w:r>
          <w:rPr>
            <w:rStyle w:val="InternalRef"/>
          </w:rPr>
          <w:t xml:space="preserve">Annex G</w:t>
        </w:r>
      </w:hyperlink>
      <w:r>
        <w:rPr/>
        <w:t xml:space="preserve">).</w:t>
      </w:r>
    </w:p>
    <w:p>
      <w:pPr>
        <w:pStyle w:val="BodyText"/>
        <w:bidi w:val="0"/>
        <w:spacing w:lineRule="auto" w:line="276" w:before="0" w:after="140"/>
        <w:jc w:val="left"/>
        <w:rPr/>
      </w:pPr>
      <w:r>
        <w:rPr>
          <w:rStyle w:val="Strong"/>
        </w:rPr>
        <w:t>The record-quality term's coverage.</w:t>
      </w:r>
      <w:r>
        <w:rPr/>
        <w:t xml:space="preserve"> The term is fitted on one airport's 2025 feed. An airport that begins defaulting block times in 2026 is not covered, and no rule fitted on 2025 could cover it. Pooling the term's cells across airports would cover more rows, but it assumes that every airport defaults block times at the same rate. The per-airport rates refute that in every lag-band cell a pooled rule would serve, in each of the three training sets the legs use, as </w:t>
      </w:r>
      <w:hyperlink w:anchor="sec_4" w:history="1">
        <w:r>
          <w:rPr>
            <w:rStyle w:val="InternalRef"/>
          </w:rPr>
          <w:t xml:space="preserve">§4</w:t>
        </w:r>
      </w:hyperlink>
      <w:r>
        <w:rPr/>
        <w:t xml:space="preserve"> shows. What remains is the exposure itself, which is bounded and is stated rather than turned into a score: 279 ranking rows sit where a pooled rule would have covered them, 138 of them at Schiphol in January 2026, and each such row at an airport whose feed starts defaulting would be an error of about a day.</w:t>
      </w:r>
    </w:p>
    <w:p>
      <w:pPr>
        <w:pStyle w:val="BodyText"/>
        <w:bidi w:val="0"/>
        <w:spacing w:lineRule="auto" w:line="276" w:before="0" w:after="140"/>
        <w:jc w:val="left"/>
        <w:rPr/>
      </w:pPr>
      <w:r>
        <w:rPr>
          <w:rStyle w:val="Strong"/>
        </w:rPr>
        <w:t>And one extrapolation the final fit does not make.</w:t>
      </w:r>
      <w:r>
        <w:rPr/>
        <w:t xml:space="preserve"> The July leg's Heathrow figures, the afternoon concentration of </w:t>
      </w:r>
      <w:hyperlink w:anchor="sec_9_5" w:history="1">
        <w:r>
          <w:rPr>
            <w:rStyle w:val="InternalRef"/>
          </w:rPr>
          <w:t xml:space="preserve">§9.5</w:t>
        </w:r>
      </w:hyperlink>
      <w:r>
        <w:rPr/>
        <w:t xml:space="preserve"> among them, are read from a model trained on January to June 2025, which holds no July. The final model is fitted on the whole training year, which holds July 2025's afternoons, with the hour and the runway in its frame. The leg therefore measures an extrapolation the final model does not make in the same form, and its Heathrow figures are a diagnostic rather than a bound on the ranking months.</w:t>
      </w:r>
    </w:p>
    <w:p>
      <w:pPr>
        <w:pStyle w:val="SourceNote"/>
        <w:bidi w:val="0"/>
        <w:spacing w:lineRule="auto" w:line="252" w:before="0" w:after="200"/>
        <w:jc w:val="left"/>
        <w:rPr/>
      </w:pPr>
      <w:r>
        <w:rPr/>
        <w:t xml:space="preserve">Sources: </w:t>
      </w:r>
      <w:r>
        <w:rPr>
          <w:rStyle w:val="SourceText"/>
          <w:sz w:val="18"/>
          <w:szCs w:val="18"/>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sz w:val="18"/>
          <w:szCs w:val="18"/>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sz w:val="18"/>
          <w:szCs w:val="18"/>
        </w:rPr>
        <w:t>reports/residual.md</w:t>
      </w:r>
      <w:r>
        <w:rPr/>
        <w:t xml:space="preserve">, </w:t>
      </w:r>
      <w:r>
        <w:rPr>
          <w:rStyle w:val="Emphasis"/>
        </w:rPr>
        <w:t>EGLL's July</w:t>
      </w:r>
      <w:r>
        <w:rPr/>
        <w:t xml:space="preserve">; </w:t>
      </w:r>
      <w:r>
        <w:rPr>
          <w:rStyle w:val="SourceText"/>
          <w:sz w:val="18"/>
          <w:szCs w:val="18"/>
        </w:rPr>
        <w:t>reports/monthly_ladder.md</w:t>
      </w:r>
      <w:r>
        <w:rPr/>
        <w:t xml:space="preserve">, </w:t>
      </w:r>
      <w:r>
        <w:rPr>
          <w:rStyle w:val="Emphasis"/>
        </w:rPr>
        <w:t>Annex E: the historic weather context</w:t>
      </w:r>
      <w:r>
        <w:rPr/>
        <w:t xml:space="preserve">; </w:t>
      </w:r>
      <w:r>
        <w:rPr>
          <w:rStyle w:val="SourceText"/>
          <w:sz w:val="18"/>
          <w:szCs w:val="18"/>
        </w:rPr>
        <w:t>reports/monthly_seeds.md</w:t>
      </w:r>
      <w:r>
        <w:rPr/>
        <w:t xml:space="preserve">, </w:t>
      </w:r>
      <w:r>
        <w:rPr>
          <w:rStyle w:val="Emphasis"/>
        </w:rPr>
        <w:t>Per airport and month: the five-seed average</w:t>
      </w:r>
      <w:r>
        <w:rPr/>
        <w:t xml:space="preserve">; </w:t>
      </w:r>
      <w:r>
        <w:rPr>
          <w:rStyle w:val="SourceText"/>
          <w:sz w:val="18"/>
          <w:szCs w:val="18"/>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numPr>
          <w:ilvl w:val="0"/>
          <w:numId w:val="0"/>
        </w:numPr>
        <w:bidi w:val="0"/>
        <w:spacing w:before="140" w:after="120"/>
        <w:jc w:val="left"/>
        <w:rPr/>
      </w:pPr>
      <w:bookmarkStart w:id="175" w:name="sec_7_4"/>
      <w:bookmarkStart w:id="174" w:name="_Toc000038"/>
      <w:r>
        <w:rPr/>
        <w:t>7.4 A block aimed at one place that paid in another: the shrunk encoding</w:t>
      </w:r>
      <w:bookmarkEnd w:id="174"/>
      <w:bookmarkEnd w:id="175"/>
    </w:p>
    <w:p>
      <w:pPr>
        <w:pStyle w:val="BodyText"/>
        <w:bidi w:val="0"/>
        <w:spacing w:lineRule="auto" w:line="276" w:before="0" w:after="140"/>
        <w:jc w:val="left"/>
        <w:rPr/>
      </w:pPr>
      <w:r>
        <w:rPr>
          <w:rStyle w:val="Emphasis"/>
        </w:rPr>
        <w:t>The measurement, the decision and the model agree: the version this section chooses is carried into the rung the base configuration is fitted from, through an inference-time encoder that computes the encoding once over the training year and is tested against the same leakage modes as the fold-wise one.</w:t>
      </w:r>
    </w:p>
    <w:p>
      <w:pPr>
        <w:pStyle w:val="BodyText"/>
        <w:bidi w:val="0"/>
        <w:spacing w:lineRule="auto" w:line="276" w:before="0" w:after="140"/>
        <w:jc w:val="left"/>
        <w:rPr/>
      </w:pPr>
      <w:r>
        <w:rPr>
          <w:rStyle w:val="Strong"/>
        </w:rPr>
        <w:t>What was built, and against what.</w:t>
      </w:r>
      <w:r>
        <w:rPr/>
        <w:t xml:space="preserve"> </w:t>
      </w:r>
      <w:hyperlink w:anchor="sec_5_4" w:history="1">
        <w:r>
          <w:rPr>
            <w:rStyle w:val="InternalRef"/>
          </w:rPr>
          <w:t xml:space="preserve">§5.4</w:t>
        </w:r>
      </w:hyperlink>
      <w:r>
        <w:rPr/>
        <w:t xml:space="preserve"> says where the identifier model has nothing to memorize, and that the geometry is the better prior where it runs out. The obvious way to spend that inside the booster is an empirical-Bayes encoding (Micci-Barreca, 2001; Efron &amp; Morris, 1973)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three versions (arms) were fitted. Each bucket's airport-mean error was scaled by the ratio that the control, the </w:t>
      </w:r>
      <w:r>
        <w:rPr>
          <w:rStyle w:val="SourceText"/>
        </w:rPr>
        <w:t>+ weather</w:t>
      </w:r>
      <w:r>
        <w:rPr/>
        <w:t xml:space="preserve"> rung they are compared against, achieves on the well-observed bucket, and the difference was called the attainable headroom. As the report computes it under the parameters that ship, it comes to +0.32 s pooled, all of it in the thin buckets, none by construction in the bucket that carries 91% of the December split's rows. The three arms spend the encoding differently: added alongside the identifier block, at 231.4 s on December and 347.2 s on July; replacing the stand within it, at 228.3 s and 342.2 s; and replacing both the stand and the runway, at 228.0 s and 342.1 s. The control reads 233.2 s and 344.1 s.</w:t>
      </w:r>
    </w:p>
    <w:p>
      <w:pPr>
        <w:pStyle w:val="BodyText"/>
        <w:bidi w:val="0"/>
        <w:spacing w:lineRule="auto" w:line="276" w:before="0" w:after="140"/>
        <w:jc w:val="left"/>
        <w:rPr/>
      </w:pPr>
      <w:r>
        <w:rPr>
          <w:rStyle w:val="Strong"/>
        </w:rPr>
        <w:t>What was guarded.</w:t>
      </w:r>
      <w:r>
        <w:rPr/>
        <w:t xml:space="preserve"> Four leakage modes are guarded,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At first, with the encoding fitted on the unflagged training rows, the check read immaterial, at a ratio of 1.29 against a threshold of 1.5. With it fitted since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final model fits runs the same check over the whole training year and records its reading in the manifest written beside the prediction file: 1.60 for </w:t>
      </w:r>
      <w:r>
        <w:rPr>
          <w:rStyle w:val="SourceText"/>
        </w:rPr>
        <w:t>pair</w:t>
      </w:r>
      <w:r>
        <w:rPr/>
        <w:t xml:space="preserve">, material, so </w:t>
      </w:r>
      <w:r>
        <w:rPr>
          <w:rStyle w:val="SourceText"/>
        </w:rPr>
        <w:t>k</w:t>
      </w:r>
      <w:r>
        <w:rPr/>
        <w:t xml:space="preserve"> moves with the route, and not material for </w:t>
      </w:r>
      <w:r>
        <w:rPr>
          <w:rStyle w:val="SourceText"/>
        </w:rPr>
        <w:t>stand</w:t>
      </w:r>
      <w:r>
        <w:rPr/>
        <w:t xml:space="preserve">. What a material reading does was fixed with the check, in </w:t>
      </w:r>
      <w:r>
        <w:rPr>
          <w:rStyle w:val="SourceText"/>
        </w:rPr>
        <w:t>taxiout.encoding</w:t>
      </w:r>
      <w:r>
        <w:rPr/>
        <w:t xml:space="preserve"> before it was run: where the ratio reaches the threshold, </w:t>
      </w:r>
      <w:r>
        <w:rPr>
          <w:rStyle w:val="SourceText"/>
        </w:rPr>
        <w:t>k</w:t>
      </w:r>
      <w:r>
        <w:rPr/>
        <w:t xml:space="preserve"> varies with route length, and where it does not, the constant </w:t>
      </w:r>
      <w:r>
        <w:rPr>
          <w:rStyle w:val="SourceText"/>
        </w:rPr>
        <w:t>k</w:t>
      </w:r>
      <w:r>
        <w:rPr/>
        <w:t xml:space="preserve"> stands.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spacing w:lineRule="auto" w:line="276" w:before="0" w:after="14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It was therefore voided as a test of the pair encoding, and the arms took no credit from it. They were decided on the two instruments that can see a pair encoding, the forward splits and the frequency strata, with the ranking set's own bucket mix as the pooled figure. It is worth acknowledging that this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spacing w:lineRule="auto" w:line="276" w:before="0" w:after="140"/>
        <w:jc w:val="left"/>
        <w:rPr/>
      </w:pPr>
      <w:r>
        <w:rPr>
          <w:rStyle w:val="Strong"/>
        </w:rPr>
        <w:t>What chooses between the two arms that pass is a mechanism, not their scores.</w:t>
      </w:r>
      <w:r>
        <w:rPr/>
        <w:t xml:space="preserve"> </w:t>
      </w:r>
      <w:hyperlink w:anchor="sec_5_3" w:history="1">
        <w:r>
          <w:rPr>
            <w:rStyle w:val="InternalRef"/>
          </w:rPr>
          <w:t xml:space="preserve">§5.3</w:t>
        </w:r>
      </w:hyperlink>
      <w:r>
        <w:rPr/>
        <w:t xml:space="preserve"> measures what a designator carries that the routed distance cannot compute. An intersection departure enters the runway at a taxiway junction rather than at the threshold, and the signature of that is up to 96 s per designator and constant within one. It is absorbed by any model that knows the designator, and it is not recoverable by an encoding shrunk toward a matrix that routes to the threshold. So the runway categorical stays and only the stand is replaced, for a reason measured before these versions were fitted and independent of their numbers. The never-seen bucket corroborates and does not decide: it is a few hundred rows, and a decision resting on it would be a post-hoc rule resting on a thin stratum.</w:t>
      </w:r>
    </w:p>
    <w:p>
      <w:pPr>
        <w:pStyle w:val="BodyText"/>
        <w:bidi w:val="0"/>
        <w:spacing w:lineRule="auto" w:line="276" w:before="0" w:after="140"/>
        <w:jc w:val="left"/>
        <w:rPr/>
      </w:pPr>
      <w:r>
        <w:rPr>
          <w:rStyle w:val="Strong"/>
        </w:rPr>
        <w:t>What it bought, and where.</w:t>
      </w:r>
      <w:r>
        <w:rPr/>
        <w:t xml:space="preserve"> </w:t>
      </w:r>
      <w:r>
        <w:rPr>
          <w:rStyle w:val="SourceText"/>
        </w:rPr>
        <w:t>+ shrunk encoding, replacing the stand</w:t>
      </w:r>
      <w:r>
        <w:rPr/>
        <w:t xml:space="preserve"> passes the rule: 228.3 s against 233.2 in December, 342.2 against 344.1 in July, 229.6 against 234.5 at the ranking mix, and +8.1 s worse than the control on the never-seen bucket against +14.8 for the other passing version. The pooled figure puts that other version ahead, 229.4 s against 229.6, so choosing the version with the mechanism costs 0.17 s pooled, and the report states that cost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December split's rows is worth 0.16 s pooled. The honest name for the block is smoothed memorization that buys real score on well-observed pairs. It is reported under that name, and </w:t>
      </w:r>
      <w:hyperlink w:anchor="sec_9_4" w:history="1">
        <w:r>
          <w:rPr>
            <w:rStyle w:val="InternalRef"/>
          </w:rPr>
          <w:t xml:space="preserve">§9.4</w:t>
        </w:r>
      </w:hyperlink>
      <w:r>
        <w:rPr/>
        <w:t xml:space="preserve"> says what the ceiling that missed it was actually measuring.</w:t>
      </w:r>
    </w:p>
    <w:p>
      <w:pPr>
        <w:pStyle w:val="BodyText"/>
        <w:bidi w:val="0"/>
        <w:spacing w:lineRule="auto" w:line="276" w:before="0" w:after="14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w:t>
      </w:r>
      <w:hyperlink w:anchor="sec_7_2" w:history="1">
        <w:r>
          <w:rPr>
            <w:rStyle w:val="InternalRef"/>
          </w:rPr>
          <w:t xml:space="preserve">§7.2</w:t>
        </w:r>
      </w:hyperlink>
      <w:r>
        <w:rPr/>
        <w:t xml:space="preserve"> is measured at </w:t>
      </w:r>
      <w:r>
        <w:rPr>
          <w:rStyle w:val="SourceText"/>
        </w:rPr>
        <w:t>identifiers + time → identifiers + time + geometry</w:t>
      </w:r>
      <w:r>
        <w:rPr/>
        <w:t xml:space="preserve">, near the foot of the ladder, where neither rung carries the encoding, so the claim figure of </w:t>
      </w:r>
      <w:hyperlink w:anchor="sec_7_2" w:history="1">
        <w:r>
          <w:rPr>
            <w:rStyle w:val="InternalRef"/>
          </w:rPr>
          <w:t xml:space="preserve">§7.2</w:t>
        </w:r>
      </w:hyperlink>
      <w:r>
        <w:rPr/>
        <w:t xml:space="preserve"> is untouched by this decision, by construction and not by luck.</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The shrunk identifier encoding</w:t>
      </w:r>
      <w:r>
        <w:rPr/>
        <w:t xml:space="preserve"> and its subsections; </w:t>
      </w:r>
      <w:r>
        <w:rPr>
          <w:rStyle w:val="SourceText"/>
          <w:sz w:val="18"/>
          <w:szCs w:val="18"/>
        </w:rPr>
        <w:t>reports/migration-2026-09-10.md</w:t>
      </w:r>
      <w:r>
        <w:rPr/>
        <w:t xml:space="preserve">, </w:t>
      </w:r>
      <w:r>
        <w:rPr>
          <w:rStyle w:val="Emphasis"/>
        </w:rPr>
        <w:t>The encoding's rows, 2026-09-19</w:t>
      </w:r>
      <w:r>
        <w:rPr/>
        <w:t xml:space="preserve">, a dated record, for the check as it read before that day; </w:t>
      </w:r>
      <w:r>
        <w:rPr>
          <w:rStyle w:val="SourceText"/>
          <w:sz w:val="18"/>
          <w:szCs w:val="18"/>
        </w:rPr>
        <w:t>tests/test_encoding.py</w:t>
      </w:r>
      <w:r>
        <w:rPr/>
        <w:t xml:space="preserve"> for the four guards; </w:t>
      </w:r>
      <w:r>
        <w:rPr>
          <w:rStyle w:val="SourceText"/>
          <w:sz w:val="18"/>
          <w:szCs w:val="18"/>
        </w:rPr>
        <w:t>src/taxiout/encoding.py</w:t>
      </w:r>
      <w:r>
        <w:rPr/>
        <w:t xml:space="preserve">, the module's docstring, for the length-dependence rule; </w:t>
      </w:r>
      <w:r>
        <w:rPr>
          <w:rStyle w:val="SourceText"/>
          <w:sz w:val="18"/>
          <w:szCs w:val="18"/>
        </w:rPr>
        <w:t>reports/submission-2026-10-11-v12.md</w:t>
      </w:r>
      <w:r>
        <w:rPr/>
        <w:t xml:space="preserve">, </w:t>
      </w:r>
      <w:r>
        <w:rPr>
          <w:rStyle w:val="Emphasis"/>
        </w:rPr>
        <w:t>The file</w:t>
      </w:r>
      <w:r>
        <w:rPr/>
        <w:t>, a dated record, for the final model's reading.</w:t>
      </w:r>
    </w:p>
    <w:p>
      <w:pPr>
        <w:pStyle w:val="Heading2"/>
        <w:numPr>
          <w:ilvl w:val="0"/>
          <w:numId w:val="0"/>
        </w:numPr>
        <w:bidi w:val="0"/>
        <w:spacing w:before="200" w:after="120"/>
        <w:jc w:val="left"/>
        <w:rPr/>
      </w:pPr>
      <w:bookmarkStart w:id="177" w:name="sec_8"/>
      <w:bookmarkStart w:id="176" w:name="_Toc000039"/>
      <w:r>
        <w:rPr/>
        <w:t>8. Results</w:t>
      </w:r>
      <w:bookmarkEnd w:id="176"/>
      <w:bookmarkEnd w:id="177"/>
    </w:p>
    <w:p>
      <w:pPr>
        <w:pStyle w:val="BodyText"/>
        <w:bidi w:val="0"/>
        <w:spacing w:lineRule="auto" w:line="276" w:before="0" w:after="140"/>
        <w:jc w:val="left"/>
        <w:rPr/>
      </w:pPr>
      <w:r>
        <w:rPr>
          <w:rStyle w:val="Emphasis"/>
        </w:rPr>
        <w:t>This section reports what the validation readings of §3.5 show about the final model and the models that preceded it, pooled, by month, by airport and by source of delay, with and without the two rules of §3.3. No upload chose a feature, a rung or a parameter. One rule decision followed a score; §8.7.2 sets out what was uploaded, what was read and what was decided. §8.1 to §8.6 read the base configuration, the booster on which every later change builds. §8.7 sets out each later change in order, and §8.8 reads the final model step by step.</w:t>
      </w:r>
    </w:p>
    <w:p>
      <w:pPr>
        <w:pStyle w:val="Heading3"/>
        <w:numPr>
          <w:ilvl w:val="0"/>
          <w:numId w:val="0"/>
        </w:numPr>
        <w:bidi w:val="0"/>
        <w:spacing w:before="140" w:after="120"/>
        <w:jc w:val="left"/>
        <w:rPr/>
      </w:pPr>
      <w:bookmarkStart w:id="179" w:name="sec_8_1"/>
      <w:bookmarkStart w:id="178" w:name="_Toc000040"/>
      <w:r>
        <w:rPr/>
        <w:t>8.1 The base configuration, and what it scores on the forward splits</w:t>
      </w:r>
      <w:bookmarkEnd w:id="178"/>
      <w:bookmarkEnd w:id="179"/>
    </w:p>
    <w:p>
      <w:pPr>
        <w:pStyle w:val="BodyText"/>
        <w:bidi w:val="0"/>
        <w:spacing w:lineRule="auto" w:line="276" w:before="0" w:after="140"/>
        <w:jc w:val="left"/>
        <w:rPr/>
      </w:pPr>
      <w:r>
        <w:rPr/>
        <w:t xml:space="preserve">The base configuration is the rung named in </w:t>
      </w:r>
      <w:r>
        <w:rPr>
          <w:rStyle w:val="SourceText"/>
        </w:rPr>
        <w:t>taxiout.models.SUBMISSION_KEY</w:t>
      </w:r>
      <w:r>
        <w:rPr/>
        <w:t xml:space="preserve">, </w:t>
      </w:r>
      <w:r>
        <w:rPr>
          <w:rStyle w:val="SourceText"/>
        </w:rPr>
        <w:t>+ plan differences</w:t>
      </w:r>
      <w:r>
        <w:rPr/>
        <w:t xml:space="preserve">: the arm </w:t>
      </w:r>
      <w:hyperlink w:anchor="sec_7_4" w:history="1">
        <w:r>
          <w:rPr>
            <w:rStyle w:val="InternalRef"/>
          </w:rPr>
          <w:t xml:space="preserve">§7.4</w:t>
        </w:r>
      </w:hyperlink>
      <w:r>
        <w:rPr/>
        <w:t xml:space="preserve"> chose, with the four blocks of </w:t>
      </w:r>
      <w:hyperlink w:anchor="sec_6_5" w:history="1">
        <w:r>
          <w:rPr>
            <w:rStyle w:val="InternalRef"/>
          </w:rPr>
          <w:t xml:space="preserve">§6.5</w:t>
        </w:r>
      </w:hyperlink>
      <w:r>
        <w:rPr/>
        <w:t xml:space="preserve"> above it. It is fitted without the recorded-taxi tail, under five random seeds and averaged, with the record-quality term on the 383 rows it covers and the plan-shift rule of </w:t>
      </w:r>
      <w:hyperlink w:anchor="sec_4" w:history="1">
        <w:r>
          <w:rPr>
            <w:rStyle w:val="InternalRef"/>
          </w:rPr>
          <w:t xml:space="preserve">§4</w:t>
        </w:r>
      </w:hyperlink>
      <w:r>
        <w:rPr/>
        <w:t xml:space="preserve"> on one. Every figure in this subsection is taken from </w:t>
      </w:r>
      <w:r>
        <w:rPr>
          <w:rStyle w:val="SourceText"/>
        </w:rPr>
        <w:t>reports/baseline.md</w:t>
      </w:r>
      <w:r>
        <w:rPr/>
        <w:t xml:space="preserve">, under the booster parameters described in </w:t>
      </w:r>
      <w:hyperlink w:anchor="sec_7_1_2" w:history="1">
        <w:r>
          <w:rPr>
            <w:rStyle w:val="InternalRef"/>
          </w:rPr>
          <w:t xml:space="preserve">§7.1.2</w:t>
        </w:r>
      </w:hyperlink>
      <w:r>
        <w:rPr/>
        <w:t xml:space="preserve">.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spacing w:lineRule="auto" w:line="276" w:before="0" w:after="140"/>
        <w:jc w:val="left"/>
        <w:rPr/>
      </w:pPr>
      <w:r>
        <w:rPr/>
        <w:t xml:space="preserve">On the December split, which stands in for January 2026 at all ten airports, the base configuration scores </w:t>
      </w:r>
      <w:r>
        <w:rPr>
          <w:rStyle w:val="Strong"/>
        </w:rPr>
        <w:t>213.55 s</w:t>
      </w:r>
      <w:r>
        <w:rPr/>
        <w:t xml:space="preserve"> over the rows the record-quality term leaves to it. On the July split, which stands in for July 2026 at all ten, it scores </w:t>
      </w:r>
      <w:r>
        <w:rPr>
          <w:rStyle w:val="Strong"/>
        </w:rPr>
        <w:t>320.90 s</w:t>
      </w:r>
      <w:r>
        <w:rPr/>
        <w:t xml:space="preserve">, and 234.20 s on the three. The ten-airport figure is the one that stands in for the scored month. The three-airport figure is retained beside it as a second July reading (</w:t>
      </w:r>
      <w:hyperlink w:anchor="sec_7_1" w:history="1">
        <w:r>
          <w:rPr>
            <w:rStyle w:val="InternalRef"/>
          </w:rPr>
          <w:t xml:space="preserve">§7.1</w:t>
        </w:r>
      </w:hyperlink>
      <w:r>
        <w:rPr/>
        <w:t xml:space="preserve">). </w:t>
      </w:r>
      <w:hyperlink w:anchor="sec_9_5" w:history="1">
        <w:r>
          <w:rPr>
            <w:rStyle w:val="InternalRef"/>
          </w:rPr>
          <w:t xml:space="preserve">§9.5</w:t>
        </w:r>
      </w:hyperlink>
      <w:r>
        <w:rPr/>
        <w:t xml:space="preserve">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gap between the ex-flagged figures and the every-row ones comes from 88 rows in December and 335 in July, all at Fiumicino, whose recorded taxi-out no aircraft produced. The term is what closes it, and </w:t>
      </w:r>
      <w:hyperlink w:anchor="sec_4" w:history="1">
        <w:r>
          <w:rPr>
            <w:rStyle w:val="InternalRef"/>
          </w:rPr>
          <w:t xml:space="preserve">§4</w:t>
        </w:r>
      </w:hyperlink>
      <w:r>
        <w:rPr/>
        <w:t xml:space="preserve"> says why that is the RMSE-optimal treatment rather than a trick. Pooled at the ranking set's own bucket mix rather than December's, the single seed is 216.0 s, and its bias is +7 s in December and −3 in July.</w:t>
      </w:r>
    </w:p>
    <w:tbl>
      <w:tblPr>
        <w:tblW w:w="9972" w:type="dxa"/>
        <w:jc w:val="left"/>
        <w:tblInd w:w="58" w:type="dxa"/>
        <w:tblLayout w:type="fixed"/>
        <w:tblCellMar>
          <w:top w:w="36" w:type="dxa"/>
          <w:left w:w="58" w:type="dxa"/>
          <w:bottom w:w="36" w:type="dxa"/>
          <w:right w:w="58" w:type="dxa"/>
        </w:tblCellMar>
      </w:tblPr>
      <w:tblGrid>
        <w:gridCol w:w="5234"/>
        <w:gridCol w:w="1749"/>
        <w:gridCol w:w="1409"/>
        <w:gridCol w:w="1580"/>
      </w:tblGrid>
      <w:tr>
        <w:trPr>
          <w:tblHeader w:val="true"/>
          <w:cantSplit/>
        </w:trPr>
        <w:tc>
          <w:tcPr>
            <w:tcW w:w="523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RMSE, seconds</w:t>
            </w:r>
          </w:p>
        </w:tc>
        <w:tc>
          <w:tcPr>
            <w:tcW w:w="1749"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December, all ten</w:t>
            </w:r>
          </w:p>
        </w:tc>
        <w:tc>
          <w:tcPr>
            <w:tcW w:w="1409"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July, all ten</w:t>
            </w:r>
          </w:p>
        </w:tc>
        <w:tc>
          <w:tcPr>
            <w:tcW w:w="1580"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July, the three</w:t>
            </w:r>
          </w:p>
        </w:tc>
      </w:tr>
      <w:tr>
        <w:trPr>
          <w:cantSplit/>
        </w:trPr>
        <w:tc>
          <w:tcPr>
            <w:tcW w:w="5234" w:type="dxa"/>
            <w:tcBorders>
              <w:bottom w:val="single" w:sz="2" w:space="0" w:color="BBBBBB"/>
            </w:tcBorders>
          </w:tcPr>
          <w:p>
            <w:pPr>
              <w:pStyle w:val="TableContents"/>
              <w:bidi w:val="0"/>
              <w:spacing w:lineRule="auto" w:line="240" w:before="0" w:after="0"/>
              <w:jc w:val="left"/>
              <w:rPr>
                <w:sz w:val="17"/>
                <w:szCs w:val="17"/>
              </w:rPr>
            </w:pPr>
            <w:r>
              <w:rPr>
                <w:sz w:val="17"/>
                <w:szCs w:val="17"/>
              </w:rPr>
              <w:t>base configuration, five seeds, rows the term leaves to it</w:t>
            </w:r>
          </w:p>
        </w:tc>
        <w:tc>
          <w:tcPr>
            <w:tcW w:w="1749" w:type="dxa"/>
            <w:tcBorders>
              <w:bottom w:val="single" w:sz="2" w:space="0" w:color="BBBBBB"/>
            </w:tcBorders>
          </w:tcPr>
          <w:p>
            <w:pPr>
              <w:pStyle w:val="TableContents"/>
              <w:bidi w:val="0"/>
              <w:spacing w:lineRule="auto" w:line="240" w:before="0" w:after="0"/>
              <w:jc w:val="right"/>
              <w:rPr>
                <w:sz w:val="17"/>
                <w:szCs w:val="17"/>
              </w:rPr>
            </w:pPr>
            <w:r>
              <w:rPr>
                <w:sz w:val="17"/>
                <w:szCs w:val="17"/>
              </w:rPr>
              <w:t>213.55</w:t>
            </w:r>
          </w:p>
        </w:tc>
        <w:tc>
          <w:tcPr>
            <w:tcW w:w="1409" w:type="dxa"/>
            <w:tcBorders>
              <w:bottom w:val="single" w:sz="2" w:space="0" w:color="BBBBBB"/>
            </w:tcBorders>
          </w:tcPr>
          <w:p>
            <w:pPr>
              <w:pStyle w:val="TableContents"/>
              <w:bidi w:val="0"/>
              <w:spacing w:lineRule="auto" w:line="240" w:before="0" w:after="0"/>
              <w:jc w:val="right"/>
              <w:rPr>
                <w:sz w:val="17"/>
                <w:szCs w:val="17"/>
              </w:rPr>
            </w:pPr>
            <w:r>
              <w:rPr>
                <w:sz w:val="17"/>
                <w:szCs w:val="17"/>
              </w:rPr>
              <w:t>320.90</w:t>
            </w:r>
          </w:p>
        </w:tc>
        <w:tc>
          <w:tcPr>
            <w:tcW w:w="1580" w:type="dxa"/>
            <w:tcBorders>
              <w:bottom w:val="single" w:sz="2" w:space="0" w:color="BBBBBB"/>
            </w:tcBorders>
          </w:tcPr>
          <w:p>
            <w:pPr>
              <w:pStyle w:val="TableContents"/>
              <w:bidi w:val="0"/>
              <w:spacing w:lineRule="auto" w:line="240" w:before="0" w:after="0"/>
              <w:jc w:val="right"/>
              <w:rPr>
                <w:sz w:val="17"/>
                <w:szCs w:val="17"/>
              </w:rPr>
            </w:pPr>
            <w:r>
              <w:rPr>
                <w:sz w:val="17"/>
                <w:szCs w:val="17"/>
              </w:rPr>
              <w:t>234.20</w:t>
            </w:r>
          </w:p>
        </w:tc>
      </w:tr>
      <w:tr>
        <w:trPr>
          <w:cantSplit/>
        </w:trPr>
        <w:tc>
          <w:tcPr>
            <w:tcW w:w="5234" w:type="dxa"/>
            <w:tcBorders>
              <w:bottom w:val="single" w:sz="2" w:space="0" w:color="BBBBBB"/>
            </w:tcBorders>
          </w:tcPr>
          <w:p>
            <w:pPr>
              <w:pStyle w:val="TableContents"/>
              <w:bidi w:val="0"/>
              <w:spacing w:lineRule="auto" w:line="240" w:before="0" w:after="0"/>
              <w:jc w:val="left"/>
              <w:rPr>
                <w:sz w:val="17"/>
                <w:szCs w:val="17"/>
              </w:rPr>
            </w:pPr>
            <w:r>
              <w:rPr>
                <w:sz w:val="17"/>
                <w:szCs w:val="17"/>
              </w:rPr>
              <w:t>the ladder's single seed, same rows</w:t>
            </w:r>
          </w:p>
        </w:tc>
        <w:tc>
          <w:tcPr>
            <w:tcW w:w="1749" w:type="dxa"/>
            <w:tcBorders>
              <w:bottom w:val="single" w:sz="2" w:space="0" w:color="BBBBBB"/>
            </w:tcBorders>
          </w:tcPr>
          <w:p>
            <w:pPr>
              <w:pStyle w:val="TableContents"/>
              <w:bidi w:val="0"/>
              <w:spacing w:lineRule="auto" w:line="240" w:before="0" w:after="0"/>
              <w:jc w:val="right"/>
              <w:rPr>
                <w:sz w:val="17"/>
                <w:szCs w:val="17"/>
              </w:rPr>
            </w:pPr>
            <w:r>
              <w:rPr>
                <w:sz w:val="17"/>
                <w:szCs w:val="17"/>
              </w:rPr>
              <w:t>214.7</w:t>
            </w:r>
          </w:p>
        </w:tc>
        <w:tc>
          <w:tcPr>
            <w:tcW w:w="1409" w:type="dxa"/>
            <w:tcBorders>
              <w:bottom w:val="single" w:sz="2" w:space="0" w:color="BBBBBB"/>
            </w:tcBorders>
          </w:tcPr>
          <w:p>
            <w:pPr>
              <w:pStyle w:val="TableContents"/>
              <w:bidi w:val="0"/>
              <w:spacing w:lineRule="auto" w:line="240" w:before="0" w:after="0"/>
              <w:jc w:val="right"/>
              <w:rPr>
                <w:sz w:val="17"/>
                <w:szCs w:val="17"/>
              </w:rPr>
            </w:pPr>
            <w:r>
              <w:rPr>
                <w:sz w:val="17"/>
                <w:szCs w:val="17"/>
              </w:rPr>
              <w:t>322.4</w:t>
            </w:r>
          </w:p>
        </w:tc>
        <w:tc>
          <w:tcPr>
            <w:tcW w:w="1580" w:type="dxa"/>
            <w:tcBorders>
              <w:bottom w:val="single" w:sz="2" w:space="0" w:color="BBBBBB"/>
            </w:tcBorders>
          </w:tcPr>
          <w:p>
            <w:pPr>
              <w:pStyle w:val="TableContents"/>
              <w:bidi w:val="0"/>
              <w:spacing w:lineRule="auto" w:line="240" w:before="0" w:after="0"/>
              <w:jc w:val="right"/>
              <w:rPr>
                <w:sz w:val="17"/>
                <w:szCs w:val="17"/>
              </w:rPr>
            </w:pPr>
            <w:r>
              <w:rPr>
                <w:sz w:val="17"/>
                <w:szCs w:val="17"/>
              </w:rPr>
              <w:t>235.11</w:t>
            </w:r>
          </w:p>
        </w:tc>
      </w:tr>
      <w:tr>
        <w:trPr>
          <w:cantSplit/>
        </w:trPr>
        <w:tc>
          <w:tcPr>
            <w:tcW w:w="5234" w:type="dxa"/>
            <w:tcBorders>
              <w:bottom w:val="single" w:sz="2" w:space="0" w:color="BBBBBB"/>
            </w:tcBorders>
          </w:tcPr>
          <w:p>
            <w:pPr>
              <w:pStyle w:val="TableContents"/>
              <w:bidi w:val="0"/>
              <w:spacing w:lineRule="auto" w:line="240" w:before="0" w:after="0"/>
              <w:jc w:val="left"/>
              <w:rPr>
                <w:sz w:val="17"/>
                <w:szCs w:val="17"/>
              </w:rPr>
            </w:pPr>
            <w:r>
              <w:rPr>
                <w:sz w:val="17"/>
                <w:szCs w:val="17"/>
              </w:rPr>
              <w:t>single seed, every row, the term on its rows</w:t>
            </w:r>
          </w:p>
        </w:tc>
        <w:tc>
          <w:tcPr>
            <w:tcW w:w="1749" w:type="dxa"/>
            <w:tcBorders>
              <w:bottom w:val="single" w:sz="2" w:space="0" w:color="BBBBBB"/>
            </w:tcBorders>
          </w:tcPr>
          <w:p>
            <w:pPr>
              <w:pStyle w:val="TableContents"/>
              <w:bidi w:val="0"/>
              <w:spacing w:lineRule="auto" w:line="240" w:before="0" w:after="0"/>
              <w:jc w:val="right"/>
              <w:rPr>
                <w:sz w:val="17"/>
                <w:szCs w:val="17"/>
              </w:rPr>
            </w:pPr>
            <w:r>
              <w:rPr>
                <w:sz w:val="17"/>
                <w:szCs w:val="17"/>
              </w:rPr>
              <w:t>234.0</w:t>
            </w:r>
          </w:p>
        </w:tc>
        <w:tc>
          <w:tcPr>
            <w:tcW w:w="1409" w:type="dxa"/>
            <w:tcBorders>
              <w:bottom w:val="single" w:sz="2" w:space="0" w:color="BBBBBB"/>
            </w:tcBorders>
          </w:tcPr>
          <w:p>
            <w:pPr>
              <w:pStyle w:val="TableContents"/>
              <w:bidi w:val="0"/>
              <w:spacing w:lineRule="auto" w:line="240" w:before="0" w:after="0"/>
              <w:jc w:val="right"/>
              <w:rPr>
                <w:sz w:val="17"/>
                <w:szCs w:val="17"/>
              </w:rPr>
            </w:pPr>
            <w:r>
              <w:rPr>
                <w:sz w:val="17"/>
                <w:szCs w:val="17"/>
              </w:rPr>
              <w:t>368.2</w:t>
            </w:r>
          </w:p>
        </w:tc>
        <w:tc>
          <w:tcPr>
            <w:tcW w:w="1580" w:type="dxa"/>
            <w:tcBorders>
              <w:bottom w:val="single" w:sz="2" w:space="0" w:color="BBBBBB"/>
            </w:tcBorders>
          </w:tcPr>
          <w:p>
            <w:pPr>
              <w:pStyle w:val="TableContents"/>
              <w:bidi w:val="0"/>
              <w:spacing w:lineRule="auto" w:line="240" w:before="0" w:after="0"/>
              <w:jc w:val="right"/>
              <w:rPr>
                <w:sz w:val="17"/>
                <w:szCs w:val="17"/>
              </w:rPr>
            </w:pPr>
            <w:r>
              <w:rPr>
                <w:sz w:val="17"/>
                <w:szCs w:val="17"/>
              </w:rPr>
            </w:r>
          </w:p>
        </w:tc>
      </w:tr>
      <w:tr>
        <w:trPr>
          <w:cantSplit/>
        </w:trPr>
        <w:tc>
          <w:tcPr>
            <w:tcW w:w="5234" w:type="dxa"/>
            <w:tcBorders>
              <w:bottom w:val="single" w:sz="6" w:space="0" w:color="000000"/>
            </w:tcBorders>
          </w:tcPr>
          <w:p>
            <w:pPr>
              <w:pStyle w:val="TableContents"/>
              <w:bidi w:val="0"/>
              <w:spacing w:lineRule="auto" w:line="240" w:before="0" w:after="0"/>
              <w:jc w:val="left"/>
              <w:rPr>
                <w:sz w:val="17"/>
                <w:szCs w:val="17"/>
              </w:rPr>
            </w:pPr>
            <w:r>
              <w:rPr>
                <w:sz w:val="17"/>
                <w:szCs w:val="17"/>
              </w:rPr>
              <w:t>single seed, every row, no term</w:t>
            </w:r>
          </w:p>
        </w:tc>
        <w:tc>
          <w:tcPr>
            <w:tcW w:w="1749" w:type="dxa"/>
            <w:tcBorders>
              <w:bottom w:val="single" w:sz="6" w:space="0" w:color="000000"/>
            </w:tcBorders>
          </w:tcPr>
          <w:p>
            <w:pPr>
              <w:pStyle w:val="TableContents"/>
              <w:bidi w:val="0"/>
              <w:spacing w:lineRule="auto" w:line="240" w:before="0" w:after="0"/>
              <w:jc w:val="right"/>
              <w:rPr>
                <w:sz w:val="17"/>
                <w:szCs w:val="17"/>
              </w:rPr>
            </w:pPr>
            <w:r>
              <w:rPr>
                <w:sz w:val="17"/>
                <w:szCs w:val="17"/>
              </w:rPr>
              <w:t>364.8</w:t>
            </w:r>
          </w:p>
        </w:tc>
        <w:tc>
          <w:tcPr>
            <w:tcW w:w="1409" w:type="dxa"/>
            <w:tcBorders>
              <w:bottom w:val="single" w:sz="6" w:space="0" w:color="000000"/>
            </w:tcBorders>
          </w:tcPr>
          <w:p>
            <w:pPr>
              <w:pStyle w:val="TableContents"/>
              <w:bidi w:val="0"/>
              <w:spacing w:lineRule="auto" w:line="240" w:before="0" w:after="0"/>
              <w:jc w:val="right"/>
              <w:rPr>
                <w:sz w:val="17"/>
                <w:szCs w:val="17"/>
              </w:rPr>
            </w:pPr>
            <w:r>
              <w:rPr>
                <w:sz w:val="17"/>
                <w:szCs w:val="17"/>
              </w:rPr>
              <w:t>620.5</w:t>
            </w:r>
          </w:p>
        </w:tc>
        <w:tc>
          <w:tcPr>
            <w:tcW w:w="1580" w:type="dxa"/>
            <w:tcBorders>
              <w:bottom w:val="single" w:sz="6" w:space="0" w:color="000000"/>
            </w:tcBorders>
          </w:tcPr>
          <w:p>
            <w:pPr>
              <w:pStyle w:val="TableContents"/>
              <w:bidi w:val="0"/>
              <w:spacing w:lineRule="auto" w:line="240" w:before="0" w:after="0"/>
              <w:jc w:val="right"/>
              <w:rPr>
                <w:sz w:val="17"/>
                <w:szCs w:val="17"/>
              </w:rPr>
            </w:pPr>
            <w:r>
              <w:rPr>
                <w:sz w:val="17"/>
                <w:szCs w:val="17"/>
              </w:rPr>
            </w:r>
          </w:p>
        </w:tc>
      </w:tr>
    </w:tbl>
    <w:p>
      <w:pPr>
        <w:pStyle w:val="BodyText"/>
        <w:bidi w:val="0"/>
        <w:spacing w:lineRule="auto" w:line="276" w:before="160" w:after="140"/>
        <w:jc w:val="left"/>
        <w:rPr/>
      </w:pPr>
      <w:r>
        <w:rPr/>
        <w:t xml:space="preserve">The first row is the base configuration,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w:t>
      </w:r>
      <w:hyperlink w:anchor="sec_9_5" w:history="1">
        <w:r>
          <w:rPr>
            <w:rStyle w:val="InternalRef"/>
          </w:rPr>
          <w:t xml:space="preserve">§9.5</w:t>
        </w:r>
      </w:hyperlink>
      <w:r>
        <w:rPr/>
        <w:t xml:space="preserve">, and </w:t>
      </w:r>
      <w:hyperlink w:anchor="sec_4" w:history="1">
        <w:r>
          <w:rPr>
            <w:rStyle w:val="InternalRef"/>
          </w:rPr>
          <w:t xml:space="preserve">§4</w:t>
        </w:r>
      </w:hyperlink>
      <w:r>
        <w:rPr/>
        <w:t xml:space="preserve"> and </w:t>
      </w:r>
      <w:hyperlink w:anchor="annex_I" w:history="1">
        <w:r>
          <w:rPr>
            <w:rStyle w:val="InternalRef"/>
          </w:rPr>
          <w:t xml:space="preserve">Annex I</w:t>
        </w:r>
      </w:hyperlink>
      <w:r>
        <w:rPr/>
        <w:t xml:space="preserve"> give what it does there.</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sz w:val="18"/>
          <w:szCs w:val="18"/>
        </w:rPr>
        <w:t>reports/tails.md</w:t>
      </w:r>
      <w:r>
        <w:rPr/>
        <w:t xml:space="preserve">, </w:t>
      </w:r>
      <w:r>
        <w:rPr>
          <w:rStyle w:val="Emphasis"/>
        </w:rPr>
        <w:t>What it touches in the ranking set</w:t>
      </w:r>
      <w:r>
        <w:rPr/>
        <w:t xml:space="preserve">; </w:t>
      </w:r>
      <w:r>
        <w:rPr>
          <w:rStyle w:val="SourceText"/>
          <w:sz w:val="18"/>
          <w:szCs w:val="18"/>
        </w:rPr>
        <w:t>reports/planshift.md</w:t>
      </w:r>
      <w:r>
        <w:rPr/>
        <w:t xml:space="preserve">, </w:t>
      </w:r>
      <w:r>
        <w:rPr>
          <w:rStyle w:val="Emphasis"/>
        </w:rPr>
        <w:t>Per held-out month and on the two forward legs</w:t>
      </w:r>
      <w:r>
        <w:rPr/>
        <w:t>.</w:t>
      </w:r>
    </w:p>
    <w:p>
      <w:pPr>
        <w:pStyle w:val="Heading3"/>
        <w:numPr>
          <w:ilvl w:val="0"/>
          <w:numId w:val="0"/>
        </w:numPr>
        <w:bidi w:val="0"/>
        <w:spacing w:before="140" w:after="120"/>
        <w:jc w:val="left"/>
        <w:rPr/>
      </w:pPr>
      <w:bookmarkStart w:id="181" w:name="sec_8_2"/>
      <w:bookmarkStart w:id="180" w:name="_Toc000041"/>
      <w:r>
        <w:rPr/>
        <w:t>8.2 Every month of the year</w:t>
      </w:r>
      <w:bookmarkEnd w:id="180"/>
      <w:bookmarkEnd w:id="181"/>
    </w:p>
    <w:p>
      <w:pPr>
        <w:pStyle w:val="BodyText"/>
        <w:bidi w:val="0"/>
        <w:spacing w:lineRule="auto" w:line="276" w:before="0" w:after="140"/>
        <w:jc w:val="left"/>
        <w:rPr/>
      </w:pPr>
      <w:r>
        <w:rPr/>
        <w:t xml:space="preserve">Read with each month of 2025 held out in turn and the other eleven training (</w:t>
      </w:r>
      <w:hyperlink w:anchor="sec_3_5" w:history="1">
        <w:r>
          <w:rPr>
            <w:rStyle w:val="InternalRef"/>
          </w:rPr>
          <w:t xml:space="preserve">§3.5</w:t>
        </w:r>
      </w:hyperlink>
      <w:r>
        <w:rPr/>
        <w:t xml:space="preserve">), the same model gives a figure and a floor in every month. The model is the five-seed average, the base configuration, refitted on each split and scored on its month. The design is not forward in time, and the forward splits of </w:t>
      </w:r>
      <w:hyperlink w:anchor="sec_8_1" w:history="1">
        <w:r>
          <w:rPr>
            <w:rStyle w:val="InternalRef"/>
          </w:rPr>
          <w:t xml:space="preserve">§8.1</w:t>
        </w:r>
      </w:hyperlink>
      <w:r>
        <w:rPr/>
        <w:t xml:space="preserve"> remain the proxies for the two test months. Three readings of every month are given, as everywhere in this paper: excluding the rows the record-quality term covers, as the scorer's rule implies; the same over the rows whose recorded taxi-out is four hours or less, a diagnostic that leaves out the seven rows over four hours the term does not cover and that the scorer counts (</w:t>
      </w:r>
      <w:hyperlink w:anchor="annex_F" w:history="1">
        <w:r>
          <w:rPr>
            <w:rStyle w:val="InternalRef"/>
          </w:rPr>
          <w:t xml:space="preserve">Annex F</w:t>
        </w:r>
      </w:hyperlink>
      <w:r>
        <w:rPr/>
        <w:t xml:space="preserve">); and every row with the term substituted on its rows, which is how the final model predicts. The floor is the seed floor of </w:t>
      </w:r>
      <w:hyperlink w:anchor="sec_3_6" w:history="1">
        <w:r>
          <w:rPr>
            <w:rStyle w:val="InternalRef"/>
          </w:rPr>
          <w:t xml:space="preserve">§3.6</w:t>
        </w:r>
      </w:hyperlink>
      <w:r>
        <w:rPr/>
        <w:t xml:space="preserve"> measured in that month.</w:t>
      </w:r>
    </w:p>
    <w:tbl>
      <w:tblPr>
        <w:tblW w:w="9972" w:type="dxa"/>
        <w:jc w:val="left"/>
        <w:tblInd w:w="58" w:type="dxa"/>
        <w:tblLayout w:type="fixed"/>
        <w:tblCellMar>
          <w:top w:w="36" w:type="dxa"/>
          <w:left w:w="58" w:type="dxa"/>
          <w:bottom w:w="36" w:type="dxa"/>
          <w:right w:w="58" w:type="dxa"/>
        </w:tblCellMar>
      </w:tblPr>
      <w:tblGrid>
        <w:gridCol w:w="844"/>
        <w:gridCol w:w="1521"/>
        <w:gridCol w:w="1521"/>
        <w:gridCol w:w="1521"/>
        <w:gridCol w:w="1521"/>
        <w:gridCol w:w="1521"/>
        <w:gridCol w:w="1523"/>
      </w:tblGrid>
      <w:tr>
        <w:trPr>
          <w:tblHeader w:val="true"/>
          <w:cantSplit/>
        </w:trPr>
        <w:tc>
          <w:tcPr>
            <w:tcW w:w="844"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rows scored</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five-seed average (s)</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4 h or less, diagnostic (s)</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floor (s)</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every row, with the term (s)</w:t>
            </w:r>
          </w:p>
        </w:tc>
        <w:tc>
          <w:tcPr>
            <w:tcW w:w="15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term rows</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January</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153,646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346.8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231.8 (2 out)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0.33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356.1</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60</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February</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143,674</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267.9</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264.0 (1 out)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1.56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282.2</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58</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March</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164,390</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200.3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196.4 (1 out)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0.36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215.8</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59</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April</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175,218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188.3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188.3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0.07</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205.5</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70</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May</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185,104</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281.8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195.9 (1 out)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0.13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302.2</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98</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June</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182,957</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218.0</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218.0</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0.21</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318.3</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185</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July</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190,378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311.7</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251.3 (2 out)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0.58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355.5</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335</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August</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190,985</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216.3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216.3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0.26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273.5</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197</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September</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183,782</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211.8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211.8</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0.21</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251.1</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168</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October</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185,559</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211.4</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211.4</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0.29</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228.4</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115</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November</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162,280</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210.3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210.3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0.39</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229.9</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52</w:t>
            </w:r>
          </w:p>
        </w:tc>
      </w:tr>
      <w:tr>
        <w:trPr>
          <w:cantSplit/>
        </w:trPr>
        <w:tc>
          <w:tcPr>
            <w:tcW w:w="844" w:type="dxa"/>
            <w:tcBorders>
              <w:bottom w:val="single" w:sz="2" w:space="0" w:color="BBBBBB"/>
            </w:tcBorders>
          </w:tcPr>
          <w:p>
            <w:pPr>
              <w:pStyle w:val="TableContents"/>
              <w:bidi w:val="0"/>
              <w:spacing w:lineRule="auto" w:line="240" w:before="0" w:after="0"/>
              <w:jc w:val="left"/>
              <w:rPr>
                <w:sz w:val="16"/>
                <w:szCs w:val="16"/>
              </w:rPr>
            </w:pPr>
            <w:r>
              <w:rPr>
                <w:sz w:val="16"/>
                <w:szCs w:val="16"/>
              </w:rPr>
              <w:t>December</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165,589</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213.6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213.6</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0.23</w:t>
            </w:r>
          </w:p>
        </w:tc>
        <w:tc>
          <w:tcPr>
            <w:tcW w:w="1521" w:type="dxa"/>
            <w:tcBorders>
              <w:bottom w:val="single" w:sz="2" w:space="0" w:color="BBBBBB"/>
            </w:tcBorders>
          </w:tcPr>
          <w:p>
            <w:pPr>
              <w:pStyle w:val="TableContents"/>
              <w:bidi w:val="0"/>
              <w:spacing w:lineRule="auto" w:line="240" w:before="0" w:after="0"/>
              <w:jc w:val="right"/>
              <w:rPr>
                <w:sz w:val="16"/>
                <w:szCs w:val="16"/>
              </w:rPr>
            </w:pPr>
            <w:r>
              <w:rPr>
                <w:sz w:val="16"/>
                <w:szCs w:val="16"/>
              </w:rPr>
              <w:t>232.9</w:t>
            </w:r>
          </w:p>
        </w:tc>
        <w:tc>
          <w:tcPr>
            <w:tcW w:w="1523" w:type="dxa"/>
            <w:tcBorders>
              <w:bottom w:val="single" w:sz="2" w:space="0" w:color="BBBBBB"/>
            </w:tcBorders>
          </w:tcPr>
          <w:p>
            <w:pPr>
              <w:pStyle w:val="TableContents"/>
              <w:bidi w:val="0"/>
              <w:spacing w:lineRule="auto" w:line="240" w:before="0" w:after="0"/>
              <w:jc w:val="right"/>
              <w:rPr>
                <w:sz w:val="16"/>
                <w:szCs w:val="16"/>
              </w:rPr>
            </w:pPr>
            <w:r>
              <w:rPr>
                <w:sz w:val="16"/>
                <w:szCs w:val="16"/>
              </w:rPr>
              <w:t>88</w:t>
            </w:r>
          </w:p>
        </w:tc>
      </w:tr>
      <w:tr>
        <w:trPr>
          <w:cantSplit/>
        </w:trPr>
        <w:tc>
          <w:tcPr>
            <w:tcW w:w="844" w:type="dxa"/>
            <w:tcBorders>
              <w:bottom w:val="single" w:sz="6" w:space="0" w:color="000000"/>
            </w:tcBorders>
          </w:tcPr>
          <w:p>
            <w:pPr>
              <w:pStyle w:val="TableContents"/>
              <w:bidi w:val="0"/>
              <w:spacing w:lineRule="auto" w:line="240" w:before="0" w:after="0"/>
              <w:jc w:val="left"/>
              <w:rPr>
                <w:sz w:val="16"/>
                <w:szCs w:val="16"/>
              </w:rPr>
            </w:pPr>
            <w:r>
              <w:rPr>
                <w:rStyle w:val="Strong"/>
                <w:sz w:val="16"/>
                <w:szCs w:val="16"/>
              </w:rPr>
              <w:t>the year, pooled</w:t>
            </w:r>
          </w:p>
        </w:tc>
        <w:tc>
          <w:tcPr>
            <w:tcW w:w="1521" w:type="dxa"/>
            <w:tcBorders>
              <w:bottom w:val="single" w:sz="6" w:space="0" w:color="000000"/>
            </w:tcBorders>
          </w:tcPr>
          <w:p>
            <w:pPr>
              <w:pStyle w:val="TableContents"/>
              <w:bidi w:val="0"/>
              <w:spacing w:lineRule="auto" w:line="240" w:before="0" w:after="0"/>
              <w:jc w:val="right"/>
              <w:rPr>
                <w:sz w:val="16"/>
                <w:szCs w:val="16"/>
              </w:rPr>
            </w:pPr>
            <w:r>
              <w:rPr>
                <w:sz w:val="16"/>
                <w:szCs w:val="16"/>
              </w:rPr>
              <w:t>2,083,562</w:t>
            </w:r>
          </w:p>
        </w:tc>
        <w:tc>
          <w:tcPr>
            <w:tcW w:w="1521" w:type="dxa"/>
            <w:tcBorders>
              <w:bottom w:val="single" w:sz="6" w:space="0" w:color="000000"/>
            </w:tcBorders>
          </w:tcPr>
          <w:p>
            <w:pPr>
              <w:pStyle w:val="TableContents"/>
              <w:bidi w:val="0"/>
              <w:spacing w:lineRule="auto" w:line="240" w:before="0" w:after="0"/>
              <w:jc w:val="right"/>
              <w:rPr>
                <w:sz w:val="16"/>
                <w:szCs w:val="16"/>
              </w:rPr>
            </w:pPr>
            <w:r>
              <w:rPr>
                <w:rStyle w:val="Strong"/>
                <w:sz w:val="16"/>
                <w:szCs w:val="16"/>
              </w:rPr>
              <w:t>243.7</w:t>
            </w:r>
          </w:p>
        </w:tc>
        <w:tc>
          <w:tcPr>
            <w:tcW w:w="1521" w:type="dxa"/>
            <w:tcBorders>
              <w:bottom w:val="single" w:sz="6" w:space="0" w:color="000000"/>
            </w:tcBorders>
          </w:tcPr>
          <w:p>
            <w:pPr>
              <w:pStyle w:val="TableContents"/>
              <w:bidi w:val="0"/>
              <w:spacing w:lineRule="auto" w:line="240" w:before="0" w:after="0"/>
              <w:jc w:val="right"/>
              <w:rPr>
                <w:sz w:val="16"/>
                <w:szCs w:val="16"/>
              </w:rPr>
            </w:pPr>
            <w:r>
              <w:rPr>
                <w:sz w:val="16"/>
                <w:szCs w:val="16"/>
              </w:rPr>
              <w:t>217.8 (7 out)</w:t>
            </w:r>
          </w:p>
        </w:tc>
        <w:tc>
          <w:tcPr>
            <w:tcW w:w="1521" w:type="dxa"/>
            <w:tcBorders>
              <w:bottom w:val="single" w:sz="6" w:space="0" w:color="000000"/>
            </w:tcBorders>
          </w:tcPr>
          <w:p>
            <w:pPr>
              <w:pStyle w:val="TableContents"/>
              <w:bidi w:val="0"/>
              <w:spacing w:lineRule="auto" w:line="240" w:before="0" w:after="0"/>
              <w:jc w:val="right"/>
              <w:rPr>
                <w:sz w:val="16"/>
                <w:szCs w:val="16"/>
              </w:rPr>
            </w:pPr>
            <w:r>
              <w:rPr>
                <w:sz w:val="16"/>
                <w:szCs w:val="16"/>
              </w:rPr>
              <w:t>0.16</w:t>
            </w:r>
          </w:p>
        </w:tc>
        <w:tc>
          <w:tcPr>
            <w:tcW w:w="1521" w:type="dxa"/>
            <w:tcBorders>
              <w:bottom w:val="single" w:sz="6" w:space="0" w:color="000000"/>
            </w:tcBorders>
          </w:tcPr>
          <w:p>
            <w:pPr>
              <w:pStyle w:val="TableContents"/>
              <w:bidi w:val="0"/>
              <w:spacing w:lineRule="auto" w:line="240" w:before="0" w:after="0"/>
              <w:jc w:val="right"/>
              <w:rPr>
                <w:sz w:val="16"/>
                <w:szCs w:val="16"/>
              </w:rPr>
            </w:pPr>
            <w:r>
              <w:rPr>
                <w:sz w:val="16"/>
                <w:szCs w:val="16"/>
              </w:rPr>
              <w:t>275.9</w:t>
            </w:r>
          </w:p>
        </w:tc>
        <w:tc>
          <w:tcPr>
            <w:tcW w:w="1523" w:type="dxa"/>
            <w:tcBorders>
              <w:bottom w:val="single" w:sz="6" w:space="0" w:color="000000"/>
            </w:tcBorders>
          </w:tcPr>
          <w:p>
            <w:pPr>
              <w:pStyle w:val="TableContents"/>
              <w:bidi w:val="0"/>
              <w:spacing w:lineRule="auto" w:line="240" w:before="0" w:after="0"/>
              <w:jc w:val="right"/>
              <w:rPr>
                <w:sz w:val="16"/>
                <w:szCs w:val="16"/>
              </w:rPr>
            </w:pPr>
            <w:r>
              <w:rPr>
                <w:sz w:val="16"/>
                <w:szCs w:val="16"/>
              </w:rPr>
              <w:t>1,485</w:t>
            </w:r>
          </w:p>
        </w:tc>
      </w:tr>
    </w:tbl>
    <w:p>
      <w:pPr>
        <w:pStyle w:val="BodyText"/>
        <w:bidi w:val="0"/>
        <w:spacing w:lineRule="auto" w:line="276" w:before="160" w:after="140"/>
        <w:jc w:val="left"/>
        <w:rPr/>
      </w:pPr>
      <w:r>
        <w:rPr/>
        <w:t xml:space="preserve">The year's row pools the squared errors of the twelve months' rows and is not a mean of the monthly figures; every total row in this paper is pooled the same way. Held-out December is the ladder's December split, since both train on January to November, and its five seeds are the five of </w:t>
      </w:r>
      <w:hyperlink w:anchor="sec_8_1" w:history="1">
        <w:r>
          <w:rPr>
            <w:rStyle w:val="InternalRef"/>
          </w:rPr>
          <w:t xml:space="preserve">§8.1</w:t>
        </w:r>
      </w:hyperlink>
      <w:r>
        <w:rPr/>
        <w:t xml:space="preserve">: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SourceNote"/>
        <w:bidi w:val="0"/>
        <w:spacing w:lineRule="auto" w:line="252" w:before="0" w:after="200"/>
        <w:jc w:val="left"/>
        <w:rPr/>
      </w:pPr>
      <w:r>
        <w:rPr/>
        <w:t xml:space="preserve">Sources: </w:t>
      </w:r>
      <w:r>
        <w:rPr>
          <w:rStyle w:val="SourceText"/>
          <w:sz w:val="18"/>
          <w:szCs w:val="18"/>
        </w:rPr>
        <w:t>reports/monthly_seeds.md</w:t>
      </w:r>
      <w:r>
        <w:rPr/>
        <w:t xml:space="preserve">, </w:t>
      </w:r>
      <w:r>
        <w:rPr>
          <w:rStyle w:val="Emphasis"/>
        </w:rPr>
        <w:t>Per month and over the year</w:t>
      </w:r>
      <w:r>
        <w:rPr/>
        <w:t xml:space="preserve">; </w:t>
      </w:r>
      <w:r>
        <w:rPr>
          <w:rStyle w:val="SourceText"/>
          <w:sz w:val="18"/>
          <w:szCs w:val="18"/>
        </w:rPr>
        <w:t>reports/monthly_ladder.md</w:t>
      </w:r>
      <w:r>
        <w:rPr/>
        <w:t xml:space="preserve">, </w:t>
      </w:r>
      <w:r>
        <w:rPr>
          <w:rStyle w:val="Emphasis"/>
        </w:rPr>
        <w:t>Annex F: the rows over four hours</w:t>
      </w:r>
      <w:r>
        <w:rPr/>
        <w:t>.</w:t>
      </w:r>
    </w:p>
    <w:p>
      <w:pPr>
        <w:pStyle w:val="Heading3"/>
        <w:numPr>
          <w:ilvl w:val="0"/>
          <w:numId w:val="0"/>
        </w:numPr>
        <w:bidi w:val="0"/>
        <w:spacing w:before="140" w:after="120"/>
        <w:jc w:val="left"/>
        <w:rPr/>
      </w:pPr>
      <w:bookmarkStart w:id="183" w:name="sec_8_3"/>
      <w:bookmarkStart w:id="182" w:name="_Toc000042"/>
      <w:r>
        <w:rPr/>
        <w:t>8.3 Every airport, every month</w:t>
      </w:r>
      <w:bookmarkEnd w:id="182"/>
      <w:bookmarkEnd w:id="183"/>
    </w:p>
    <w:p>
      <w:pPr>
        <w:pStyle w:val="BodyText"/>
        <w:bidi w:val="0"/>
        <w:spacing w:lineRule="auto" w:line="276" w:before="0" w:after="140"/>
        <w:jc w:val="left"/>
        <w:rPr/>
      </w:pPr>
      <w:r>
        <w:rPr/>
        <w:t xml:space="preserve">The table gives the same model per airport and month: RMSE excluding the rows the term covers, with the margins pooled from the rows they cover. A bracket is the diagnostic reading over the rows of four hours or less where an airport has rows over four hours in that month, with the count it leaves out. The bias per cell is in </w:t>
      </w:r>
      <w:hyperlink w:anchor="annex_C" w:history="1">
        <w:r>
          <w:rPr>
            <w:rStyle w:val="InternalRef"/>
          </w:rPr>
          <w:t xml:space="preserve">Annex C</w:t>
        </w:r>
      </w:hyperlink>
      <w:r>
        <w:rPr/>
        <w:t xml:space="preserve">.</w:t>
      </w:r>
    </w:p>
    <w:tbl>
      <w:tblPr>
        <w:tblW w:w="9972" w:type="dxa"/>
        <w:jc w:val="left"/>
        <w:tblInd w:w="58" w:type="dxa"/>
        <w:tblLayout w:type="fixed"/>
        <w:tblCellMar>
          <w:top w:w="36" w:type="dxa"/>
          <w:left w:w="58" w:type="dxa"/>
          <w:bottom w:w="36" w:type="dxa"/>
          <w:right w:w="58" w:type="dxa"/>
        </w:tblCellMar>
      </w:tblPr>
      <w:tblGrid>
        <w:gridCol w:w="743"/>
        <w:gridCol w:w="709"/>
        <w:gridCol w:w="709"/>
        <w:gridCol w:w="709"/>
        <w:gridCol w:w="709"/>
        <w:gridCol w:w="709"/>
        <w:gridCol w:w="709"/>
        <w:gridCol w:w="709"/>
        <w:gridCol w:w="709"/>
        <w:gridCol w:w="709"/>
        <w:gridCol w:w="709"/>
        <w:gridCol w:w="709"/>
        <w:gridCol w:w="709"/>
        <w:gridCol w:w="721"/>
      </w:tblGrid>
      <w:tr>
        <w:trPr>
          <w:tblHeader w:val="true"/>
          <w:cantSplit/>
        </w:trPr>
        <w:tc>
          <w:tcPr>
            <w:tcW w:w="743"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airport</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72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Frankfurt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223.3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172.4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153.2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150.5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170.5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163.6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186.1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156.1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157.6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152.0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207.9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187.9</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173.4</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Munich</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212.0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182.0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152.3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131.6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142.4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170.6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183.5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156.1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183.1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159.7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194.8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242.5</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176.1</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Heathrow</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249.6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234.8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202.3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218.9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244.4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301.4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233.0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248.9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229.3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213.6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237.9</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237.1</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Schiphol</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250.5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196.8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186.8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151.1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146.7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160.1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177.5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152.8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159.1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166.9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187.0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172.0</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176.1</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Barcelona</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144.1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138.5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153.8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165.3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176.6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265.2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239.5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230.2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201.5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162.4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179.8</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194.6</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Madrid</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163.5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151.1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187.5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168.3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176.3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184.6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192.6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182.1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191.8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172.2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170.0</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177.8</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Paris</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810.1 [291.8; 2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232.2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233.9 [203.5; 1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196.0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220.4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245.5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253.3 [249.3; 1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233.9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230.7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227.8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276.5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251.3</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317.9 [239.0; 4 out]</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Fiumicino</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276.4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301.3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281.9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305.1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300.5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386.6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788.4 [434.5; 1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374.8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336.5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365.6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275.8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293.0</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391.3 [335.7; 1 out]</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Zurich</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241.1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256.2 [179.3; 1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161.5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150.9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809.7 [158.9; 1 out]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168.7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188.5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161.5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151.2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153.6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195.8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181.6</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298.3 [174.6; 2 out]</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Istanbul</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212.1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520.8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202.4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210.1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207.4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202.1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257.4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210.3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197.1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215.2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192.6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203.0</w:t>
            </w:r>
          </w:p>
        </w:tc>
        <w:tc>
          <w:tcPr>
            <w:tcW w:w="721" w:type="dxa"/>
            <w:tcBorders>
              <w:bottom w:val="single" w:sz="2" w:space="0" w:color="BBBBBB"/>
            </w:tcBorders>
          </w:tcPr>
          <w:p>
            <w:pPr>
              <w:pStyle w:val="TableContents"/>
              <w:bidi w:val="0"/>
              <w:spacing w:lineRule="auto" w:line="240" w:before="0" w:after="0"/>
              <w:jc w:val="right"/>
              <w:rPr>
                <w:sz w:val="14"/>
                <w:szCs w:val="14"/>
              </w:rPr>
            </w:pPr>
            <w:r>
              <w:rPr>
                <w:sz w:val="14"/>
                <w:szCs w:val="14"/>
              </w:rPr>
              <w:t>244.5</w:t>
            </w:r>
          </w:p>
        </w:tc>
      </w:tr>
      <w:tr>
        <w:trPr>
          <w:cantSplit/>
        </w:trPr>
        <w:tc>
          <w:tcPr>
            <w:tcW w:w="743" w:type="dxa"/>
            <w:tcBorders>
              <w:bottom w:val="single" w:sz="6" w:space="0" w:color="000000"/>
            </w:tcBorders>
          </w:tcPr>
          <w:p>
            <w:pPr>
              <w:pStyle w:val="TableContents"/>
              <w:bidi w:val="0"/>
              <w:spacing w:lineRule="auto" w:line="240" w:before="0" w:after="0"/>
              <w:jc w:val="left"/>
              <w:rPr>
                <w:sz w:val="14"/>
                <w:szCs w:val="14"/>
              </w:rPr>
            </w:pPr>
            <w:r>
              <w:rPr>
                <w:sz w:val="14"/>
                <w:szCs w:val="14"/>
              </w:rPr>
              <w:t>all ten</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346.8 [231.8; 2 out]</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267.9 [264.0; 1 out]</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200.3 [196.4; 1 out]</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188.3</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281.8 [195.9; 1 out]</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218.0</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311.7 [251.3; 2 out]</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216.3</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211.8</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211.4</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210.3</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213.6</w:t>
            </w:r>
          </w:p>
        </w:tc>
        <w:tc>
          <w:tcPr>
            <w:tcW w:w="721" w:type="dxa"/>
            <w:tcBorders>
              <w:bottom w:val="single" w:sz="6" w:space="0" w:color="000000"/>
            </w:tcBorders>
          </w:tcPr>
          <w:p>
            <w:pPr>
              <w:pStyle w:val="TableContents"/>
              <w:bidi w:val="0"/>
              <w:spacing w:lineRule="auto" w:line="240" w:before="0" w:after="0"/>
              <w:jc w:val="right"/>
              <w:rPr>
                <w:sz w:val="14"/>
                <w:szCs w:val="14"/>
              </w:rPr>
            </w:pPr>
            <w:r>
              <w:rPr>
                <w:sz w:val="14"/>
                <w:szCs w:val="14"/>
              </w:rPr>
              <w:t>243.7 [217.8; 7 out]</w:t>
            </w:r>
          </w:p>
        </w:tc>
      </w:tr>
    </w:tbl>
    <w:p>
      <w:pPr>
        <w:pStyle w:val="BodyText"/>
        <w:bidi w:val="0"/>
        <w:spacing w:lineRule="auto" w:line="276" w:before="160" w:after="140"/>
        <w:jc w:val="left"/>
        <w:rPr/>
      </w:pPr>
      <w:r>
        <w:rPr/>
        <w:t xml:space="preserve">Six airports, Frankfurt, Munich, Heathrow, Schiphol, Barcelona and Madrid, pool to between 173.4 and 237.1 s over the year. Heathrow is the widest of the six, and its July, at 301.4 s, is the widest of their months, which </w:t>
      </w:r>
      <w:hyperlink w:anchor="sec_9_5" w:history="1">
        <w:r>
          <w:rPr>
            <w:rStyle w:val="InternalRef"/>
          </w:rPr>
          <w:t xml:space="preserve">§9.5</w:t>
        </w:r>
      </w:hyperlink>
      <w:r>
        <w:rPr/>
        <w:t xml:space="preserve">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That month froze for 22.6% of its hours against a 2019 to 2024 range of 0.0% to 16.7%, and had precipitation in 39.1% against 9.1% to 23.5% (</w:t>
      </w:r>
      <w:hyperlink w:anchor="sec_7_3" w:history="1">
        <w:r>
          <w:rPr>
            <w:rStyle w:val="InternalRef"/>
          </w:rPr>
          <w:t xml:space="preserve">§7.3</w:t>
        </w:r>
      </w:hyperlink>
      <w:r>
        <w:rPr/>
        <w:t xml:space="preserve">, </w:t>
      </w:r>
      <w:hyperlink w:anchor="annex_G" w:history="1">
        <w:r>
          <w:rPr>
            <w:rStyle w:val="InternalRef"/>
          </w:rPr>
          <w:t xml:space="preserve">Annex G</w:t>
        </w:r>
      </w:hyperlink>
      <w:r>
        <w:rPr/>
        <w:t xml:space="preserve">). Fiumicino runs from 275.8 to 386.6 s in its other eleven months, the widest band of the ten, and it is where the last three blocks of the chain gain the most (</w:t>
      </w:r>
      <w:hyperlink w:anchor="sec_9_5" w:history="1">
        <w:r>
          <w:rPr>
            <w:rStyle w:val="InternalRef"/>
          </w:rPr>
          <w:t xml:space="preserve">§9.5</w:t>
        </w:r>
      </w:hyperlink>
      <w:r>
        <w:rPr/>
        <w:t xml:space="preserve">).</w:t>
      </w:r>
    </w:p>
    <w:p>
      <w:pPr>
        <w:pStyle w:val="BodyText"/>
        <w:bidi w:val="0"/>
        <w:spacing w:lineRule="auto" w:line="276" w:before="0" w:after="140"/>
        <w:jc w:val="left"/>
        <w:rPr/>
      </w:pPr>
      <w:r>
        <w:rPr/>
        <w:t xml:space="preserve">On the forward splits, per airport and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w:t>
      </w:r>
      <w:hyperlink w:anchor="sec_5_4" w:history="1">
        <w:r>
          <w:rPr>
            <w:rStyle w:val="InternalRef"/>
          </w:rPr>
          <w:t xml:space="preserve">§5.4</w:t>
        </w:r>
      </w:hyperlink>
      <w:r>
        <w:rPr/>
        <w:t xml:space="preserve">).</w:t>
      </w:r>
    </w:p>
    <w:tbl>
      <w:tblPr>
        <w:tblW w:w="9972" w:type="dxa"/>
        <w:jc w:val="left"/>
        <w:tblInd w:w="58" w:type="dxa"/>
        <w:tblLayout w:type="fixed"/>
        <w:tblCellMar>
          <w:top w:w="36" w:type="dxa"/>
          <w:left w:w="58" w:type="dxa"/>
          <w:bottom w:w="36" w:type="dxa"/>
          <w:right w:w="58" w:type="dxa"/>
        </w:tblCellMar>
      </w:tblPr>
      <w:tblGrid>
        <w:gridCol w:w="835"/>
        <w:gridCol w:w="1305"/>
        <w:gridCol w:w="1305"/>
        <w:gridCol w:w="1305"/>
        <w:gridCol w:w="1305"/>
        <w:gridCol w:w="1305"/>
        <w:gridCol w:w="1305"/>
        <w:gridCol w:w="1307"/>
      </w:tblGrid>
      <w:tr>
        <w:trPr>
          <w:tblHeader w:val="true"/>
          <w:cantSplit/>
        </w:trPr>
        <w:tc>
          <w:tcPr>
            <w:tcW w:w="83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airport</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December RMSE (s)</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December bias (s)</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July RMSE (s)</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July bias (s)</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held-out-pair difference [95%]</w:t>
            </w:r>
          </w:p>
        </w:tc>
        <w:tc>
          <w:tcPr>
            <w:tcW w:w="130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ranking rows, January 2026</w:t>
            </w:r>
          </w:p>
        </w:tc>
        <w:tc>
          <w:tcPr>
            <w:tcW w:w="130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ranking rows, July 2026</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Frankfurt</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188.4</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+17</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189.7</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+13</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+30.7 [+23.4, +38.0]</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15,667</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20,650</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Munich</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244.7</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189.2</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17</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+10.8 [+7.2, +15.5]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10,953</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15,013</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Heathrow</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239.4</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314.4</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+22</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+16.4 [+13.4, +19.6]</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19,283</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20,557</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Schiphol</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174.1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182.4</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+13</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+9.0 [+6.0, +11.9]</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16,232</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21,950</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Barcelona</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180.1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269.9</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12</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+9.3 [+2.3, +16.3]</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12,201</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17,879</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Madrid</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170.5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199.6</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+19.2 [+14.2, +23.9]</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16,802</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20,152</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Paris</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252.5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265.9</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6</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+24.2 [+19.5, +30.1]</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18,129</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21,743</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Fiumicino</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294.4</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48</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814.5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96</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+22.5 [+16.8, +29.3]</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11,061</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15,838</w:t>
            </w:r>
          </w:p>
        </w:tc>
      </w:tr>
      <w:tr>
        <w:trPr>
          <w:cantSplit/>
        </w:trPr>
        <w:tc>
          <w:tcPr>
            <w:tcW w:w="835" w:type="dxa"/>
            <w:tcBorders>
              <w:bottom w:val="single" w:sz="2" w:space="0" w:color="BBBBBB"/>
            </w:tcBorders>
          </w:tcPr>
          <w:p>
            <w:pPr>
              <w:pStyle w:val="TableContents"/>
              <w:bidi w:val="0"/>
              <w:spacing w:lineRule="auto" w:line="240" w:before="0" w:after="0"/>
              <w:jc w:val="left"/>
              <w:rPr>
                <w:sz w:val="16"/>
                <w:szCs w:val="16"/>
              </w:rPr>
            </w:pPr>
            <w:r>
              <w:rPr>
                <w:sz w:val="16"/>
                <w:szCs w:val="16"/>
              </w:rPr>
              <w:t>Zurich</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182.5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193.5</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+7</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+15.8 [+9.6, +27.2]</w:t>
            </w:r>
          </w:p>
        </w:tc>
        <w:tc>
          <w:tcPr>
            <w:tcW w:w="1305" w:type="dxa"/>
            <w:tcBorders>
              <w:bottom w:val="single" w:sz="2" w:space="0" w:color="BBBBBB"/>
            </w:tcBorders>
          </w:tcPr>
          <w:p>
            <w:pPr>
              <w:pStyle w:val="TableContents"/>
              <w:bidi w:val="0"/>
              <w:spacing w:lineRule="auto" w:line="240" w:before="0" w:after="0"/>
              <w:jc w:val="right"/>
              <w:rPr>
                <w:sz w:val="16"/>
                <w:szCs w:val="16"/>
              </w:rPr>
            </w:pPr>
            <w:r>
              <w:rPr>
                <w:sz w:val="16"/>
                <w:szCs w:val="16"/>
              </w:rPr>
              <w:t>9,995</w:t>
            </w:r>
          </w:p>
        </w:tc>
        <w:tc>
          <w:tcPr>
            <w:tcW w:w="1307" w:type="dxa"/>
            <w:tcBorders>
              <w:bottom w:val="single" w:sz="2" w:space="0" w:color="BBBBBB"/>
            </w:tcBorders>
          </w:tcPr>
          <w:p>
            <w:pPr>
              <w:pStyle w:val="TableContents"/>
              <w:bidi w:val="0"/>
              <w:spacing w:lineRule="auto" w:line="240" w:before="0" w:after="0"/>
              <w:jc w:val="right"/>
              <w:rPr>
                <w:sz w:val="16"/>
                <w:szCs w:val="16"/>
              </w:rPr>
            </w:pPr>
            <w:r>
              <w:rPr>
                <w:sz w:val="16"/>
                <w:szCs w:val="16"/>
              </w:rPr>
              <w:t>13,155</w:t>
            </w:r>
          </w:p>
        </w:tc>
      </w:tr>
      <w:tr>
        <w:trPr>
          <w:cantSplit/>
        </w:trPr>
        <w:tc>
          <w:tcPr>
            <w:tcW w:w="835" w:type="dxa"/>
            <w:tcBorders>
              <w:bottom w:val="single" w:sz="6" w:space="0" w:color="000000"/>
            </w:tcBorders>
          </w:tcPr>
          <w:p>
            <w:pPr>
              <w:pStyle w:val="TableContents"/>
              <w:bidi w:val="0"/>
              <w:spacing w:lineRule="auto" w:line="240" w:before="0" w:after="0"/>
              <w:jc w:val="left"/>
              <w:rPr>
                <w:sz w:val="16"/>
                <w:szCs w:val="16"/>
              </w:rPr>
            </w:pPr>
            <w:r>
              <w:rPr>
                <w:sz w:val="16"/>
                <w:szCs w:val="16"/>
              </w:rPr>
              <w:t>Istanbul</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203.4</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+13</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267.3</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w:t>
            </w:r>
            <w:r>
              <w:rPr>
                <w:sz w:val="16"/>
                <w:szCs w:val="16"/>
              </w:rPr>
              <w:t>1</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+24.9 [+19.5, +30.6]</w:t>
            </w:r>
          </w:p>
        </w:tc>
        <w:tc>
          <w:tcPr>
            <w:tcW w:w="1305" w:type="dxa"/>
            <w:tcBorders>
              <w:bottom w:val="single" w:sz="6" w:space="0" w:color="000000"/>
            </w:tcBorders>
          </w:tcPr>
          <w:p>
            <w:pPr>
              <w:pStyle w:val="TableContents"/>
              <w:bidi w:val="0"/>
              <w:spacing w:lineRule="auto" w:line="240" w:before="0" w:after="0"/>
              <w:jc w:val="right"/>
              <w:rPr>
                <w:sz w:val="16"/>
                <w:szCs w:val="16"/>
              </w:rPr>
            </w:pPr>
            <w:r>
              <w:rPr>
                <w:sz w:val="16"/>
                <w:szCs w:val="16"/>
              </w:rPr>
              <w:t>22,396</w:t>
            </w:r>
          </w:p>
        </w:tc>
        <w:tc>
          <w:tcPr>
            <w:tcW w:w="1307" w:type="dxa"/>
            <w:tcBorders>
              <w:bottom w:val="single" w:sz="6" w:space="0" w:color="000000"/>
            </w:tcBorders>
          </w:tcPr>
          <w:p>
            <w:pPr>
              <w:pStyle w:val="TableContents"/>
              <w:bidi w:val="0"/>
              <w:spacing w:lineRule="auto" w:line="240" w:before="0" w:after="0"/>
              <w:jc w:val="right"/>
              <w:rPr>
                <w:sz w:val="16"/>
                <w:szCs w:val="16"/>
              </w:rPr>
            </w:pPr>
            <w:r>
              <w:rPr>
                <w:sz w:val="16"/>
                <w:szCs w:val="16"/>
              </w:rPr>
              <w:t>25,185</w:t>
            </w:r>
          </w:p>
        </w:tc>
      </w:tr>
    </w:tbl>
    <w:p>
      <w:pPr>
        <w:pStyle w:val="BodyText"/>
        <w:bidi w:val="0"/>
        <w:spacing w:lineRule="auto" w:line="276" w:before="160" w:after="140"/>
        <w:jc w:val="left"/>
        <w:rPr/>
      </w:pPr>
      <w:r>
        <w:rPr/>
        <w:t xml:space="preserve">RMSE and bias are the ladder's single seed on the forward splits, over the rows the record-quality term leaves to the model (positive bias: the model predicts too long). Fiumicino's July figure is one row's (</w:t>
      </w:r>
      <w:hyperlink w:anchor="sec_9_5" w:history="1">
        <w:r>
          <w:rPr>
            <w:rStyle w:val="InternalRef"/>
          </w:rPr>
          <w:t xml:space="preserve">§9.5</w:t>
        </w:r>
      </w:hyperlink>
      <w:r>
        <w:rPr/>
        <w:t xml:space="preserve">). The held-out-pair difference is the claim of </w:t>
      </w:r>
      <w:hyperlink w:anchor="sec_7_2" w:history="1">
        <w:r>
          <w:rPr>
            <w:rStyle w:val="InternalRef"/>
          </w:rPr>
          <w:t xml:space="preserve">§7.2</w:t>
        </w:r>
      </w:hyperlink>
      <w:r>
        <w:rPr/>
        <w:t xml:space="preserve"> read at each airport alone. The last two columns are how many rows of the ranking set each airport holds.</w:t>
      </w:r>
    </w:p>
    <w:p>
      <w:pPr>
        <w:pStyle w:val="SourceNote"/>
        <w:bidi w:val="0"/>
        <w:spacing w:lineRule="auto" w:line="252" w:before="0" w:after="200"/>
        <w:jc w:val="left"/>
        <w:rPr/>
      </w:pPr>
      <w:r>
        <w:rPr/>
        <w:t xml:space="preserve">Sources: </w:t>
      </w:r>
      <w:r>
        <w:rPr>
          <w:rStyle w:val="SourceText"/>
          <w:sz w:val="18"/>
          <w:szCs w:val="18"/>
        </w:rPr>
        <w:t>reports/monthly_seeds.md</w:t>
      </w:r>
      <w:r>
        <w:rPr/>
        <w:t xml:space="preserve">, </w:t>
      </w:r>
      <w:r>
        <w:rPr>
          <w:rStyle w:val="Emphasis"/>
        </w:rPr>
        <w:t>Per airport and month: the five-seed average</w:t>
      </w:r>
      <w:r>
        <w:rPr/>
        <w:t xml:space="preserve">; </w:t>
      </w:r>
      <w:r>
        <w:rPr>
          <w:rStyle w:val="SourceText"/>
          <w:sz w:val="18"/>
          <w:szCs w:val="18"/>
        </w:rPr>
        <w:t>reports/monthly_ladder.md</w:t>
      </w:r>
      <w:r>
        <w:rPr/>
        <w:t xml:space="preserve">, </w:t>
      </w:r>
      <w:r>
        <w:rPr>
          <w:rStyle w:val="Emphasis"/>
        </w:rPr>
        <w:t>Annex E: the historic weather context</w:t>
      </w:r>
      <w:r>
        <w:rPr/>
        <w:t xml:space="preserve">; </w:t>
      </w:r>
      <w:r>
        <w:rPr>
          <w:rStyle w:val="SourceText"/>
          <w:sz w:val="18"/>
          <w:szCs w:val="18"/>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sz w:val="18"/>
          <w:szCs w:val="18"/>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sz w:val="18"/>
          <w:szCs w:val="18"/>
        </w:rPr>
        <w:t>reports/tails.md</w:t>
      </w:r>
      <w:r>
        <w:rPr/>
        <w:t xml:space="preserve">, </w:t>
      </w:r>
      <w:r>
        <w:rPr>
          <w:rStyle w:val="Emphasis"/>
        </w:rPr>
        <w:t>What it touches in the ranking set</w:t>
      </w:r>
      <w:r>
        <w:rPr/>
        <w:t>.</w:t>
      </w:r>
    </w:p>
    <w:p>
      <w:pPr>
        <w:pStyle w:val="Heading3"/>
        <w:numPr>
          <w:ilvl w:val="0"/>
          <w:numId w:val="0"/>
        </w:numPr>
        <w:bidi w:val="0"/>
        <w:spacing w:before="140" w:after="120"/>
        <w:jc w:val="left"/>
        <w:rPr/>
      </w:pPr>
      <w:bookmarkStart w:id="185" w:name="sec_8_4"/>
      <w:bookmarkStart w:id="184" w:name="_Toc000043"/>
      <w:r>
        <w:rPr/>
        <w:t>8.4 What each source of delay is worth, over the year</w:t>
      </w:r>
      <w:bookmarkEnd w:id="184"/>
      <w:bookmarkEnd w:id="185"/>
    </w:p>
    <w:p>
      <w:pPr>
        <w:pStyle w:val="BodyText"/>
        <w:bidi w:val="0"/>
        <w:spacing w:lineRule="auto" w:line="276" w:before="0" w:after="140"/>
        <w:jc w:val="left"/>
        <w:rPr/>
      </w:pPr>
      <w:r>
        <w:rPr/>
        <w:t xml:space="preserve">Read with every month held out, each block's worth becomes a change pooled over the year and a count of months; </w:t>
      </w:r>
      <w:hyperlink w:anchor="sec_7_2" w:history="1">
        <w:r>
          <w:rPr>
            <w:rStyle w:val="InternalRef"/>
          </w:rPr>
          <w:t xml:space="preserve">§7.2</w:t>
        </w:r>
      </w:hyperlink>
      <w:r>
        <w:rPr/>
        <w:t xml:space="preserve"> reads the same ladder on the two forward splits and on the held-out pairs. The count is read against the floor measured in that month (</w:t>
      </w:r>
      <w:hyperlink w:anchor="sec_3_6" w:history="1">
        <w:r>
          <w:rPr>
            <w:rStyle w:val="InternalRef"/>
          </w:rPr>
          <w:t xml:space="preserve">§3.6</w:t>
        </w:r>
      </w:hyperlink>
      <w:r>
        <w:rPr/>
        <w:t xml:space="preserve">). A block helps in a month when it improves the ex-flagged figure by more than that month's floor, and hurts when it worsens it by more. Otherwise it sits inside the floor, which is within what changing the seed alone produces. Each block is read against the rung the ladder reads it against, so its change is net of every block below it.</w:t>
      </w:r>
    </w:p>
    <w:tbl>
      <w:tblPr>
        <w:tblW w:w="9972" w:type="dxa"/>
        <w:jc w:val="left"/>
        <w:tblInd w:w="58" w:type="dxa"/>
        <w:tblLayout w:type="fixed"/>
        <w:tblCellMar>
          <w:top w:w="36" w:type="dxa"/>
          <w:left w:w="58" w:type="dxa"/>
          <w:bottom w:w="36" w:type="dxa"/>
          <w:right w:w="58" w:type="dxa"/>
        </w:tblCellMar>
      </w:tblPr>
      <w:tblGrid>
        <w:gridCol w:w="1155"/>
        <w:gridCol w:w="1763"/>
        <w:gridCol w:w="1763"/>
        <w:gridCol w:w="1763"/>
        <w:gridCol w:w="1763"/>
        <w:gridCol w:w="1765"/>
      </w:tblGrid>
      <w:tr>
        <w:trPr>
          <w:tblHeader w:val="true"/>
          <w:cantSplit/>
        </w:trPr>
        <w:tc>
          <w:tcPr>
            <w:tcW w:w="115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block</w:t>
            </w:r>
          </w:p>
        </w:tc>
        <w:tc>
          <w:tcPr>
            <w:tcW w:w="176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year, ex-flagged (s)</w:t>
            </w:r>
          </w:p>
        </w:tc>
        <w:tc>
          <w:tcPr>
            <w:tcW w:w="176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change (s)</w:t>
            </w:r>
          </w:p>
        </w:tc>
        <w:tc>
          <w:tcPr>
            <w:tcW w:w="176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months it helps, beyond the floor</w:t>
            </w:r>
          </w:p>
        </w:tc>
        <w:tc>
          <w:tcPr>
            <w:tcW w:w="176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months inside the floor</w:t>
            </w:r>
          </w:p>
        </w:tc>
        <w:tc>
          <w:tcPr>
            <w:tcW w:w="1765"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months it hurts, beyond the floor</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identifiers + time</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333.1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geometry</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331.7</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1.4</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9</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 (June, July)</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1 (April)</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aircraft</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328.5</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3.2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 (February)</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plan lags</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265.7</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62.9</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runway throughput</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262.9</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2.7</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arrivals</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262.6</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0.3</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8</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1 (February)</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demand</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262.3</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0.3</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7</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configuration</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262.2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0.1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7</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shared corridor</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262.3</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11</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weather</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261.5</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0.9</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9</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shrunk encoding, replacing the stand</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258.5</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3.0</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stand occupancy</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251.2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7.2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callsign prefix</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248.0</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3.3</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11</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 (February)</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2" w:space="0" w:color="BBBBBB"/>
            </w:tcBorders>
          </w:tcPr>
          <w:p>
            <w:pPr>
              <w:pStyle w:val="TableContents"/>
              <w:bidi w:val="0"/>
              <w:spacing w:lineRule="auto" w:line="240" w:before="0" w:after="0"/>
              <w:jc w:val="left"/>
              <w:rPr>
                <w:sz w:val="16"/>
                <w:szCs w:val="16"/>
              </w:rPr>
            </w:pPr>
            <w:r>
              <w:rPr>
                <w:sz w:val="16"/>
                <w:szCs w:val="16"/>
              </w:rPr>
              <w:t>destination and holidays</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246.6</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w:t>
            </w:r>
            <w:r>
              <w:rPr>
                <w:sz w:val="16"/>
                <w:szCs w:val="16"/>
              </w:rPr>
              <w:t>1.4</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763"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765"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r>
      <w:tr>
        <w:trPr>
          <w:cantSplit/>
        </w:trPr>
        <w:tc>
          <w:tcPr>
            <w:tcW w:w="1155" w:type="dxa"/>
            <w:tcBorders>
              <w:bottom w:val="single" w:sz="6" w:space="0" w:color="000000"/>
            </w:tcBorders>
          </w:tcPr>
          <w:p>
            <w:pPr>
              <w:pStyle w:val="TableContents"/>
              <w:bidi w:val="0"/>
              <w:spacing w:lineRule="auto" w:line="240" w:before="0" w:after="0"/>
              <w:jc w:val="left"/>
              <w:rPr>
                <w:sz w:val="16"/>
                <w:szCs w:val="16"/>
              </w:rPr>
            </w:pPr>
            <w:r>
              <w:rPr>
                <w:sz w:val="16"/>
                <w:szCs w:val="16"/>
              </w:rPr>
              <w:t>plan differences (ships)</w:t>
            </w:r>
          </w:p>
        </w:tc>
        <w:tc>
          <w:tcPr>
            <w:tcW w:w="1763" w:type="dxa"/>
            <w:tcBorders>
              <w:bottom w:val="single" w:sz="6" w:space="0" w:color="000000"/>
            </w:tcBorders>
          </w:tcPr>
          <w:p>
            <w:pPr>
              <w:pStyle w:val="TableContents"/>
              <w:bidi w:val="0"/>
              <w:spacing w:lineRule="auto" w:line="240" w:before="0" w:after="0"/>
              <w:jc w:val="right"/>
              <w:rPr>
                <w:sz w:val="16"/>
                <w:szCs w:val="16"/>
              </w:rPr>
            </w:pPr>
            <w:r>
              <w:rPr>
                <w:sz w:val="16"/>
                <w:szCs w:val="16"/>
              </w:rPr>
              <w:t>244.4</w:t>
            </w:r>
          </w:p>
        </w:tc>
        <w:tc>
          <w:tcPr>
            <w:tcW w:w="1763" w:type="dxa"/>
            <w:tcBorders>
              <w:bottom w:val="single" w:sz="6" w:space="0" w:color="000000"/>
            </w:tcBorders>
          </w:tcPr>
          <w:p>
            <w:pPr>
              <w:pStyle w:val="TableContents"/>
              <w:bidi w:val="0"/>
              <w:spacing w:lineRule="auto" w:line="240" w:before="0" w:after="0"/>
              <w:jc w:val="right"/>
              <w:rPr>
                <w:sz w:val="16"/>
                <w:szCs w:val="16"/>
              </w:rPr>
            </w:pPr>
            <w:r>
              <w:rPr>
                <w:sz w:val="16"/>
                <w:szCs w:val="16"/>
              </w:rPr>
              <w:t>−</w:t>
            </w:r>
            <w:r>
              <w:rPr>
                <w:sz w:val="16"/>
                <w:szCs w:val="16"/>
              </w:rPr>
              <w:t>2.2</w:t>
            </w:r>
          </w:p>
        </w:tc>
        <w:tc>
          <w:tcPr>
            <w:tcW w:w="1763" w:type="dxa"/>
            <w:tcBorders>
              <w:bottom w:val="single" w:sz="6" w:space="0" w:color="000000"/>
            </w:tcBorders>
          </w:tcPr>
          <w:p>
            <w:pPr>
              <w:pStyle w:val="TableContents"/>
              <w:bidi w:val="0"/>
              <w:spacing w:lineRule="auto" w:line="240" w:before="0" w:after="0"/>
              <w:jc w:val="right"/>
              <w:rPr>
                <w:sz w:val="16"/>
                <w:szCs w:val="16"/>
              </w:rPr>
            </w:pPr>
            <w:r>
              <w:rPr>
                <w:sz w:val="16"/>
                <w:szCs w:val="16"/>
              </w:rPr>
              <w:t>11</w:t>
            </w:r>
          </w:p>
        </w:tc>
        <w:tc>
          <w:tcPr>
            <w:tcW w:w="1763" w:type="dxa"/>
            <w:tcBorders>
              <w:bottom w:val="single" w:sz="6" w:space="0" w:color="000000"/>
            </w:tcBorders>
          </w:tcPr>
          <w:p>
            <w:pPr>
              <w:pStyle w:val="TableContents"/>
              <w:bidi w:val="0"/>
              <w:spacing w:lineRule="auto" w:line="240" w:before="0" w:after="0"/>
              <w:jc w:val="right"/>
              <w:rPr>
                <w:sz w:val="16"/>
                <w:szCs w:val="16"/>
              </w:rPr>
            </w:pPr>
            <w:r>
              <w:rPr>
                <w:sz w:val="16"/>
                <w:szCs w:val="16"/>
              </w:rPr>
              <w:t>1 (February)</w:t>
            </w:r>
          </w:p>
        </w:tc>
        <w:tc>
          <w:tcPr>
            <w:tcW w:w="1765" w:type="dxa"/>
            <w:tcBorders>
              <w:bottom w:val="single" w:sz="6" w:space="0" w:color="000000"/>
            </w:tcBorders>
          </w:tcPr>
          <w:p>
            <w:pPr>
              <w:pStyle w:val="TableContents"/>
              <w:bidi w:val="0"/>
              <w:spacing w:lineRule="auto" w:line="240" w:before="0" w:after="0"/>
              <w:jc w:val="right"/>
              <w:rPr>
                <w:sz w:val="16"/>
                <w:szCs w:val="16"/>
              </w:rPr>
            </w:pPr>
            <w:r>
              <w:rPr>
                <w:sz w:val="16"/>
                <w:szCs w:val="16"/>
              </w:rPr>
              <w:t>0</w:t>
            </w:r>
          </w:p>
        </w:tc>
      </w:tr>
    </w:tbl>
    <w:p>
      <w:pPr>
        <w:pStyle w:val="BodyText"/>
        <w:bidi w:val="0"/>
        <w:spacing w:lineRule="auto" w:line="276" w:before="160" w:after="140"/>
        <w:jc w:val="left"/>
        <w:rPr/>
      </w:pPr>
      <w:r>
        <w:rPr/>
        <w:t xml:space="preserve">The year's figures are the ladder's single seed, pooled over the twelve held-out months excluding the rows the term covers; the five-seed average of the base configuration is 243.7 s on the same rows (</w:t>
      </w:r>
      <w:hyperlink w:anchor="sec_8_2" w:history="1">
        <w:r>
          <w:rPr>
            <w:rStyle w:val="InternalRef"/>
          </w:rPr>
          <w:t xml:space="preserve">§8.2</w:t>
        </w:r>
      </w:hyperlink>
      <w:r>
        <w:rPr/>
        <w:t xml:space="preserve">). The table supports three readings. The ladder that ends in the base configuration holds up month by month: the plan lags, the throughput, the stand-replacing encoding, the stand occupancy and the destination block help in every month, and the aircraft block, the callsign prefix and the plan differences in eleven. February, the month with the widest floor, is the one month in which each of those three sits inside it. The geometry block, worth −1.4 s pooled, helps in nine months and hurts in April; its worth on a forward split was never the claim, which </w:t>
      </w:r>
      <w:hyperlink w:anchor="sec_8_5" w:history="1">
        <w:r>
          <w:rPr>
            <w:rStyle w:val="InternalRef"/>
          </w:rPr>
          <w:t xml:space="preserve">§8.5</w:t>
        </w:r>
      </w:hyperlink>
      <w:r>
        <w:rPr/>
        <w:t xml:space="preserve"> reads month by month. Two of the congestion blocks are null over the year once the floor is applied: the configuration block sits inside it in seven months and the shared corridor in eleven. The arrivals and demand blocks are small but consistent, helping in eight and seven months and worth 0.3 s each. Together the five congestion blocks and the weather block are worth 4.2 s pooled, net of the plan lags, of which the weather block is 0.9 and the throughput 2.7. On the chain fitted without the plan lags the weather block is worth 4.6 s pooled and 16.5 s in January, which is what a plan lag absorbs when it is there (</w:t>
      </w:r>
      <w:hyperlink w:anchor="annex_B" w:history="1">
        <w:r>
          <w:rPr>
            <w:rStyle w:val="InternalRef"/>
          </w:rPr>
          <w:t xml:space="preserve">Annex B</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reports/monthly_ladder.md</w:t>
      </w:r>
      <w:r>
        <w:rPr/>
        <w:t xml:space="preserve">, </w:t>
      </w:r>
      <w:r>
        <w:rPr>
          <w:rStyle w:val="Emphasis"/>
        </w:rPr>
        <w:t>Summary: the year, pooled from the twelve months</w:t>
      </w:r>
      <w:r>
        <w:rPr/>
        <w:t xml:space="preserve">; </w:t>
      </w:r>
      <w:r>
        <w:rPr>
          <w:rStyle w:val="SourceText"/>
          <w:sz w:val="18"/>
          <w:szCs w:val="18"/>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numPr>
          <w:ilvl w:val="0"/>
          <w:numId w:val="0"/>
        </w:numPr>
        <w:bidi w:val="0"/>
        <w:spacing w:before="140" w:after="120"/>
        <w:jc w:val="left"/>
        <w:rPr/>
      </w:pPr>
      <w:bookmarkStart w:id="187" w:name="sec_8_5"/>
      <w:bookmarkStart w:id="186" w:name="_Toc000044"/>
      <w:r>
        <w:rPr/>
        <w:t>8.5 Where the geometry claim holds</w:t>
      </w:r>
      <w:bookmarkEnd w:id="186"/>
      <w:bookmarkEnd w:id="187"/>
    </w:p>
    <w:p>
      <w:pPr>
        <w:pStyle w:val="BodyText"/>
        <w:bidi w:val="0"/>
        <w:spacing w:lineRule="auto" w:line="276" w:before="0" w:after="140"/>
        <w:jc w:val="left"/>
        <w:rPr/>
      </w:pPr>
      <w:r>
        <w:rPr/>
        <w:t xml:space="preserve">The claim of </w:t>
      </w:r>
      <w:hyperlink w:anchor="sec_7_2" w:history="1">
        <w:r>
          <w:rPr>
            <w:rStyle w:val="InternalRef"/>
          </w:rPr>
          <w:t xml:space="preserve">§7.2</w:t>
        </w:r>
      </w:hyperlink>
      <w:r>
        <w:rPr/>
        <w:t xml:space="preserve">, that the geometry block buys more where the pair is new than where it is seen, is read here in each month of 2025 from the same three held-out-pair folds, which train on the whole year and score their held-out pairs in every month. The statistic is the claim's own, a fold-mean difference in differences with its pair-clustered interval, restricted to the rows of the month in question; the year's row is the figure of </w:t>
      </w:r>
      <w:hyperlink w:anchor="sec_7_2" w:history="1">
        <w:r>
          <w:rPr>
            <w:rStyle w:val="InternalRef"/>
          </w:rPr>
          <w:t xml:space="preserve">§7.2</w:t>
        </w:r>
      </w:hyperlink>
      <w:r>
        <w:rPr/>
        <w:t xml:space="preserve">.</w:t>
      </w:r>
    </w:p>
    <w:tbl>
      <w:tblPr>
        <w:tblW w:w="9972" w:type="dxa"/>
        <w:jc w:val="left"/>
        <w:tblInd w:w="58" w:type="dxa"/>
        <w:tblLayout w:type="fixed"/>
        <w:tblCellMar>
          <w:top w:w="36" w:type="dxa"/>
          <w:left w:w="58" w:type="dxa"/>
          <w:bottom w:w="36" w:type="dxa"/>
          <w:right w:w="58" w:type="dxa"/>
        </w:tblCellMar>
      </w:tblPr>
      <w:tblGrid>
        <w:gridCol w:w="880"/>
        <w:gridCol w:w="1774"/>
        <w:gridCol w:w="2976"/>
        <w:gridCol w:w="2600"/>
        <w:gridCol w:w="1742"/>
      </w:tblGrid>
      <w:tr>
        <w:trPr>
          <w:tblHeader w:val="true"/>
          <w:cantSplit/>
        </w:trPr>
        <w:tc>
          <w:tcPr>
            <w:tcW w:w="880"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month</w:t>
            </w:r>
          </w:p>
        </w:tc>
        <w:tc>
          <w:tcPr>
            <w:tcW w:w="1774"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held-out rows, 3 folds</w:t>
            </w:r>
          </w:p>
        </w:tc>
        <w:tc>
          <w:tcPr>
            <w:tcW w:w="2976"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identifiers + time: seen / held out (s)</w:t>
            </w:r>
          </w:p>
        </w:tc>
        <w:tc>
          <w:tcPr>
            <w:tcW w:w="2600"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with geometry: seen / held out (s)</w:t>
            </w:r>
          </w:p>
        </w:tc>
        <w:tc>
          <w:tcPr>
            <w:tcW w:w="1742"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the claim [95%]</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January</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153,646</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328.4 / 433.9</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327.6 / 416.6</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+16.5 s [+14.0, +20.6]</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February</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143,674</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308.3 / 352.8</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307.6 / 332.6</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+19.5 s [+15.8, +22.9]</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March</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164,390</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254.9 / 304.7</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252.9 / 284.5</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+18.2 s [+16.1, +20.3]</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April</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175,218</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240.3 / 289.9</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240.9 / 270.2</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+20.3 s [+18.3, +22.5]</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May</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185,104</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244.3 / 356.2</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243.0 / 339.3</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+15.6 s [+13.0, +19.9]</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June</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182,957</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286.8 / 322.9</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286.9 / 303.0</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+20.0 s [+17.7, +22.4]</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July</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190,378</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332.5 / 412.7</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332.7 / 396.0</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+16.9 s [+13.2, +21.6]</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August</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190,985</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315.4 / 322.3</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315.2 / 301.8</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+20.3 s [+17.9, +22.6]</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September</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183,782</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278.7 / 318.6</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278.0 / 297.1</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+20.7 s [+18.4, +23.0]</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October</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185,559</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315.1 / 318.5</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315.0 / 298.2</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+20.2 s [+18.2, +22.3]</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November</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162,280</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297.5 / 321.6</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297.2 / 300.6</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+20.7 s [+18.3, +23.2]</w:t>
            </w:r>
          </w:p>
        </w:tc>
      </w:tr>
      <w:tr>
        <w:trPr>
          <w:cantSplit/>
        </w:trPr>
        <w:tc>
          <w:tcPr>
            <w:tcW w:w="880" w:type="dxa"/>
            <w:tcBorders>
              <w:bottom w:val="single" w:sz="2" w:space="0" w:color="BBBBBB"/>
            </w:tcBorders>
          </w:tcPr>
          <w:p>
            <w:pPr>
              <w:pStyle w:val="TableContents"/>
              <w:bidi w:val="0"/>
              <w:spacing w:lineRule="auto" w:line="240" w:before="0" w:after="0"/>
              <w:jc w:val="left"/>
              <w:rPr>
                <w:sz w:val="17"/>
                <w:szCs w:val="17"/>
              </w:rPr>
            </w:pPr>
            <w:r>
              <w:rPr>
                <w:sz w:val="17"/>
                <w:szCs w:val="17"/>
              </w:rPr>
              <w:t>December</w:t>
            </w:r>
          </w:p>
        </w:tc>
        <w:tc>
          <w:tcPr>
            <w:tcW w:w="1774" w:type="dxa"/>
            <w:tcBorders>
              <w:bottom w:val="single" w:sz="2" w:space="0" w:color="BBBBBB"/>
            </w:tcBorders>
          </w:tcPr>
          <w:p>
            <w:pPr>
              <w:pStyle w:val="TableContents"/>
              <w:bidi w:val="0"/>
              <w:spacing w:lineRule="auto" w:line="240" w:before="0" w:after="0"/>
              <w:jc w:val="right"/>
              <w:rPr>
                <w:sz w:val="17"/>
                <w:szCs w:val="17"/>
              </w:rPr>
            </w:pPr>
            <w:r>
              <w:rPr>
                <w:sz w:val="17"/>
                <w:szCs w:val="17"/>
              </w:rPr>
              <w:t>165,589</w:t>
            </w:r>
          </w:p>
        </w:tc>
        <w:tc>
          <w:tcPr>
            <w:tcW w:w="2976" w:type="dxa"/>
            <w:tcBorders>
              <w:bottom w:val="single" w:sz="2" w:space="0" w:color="BBBBBB"/>
            </w:tcBorders>
          </w:tcPr>
          <w:p>
            <w:pPr>
              <w:pStyle w:val="TableContents"/>
              <w:bidi w:val="0"/>
              <w:spacing w:lineRule="auto" w:line="240" w:before="0" w:after="0"/>
              <w:jc w:val="left"/>
              <w:rPr>
                <w:sz w:val="17"/>
                <w:szCs w:val="17"/>
              </w:rPr>
            </w:pPr>
            <w:r>
              <w:rPr>
                <w:sz w:val="17"/>
                <w:szCs w:val="17"/>
              </w:rPr>
              <w:t>275.3 / 325.7</w:t>
            </w:r>
          </w:p>
        </w:tc>
        <w:tc>
          <w:tcPr>
            <w:tcW w:w="2600" w:type="dxa"/>
            <w:tcBorders>
              <w:bottom w:val="single" w:sz="2" w:space="0" w:color="BBBBBB"/>
            </w:tcBorders>
          </w:tcPr>
          <w:p>
            <w:pPr>
              <w:pStyle w:val="TableContents"/>
              <w:bidi w:val="0"/>
              <w:spacing w:lineRule="auto" w:line="240" w:before="0" w:after="0"/>
              <w:jc w:val="left"/>
              <w:rPr>
                <w:sz w:val="17"/>
                <w:szCs w:val="17"/>
              </w:rPr>
            </w:pPr>
            <w:r>
              <w:rPr>
                <w:sz w:val="17"/>
                <w:szCs w:val="17"/>
              </w:rPr>
              <w:t>274.4 / 304.4</w:t>
            </w:r>
          </w:p>
        </w:tc>
        <w:tc>
          <w:tcPr>
            <w:tcW w:w="1742" w:type="dxa"/>
            <w:tcBorders>
              <w:bottom w:val="single" w:sz="2" w:space="0" w:color="BBBBBB"/>
            </w:tcBorders>
          </w:tcPr>
          <w:p>
            <w:pPr>
              <w:pStyle w:val="TableContents"/>
              <w:bidi w:val="0"/>
              <w:spacing w:lineRule="auto" w:line="240" w:before="0" w:after="0"/>
              <w:jc w:val="right"/>
              <w:rPr>
                <w:sz w:val="17"/>
                <w:szCs w:val="17"/>
              </w:rPr>
            </w:pPr>
            <w:r>
              <w:rPr>
                <w:sz w:val="17"/>
                <w:szCs w:val="17"/>
              </w:rPr>
              <w:t>+20.4 s [+17.8, +22.7]</w:t>
            </w:r>
          </w:p>
        </w:tc>
      </w:tr>
      <w:tr>
        <w:trPr>
          <w:cantSplit/>
        </w:trPr>
        <w:tc>
          <w:tcPr>
            <w:tcW w:w="880" w:type="dxa"/>
            <w:tcBorders>
              <w:bottom w:val="single" w:sz="6" w:space="0" w:color="000000"/>
            </w:tcBorders>
          </w:tcPr>
          <w:p>
            <w:pPr>
              <w:pStyle w:val="TableContents"/>
              <w:bidi w:val="0"/>
              <w:spacing w:lineRule="auto" w:line="240" w:before="0" w:after="0"/>
              <w:jc w:val="left"/>
              <w:rPr>
                <w:sz w:val="17"/>
                <w:szCs w:val="17"/>
              </w:rPr>
            </w:pPr>
            <w:r>
              <w:rPr>
                <w:rStyle w:val="Strong"/>
                <w:sz w:val="17"/>
                <w:szCs w:val="17"/>
              </w:rPr>
              <w:t>the year</w:t>
            </w:r>
          </w:p>
        </w:tc>
        <w:tc>
          <w:tcPr>
            <w:tcW w:w="1774" w:type="dxa"/>
            <w:tcBorders>
              <w:bottom w:val="single" w:sz="6" w:space="0" w:color="000000"/>
            </w:tcBorders>
          </w:tcPr>
          <w:p>
            <w:pPr>
              <w:pStyle w:val="TableContents"/>
              <w:bidi w:val="0"/>
              <w:spacing w:lineRule="auto" w:line="240" w:before="0" w:after="0"/>
              <w:jc w:val="right"/>
              <w:rPr>
                <w:sz w:val="17"/>
                <w:szCs w:val="17"/>
              </w:rPr>
            </w:pPr>
            <w:r>
              <w:rPr>
                <w:sz w:val="17"/>
                <w:szCs w:val="17"/>
              </w:rPr>
              <w:t>2,083,562</w:t>
            </w:r>
          </w:p>
        </w:tc>
        <w:tc>
          <w:tcPr>
            <w:tcW w:w="2976" w:type="dxa"/>
            <w:tcBorders>
              <w:bottom w:val="single" w:sz="6" w:space="0" w:color="000000"/>
            </w:tcBorders>
          </w:tcPr>
          <w:p>
            <w:pPr>
              <w:pStyle w:val="TableContents"/>
              <w:bidi w:val="0"/>
              <w:spacing w:lineRule="auto" w:line="240" w:before="0" w:after="0"/>
              <w:jc w:val="left"/>
              <w:rPr>
                <w:sz w:val="17"/>
                <w:szCs w:val="17"/>
              </w:rPr>
            </w:pPr>
            <w:r>
              <w:rPr>
                <w:sz w:val="17"/>
                <w:szCs w:val="17"/>
              </w:rPr>
              <w:t>291.4 / 343.8</w:t>
            </w:r>
          </w:p>
        </w:tc>
        <w:tc>
          <w:tcPr>
            <w:tcW w:w="2600" w:type="dxa"/>
            <w:tcBorders>
              <w:bottom w:val="single" w:sz="6" w:space="0" w:color="000000"/>
            </w:tcBorders>
          </w:tcPr>
          <w:p>
            <w:pPr>
              <w:pStyle w:val="TableContents"/>
              <w:bidi w:val="0"/>
              <w:spacing w:lineRule="auto" w:line="240" w:before="0" w:after="0"/>
              <w:jc w:val="left"/>
              <w:rPr>
                <w:sz w:val="17"/>
                <w:szCs w:val="17"/>
              </w:rPr>
            </w:pPr>
            <w:r>
              <w:rPr>
                <w:sz w:val="17"/>
                <w:szCs w:val="17"/>
              </w:rPr>
              <w:t>290.9 / 324.9</w:t>
            </w:r>
          </w:p>
        </w:tc>
        <w:tc>
          <w:tcPr>
            <w:tcW w:w="1742" w:type="dxa"/>
            <w:tcBorders>
              <w:bottom w:val="single" w:sz="6" w:space="0" w:color="000000"/>
            </w:tcBorders>
          </w:tcPr>
          <w:p>
            <w:pPr>
              <w:pStyle w:val="TableContents"/>
              <w:bidi w:val="0"/>
              <w:spacing w:lineRule="auto" w:line="240" w:before="0" w:after="0"/>
              <w:jc w:val="right"/>
              <w:rPr>
                <w:sz w:val="17"/>
                <w:szCs w:val="17"/>
              </w:rPr>
            </w:pPr>
            <w:r>
              <w:rPr>
                <w:rStyle w:val="Strong"/>
                <w:sz w:val="17"/>
                <w:szCs w:val="17"/>
              </w:rPr>
              <w:t>+18.5 s [+16.7, +20.5]</w:t>
            </w:r>
          </w:p>
        </w:tc>
      </w:tr>
    </w:tbl>
    <w:p>
      <w:pPr>
        <w:pStyle w:val="BodyText"/>
        <w:bidi w:val="0"/>
        <w:spacing w:lineRule="auto" w:line="276" w:before="160" w:after="140"/>
        <w:jc w:val="left"/>
        <w:rPr/>
      </w:pPr>
      <w:r>
        <w:rPr>
          <w:rStyle w:val="Strong"/>
        </w:rPr>
        <w:t>The claim clears zero in twelve of twelve months</w:t>
      </w:r>
      <w:r>
        <w:rPr/>
        <w:t xml:space="preserve">, from +15.6 s in May to +20.7 s in September and November, and over the rows of four hours or less, a diagnostic, in twelve of twelve as well. Per airport and month the contrast clears zero in every cell but three: Schiphol in January, and Barcelona in January and December (</w:t>
      </w:r>
      <w:hyperlink w:anchor="annex_D" w:history="1">
        <w:r>
          <w:rPr>
            <w:rStyle w:val="InternalRef"/>
          </w:rPr>
          <w:t xml:space="preserve">Annex D</w:t>
        </w:r>
      </w:hyperlink>
      <w:r>
        <w:rPr/>
        <w:t xml:space="preserve">). The block's worth on the forward splits (</w:t>
      </w:r>
      <w:hyperlink w:anchor="sec_7_2" w:history="1">
        <w:r>
          <w:rPr>
            <w:rStyle w:val="InternalRef"/>
          </w:rPr>
          <w:t xml:space="preserve">§7.2</w:t>
        </w:r>
      </w:hyperlink>
      <w:r>
        <w:rPr/>
        <w:t xml:space="preserve">) and over the held-out year, −1.4 s pooled (</w:t>
      </w:r>
      <w:hyperlink w:anchor="sec_8_4" w:history="1">
        <w:r>
          <w:rPr>
            <w:rStyle w:val="InternalRef"/>
          </w:rPr>
          <w:t xml:space="preserve">§8.4</w:t>
        </w:r>
      </w:hyperlink>
      <w:r>
        <w:rPr/>
        <w:t xml:space="preserve">), is the other reading of the same block, and </w:t>
      </w:r>
      <w:hyperlink w:anchor="sec_9_1" w:history="1">
        <w:r>
          <w:rPr>
            <w:rStyle w:val="InternalRef"/>
          </w:rPr>
          <w:t xml:space="preserve">§9.1</w:t>
        </w:r>
      </w:hyperlink>
      <w:r>
        <w:rPr/>
        <w:t xml:space="preserve"> says why the two are not in tension. Over the year, the base configuration reads 35.1 s [+13.8, +57.0] worse on a pair it has never seen than on one it has, and 11.0 s [+5.9, +16.3] worse over the rows of four hours or less. The seven rows over four hours, each on a pair held out in one fold, are the difference between the two readings (</w:t>
      </w:r>
      <w:hyperlink w:anchor="annex_D" w:history="1">
        <w:r>
          <w:rPr>
            <w:rStyle w:val="InternalRef"/>
          </w:rPr>
          <w:t xml:space="preserve">Annex D</w:t>
        </w:r>
      </w:hyperlink>
      <w:r>
        <w:rPr/>
        <w:t xml:space="preserve">).</w:t>
      </w:r>
    </w:p>
    <w:p>
      <w:pPr>
        <w:pStyle w:val="BodyText"/>
        <w:keepNext w:val="true"/>
        <w:bidi w:val="0"/>
        <w:spacing w:before="115" w:after="58"/>
        <w:jc w:val="center"/>
        <w:rPr/>
      </w:pPr>
      <w:r>
        <w:rPr/>
        <w:drawing>
          <wp:inline distT="0" distB="0" distL="0" distR="0">
            <wp:extent cx="6332220" cy="4242435"/>
            <wp:effectExtent l="0" t="0" r="0" b="0"/>
            <wp:docPr id="2" name="Image2" descr="The geometry claim in each month of the held-out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The geometry claim in each month of the held-out year"/>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6332220" cy="4242435"/>
                    </a:xfrm>
                    <a:prstGeom prst="rect">
                      <a:avLst/>
                    </a:prstGeom>
                    <a:noFill/>
                  </pic:spPr>
                </pic:pic>
              </a:graphicData>
            </a:graphic>
          </wp:inline>
        </w:drawing>
      </w:r>
    </w:p>
    <w:p>
      <w:pPr>
        <w:pStyle w:val="BodyText"/>
        <w:bidi w:val="0"/>
        <w:spacing w:lineRule="auto" w:line="276" w:before="0" w:after="140"/>
        <w:jc w:val="left"/>
        <w:rPr/>
      </w:pPr>
      <w:r>
        <w:rPr>
          <w:rStyle w:val="Strong"/>
        </w:rPr>
        <w:t>Figure 2.</w:t>
      </w:r>
      <w:r>
        <w:rPr/>
        <w:t xml:space="preserve"> The geometry claim in each month of the held-out year. Each dot is the month's difference in differences with its pair-clustered 95% interval, and the shaded band is the year's interval, +18.5 s [+16.7, +20.5]. The interval clears zero in every month, and the bar at the right marks the middle half of the twelve monthly estimates, so no single month carries the year.</w:t>
      </w:r>
    </w:p>
    <w:p>
      <w:pPr>
        <w:pStyle w:val="SourceNote"/>
        <w:bidi w:val="0"/>
        <w:spacing w:lineRule="auto" w:line="252" w:before="0" w:after="200"/>
        <w:jc w:val="left"/>
        <w:rPr/>
      </w:pPr>
      <w:r>
        <w:rPr/>
        <w:t xml:space="preserve">Sources: </w:t>
      </w:r>
      <w:r>
        <w:rPr>
          <w:rStyle w:val="SourceText"/>
          <w:sz w:val="18"/>
          <w:szCs w:val="18"/>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sz w:val="18"/>
          <w:szCs w:val="18"/>
        </w:rPr>
        <w:t>reports/monthly_ladder.md</w:t>
      </w:r>
      <w:r>
        <w:rPr/>
        <w:t xml:space="preserve">, </w:t>
      </w:r>
      <w:r>
        <w:rPr>
          <w:rStyle w:val="Emphasis"/>
        </w:rPr>
        <w:t>Summary: the year, pooled from the twelve months</w:t>
      </w:r>
      <w:r>
        <w:rPr/>
        <w:t>.</w:t>
      </w:r>
    </w:p>
    <w:p>
      <w:pPr>
        <w:pStyle w:val="Heading3"/>
        <w:numPr>
          <w:ilvl w:val="0"/>
          <w:numId w:val="0"/>
        </w:numPr>
        <w:bidi w:val="0"/>
        <w:spacing w:before="140" w:after="120"/>
        <w:jc w:val="left"/>
        <w:rPr/>
      </w:pPr>
      <w:bookmarkStart w:id="189" w:name="sec_8_6"/>
      <w:bookmarkStart w:id="188" w:name="_Toc000045"/>
      <w:r>
        <w:rPr/>
        <w:t>8.6 What the challenge score can and cannot show</w:t>
      </w:r>
      <w:bookmarkEnd w:id="188"/>
      <w:bookmarkEnd w:id="189"/>
    </w:p>
    <w:p>
      <w:pPr>
        <w:pStyle w:val="BodyText"/>
        <w:bidi w:val="0"/>
        <w:spacing w:lineRule="auto" w:line="276" w:before="0" w:after="140"/>
        <w:jc w:val="left"/>
        <w:rPr/>
      </w:pPr>
      <w:r>
        <w:rPr/>
        <w:t xml:space="preserve">The pooled test figure is a census of ten airports over two months, weighted by their departures, with July 2026 holding 192,122 of the 344,841 rows. The </w:t>
      </w:r>
      <w:hyperlink w:anchor="sec_7_3" w:history="1">
        <w:r>
          <w:rPr>
            <w:rStyle w:val="InternalRef"/>
          </w:rPr>
          <w:t xml:space="preserve">§7.3</w:t>
        </w:r>
      </w:hyperlink>
      <w:r>
        <w:rPr/>
        <w:t xml:space="preserve"> bounds put the plan-lag regime shift at up to +5.6 s pooled in January and +5.1 in July, most of July's at Paris, and the winter regime at Frankfurt and Zurich is where the model extrapolates furthest. Three kinds of row decide the rest, and </w:t>
      </w:r>
      <w:hyperlink w:anchor="sec_8_2" w:history="1">
        <w:r>
          <w:rPr>
            <w:rStyle w:val="InternalRef"/>
          </w:rPr>
          <w:t xml:space="preserve">§8.2</w:t>
        </w:r>
      </w:hyperlink>
      <w:r>
        <w:rPr/>
        <w:t xml:space="preserve"> has shown each kind on the training year. The record-quality term reaches 383 rows, all at Fiumicino, whose July departures are in the scored set; on the held-out year those rows take the figure from 243.7 s to 275.9. A row over four hours in a cell the term does not cover is scored at its recorded value and can move the pooled figure by itself: seven such rows in 2025, at three airports, take the base configuration's held-out year from 217.8 s to 243.7, and January's figure from 231.8 s to 346.8 on two of them. Finally, one ranking row is predicted by the rule of </w:t>
      </w:r>
      <w:hyperlink w:anchor="sec_4" w:history="1">
        <w:r>
          <w:rPr>
            <w:rStyle w:val="InternalRef"/>
          </w:rPr>
          <w:t xml:space="preserve">§4</w:t>
        </w:r>
      </w:hyperlink>
      <w:r>
        <w:rPr/>
        <w:t xml:space="preserve"> at 52,550 s, with the two outcomes that section prices; in the final file the flight-plan window lifts it further (</w:t>
      </w:r>
      <w:hyperlink w:anchor="sec_4" w:history="1">
        <w:r>
          <w:rPr>
            <w:rStyle w:val="InternalRef"/>
          </w:rPr>
          <w:t xml:space="preserve">§4</w:t>
        </w:r>
      </w:hyperlink>
      <w:r>
        <w:rPr/>
        <w:t xml:space="preserve">). The challenge score is one number over 344,841 rows, a mixture of the three readings above; the base configuration's was 313.169 s. </w:t>
      </w:r>
      <w:hyperlink w:anchor="sec_8_7" w:history="1">
        <w:r>
          <w:rPr>
            <w:rStyle w:val="InternalRef"/>
          </w:rPr>
          <w:t xml:space="preserve">§8.7</w:t>
        </w:r>
      </w:hyperlink>
      <w:r>
        <w:rPr/>
        <w:t xml:space="preserve"> gives the files after it.</w:t>
      </w:r>
    </w:p>
    <w:p>
      <w:pPr>
        <w:pStyle w:val="SourceNote"/>
        <w:bidi w:val="0"/>
        <w:spacing w:lineRule="auto" w:line="252" w:before="0" w:after="200"/>
        <w:jc w:val="left"/>
        <w:rPr/>
      </w:pPr>
      <w:r>
        <w:rPr/>
        <w:t xml:space="preserve">Sources: </w:t>
      </w:r>
      <w:r>
        <w:rPr>
          <w:rStyle w:val="SourceText"/>
          <w:sz w:val="18"/>
          <w:szCs w:val="18"/>
        </w:rPr>
        <w:t>reports/congestion.md</w:t>
      </w:r>
      <w:r>
        <w:rPr/>
        <w:t xml:space="preserve">, </w:t>
      </w:r>
      <w:r>
        <w:rPr>
          <w:rStyle w:val="Emphasis"/>
        </w:rPr>
        <w:t>What it bounds</w:t>
      </w:r>
      <w:r>
        <w:rPr/>
        <w:t xml:space="preserve">; </w:t>
      </w:r>
      <w:r>
        <w:rPr>
          <w:rStyle w:val="SourceText"/>
          <w:sz w:val="18"/>
          <w:szCs w:val="18"/>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sz w:val="18"/>
          <w:szCs w:val="18"/>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sz w:val="18"/>
          <w:szCs w:val="18"/>
        </w:rPr>
        <w:t>reports/monthly_seeds.md</w:t>
      </w:r>
      <w:r>
        <w:rPr/>
        <w:t xml:space="preserve">, </w:t>
      </w:r>
      <w:r>
        <w:rPr>
          <w:rStyle w:val="Emphasis"/>
        </w:rPr>
        <w:t>Per month and over the year</w:t>
      </w:r>
      <w:r>
        <w:rPr/>
        <w:t xml:space="preserve">; </w:t>
      </w:r>
      <w:r>
        <w:rPr>
          <w:rStyle w:val="SourceText"/>
          <w:sz w:val="18"/>
          <w:szCs w:val="18"/>
        </w:rPr>
        <w:t>reports/planshift.md</w:t>
      </w:r>
      <w:r>
        <w:rPr/>
        <w:t xml:space="preserve">, </w:t>
      </w:r>
      <w:r>
        <w:rPr>
          <w:rStyle w:val="Emphasis"/>
        </w:rPr>
        <w:t>The one ranking departure</w:t>
      </w:r>
      <w:r>
        <w:rPr/>
        <w:t xml:space="preserve">; </w:t>
      </w:r>
      <w:r>
        <w:rPr>
          <w:rStyle w:val="SourceText"/>
          <w:sz w:val="18"/>
          <w:szCs w:val="18"/>
        </w:rPr>
        <w:t>reports/submission-2026-10-04.md</w:t>
      </w:r>
      <w:r>
        <w:rPr/>
        <w:t xml:space="preserve">, </w:t>
      </w:r>
      <w:r>
        <w:rPr>
          <w:rStyle w:val="Emphasis"/>
        </w:rPr>
        <w:t>The file</w:t>
      </w:r>
      <w:r>
        <w:rPr/>
        <w:t>, a dated record.</w:t>
      </w:r>
    </w:p>
    <w:p>
      <w:pPr>
        <w:pStyle w:val="Heading3"/>
        <w:numPr>
          <w:ilvl w:val="0"/>
          <w:numId w:val="0"/>
        </w:numPr>
        <w:bidi w:val="0"/>
        <w:spacing w:before="140" w:after="120"/>
        <w:jc w:val="left"/>
        <w:rPr/>
      </w:pPr>
      <w:bookmarkStart w:id="191" w:name="sec_8_7"/>
      <w:bookmarkStart w:id="190" w:name="_Toc000046"/>
      <w:r>
        <w:rPr/>
        <w:t>8.7 After the first score: the refinements</w:t>
      </w:r>
      <w:bookmarkEnd w:id="190"/>
      <w:bookmarkEnd w:id="191"/>
    </w:p>
    <w:p>
      <w:pPr>
        <w:pStyle w:val="Heading4"/>
        <w:numPr>
          <w:ilvl w:val="0"/>
          <w:numId w:val="0"/>
        </w:numPr>
        <w:bidi w:val="0"/>
        <w:spacing w:before="120" w:after="120"/>
        <w:jc w:val="left"/>
        <w:rPr/>
      </w:pPr>
      <w:bookmarkStart w:id="193" w:name="sec_8_7_1"/>
      <w:bookmarkStart w:id="192" w:name="_Toc000047"/>
      <w:r>
        <w:rPr/>
        <w:t>8.7.1 From the base configuration to the final one</w:t>
      </w:r>
      <w:bookmarkEnd w:id="192"/>
      <w:bookmarkEnd w:id="193"/>
    </w:p>
    <w:p>
      <w:pPr>
        <w:pStyle w:val="BodyText"/>
        <w:bidi w:val="0"/>
        <w:spacing w:lineRule="auto" w:line="276" w:before="0" w:after="140"/>
        <w:jc w:val="left"/>
        <w:rPr/>
      </w:pPr>
      <w:r>
        <w:rPr/>
        <w:t xml:space="preserve">The base configuration of </w:t>
      </w:r>
      <w:hyperlink w:anchor="sec_8_1" w:history="1">
        <w:r>
          <w:rPr>
            <w:rStyle w:val="InternalRef"/>
          </w:rPr>
          <w:t xml:space="preserve">§8.1</w:t>
        </w:r>
      </w:hyperlink>
      <w:r>
        <w:rPr/>
        <w:t xml:space="preserve">, a five-seed LightGBM booster with the two rules of </w:t>
      </w:r>
      <w:hyperlink w:anchor="sec_3_3" w:history="1">
        <w:r>
          <w:rPr>
            <w:rStyle w:val="InternalRef"/>
          </w:rPr>
          <w:t xml:space="preserve">§3.3</w:t>
        </w:r>
      </w:hyperlink>
      <w:r>
        <w:rPr/>
        <w:t xml:space="preserve">, was frozen before the first challenge score, 313.169 s, was read. It was then tested against what it had left out: the two rules of </w:t>
      </w:r>
      <w:hyperlink w:anchor="sec_3_3" w:history="1">
        <w:r>
          <w:rPr>
            <w:rStyle w:val="InternalRef"/>
          </w:rPr>
          <w:t xml:space="preserve">§3.3</w:t>
        </w:r>
      </w:hyperlink>
      <w:r>
        <w:rPr/>
        <w:t xml:space="preserve">, further feature groups, a second learner, the aircraft's own ground movements and the flight-plan record. Every refinement was read under a written pre-registration, but not every pre-registration came before the figures it responds to. Four candidates were defined after figures they respond to had been seen, both rules were restored on a score (</w:t>
      </w:r>
      <w:hyperlink w:anchor="sec_8_7_2" w:history="1">
        <w:r>
          <w:rPr>
            <w:rStyle w:val="InternalRef"/>
          </w:rPr>
          <w:t xml:space="preserve">§8.7.2</w:t>
        </w:r>
      </w:hyperlink>
      <w:r>
        <w:rPr/>
        <w:t xml:space="preserve">), the adsb.lol source was kept after it failed its gate (</w:t>
      </w:r>
      <w:hyperlink w:anchor="sec_8_7_4" w:history="1">
        <w:r>
          <w:rPr>
            <w:rStyle w:val="InternalRef"/>
          </w:rPr>
          <w:t xml:space="preserve">§8.7.4</w:t>
        </w:r>
      </w:hyperlink>
      <w:r>
        <w:rPr/>
        <w:t xml:space="preserve">), and the flight-plan window's thresholds were set with an edge other teams had reported already known (</w:t>
      </w:r>
      <w:hyperlink w:anchor="sec_8_7_6" w:history="1">
        <w:r>
          <w:rPr>
            <w:rStyle w:val="InternalRef"/>
          </w:rPr>
          <w:t xml:space="preserve">§8.7.6</w:t>
        </w:r>
      </w:hyperlink>
      <w:r>
        <w:rPr/>
        <w:t xml:space="preserve">). </w:t>
      </w:r>
      <w:hyperlink w:anchor="sec_9_3" w:history="1">
        <w:r>
          <w:rPr>
            <w:rStyle w:val="InternalRef"/>
          </w:rPr>
          <w:t xml:space="preserve">§9.3</w:t>
        </w:r>
      </w:hyperlink>
      <w:r>
        <w:rPr/>
        <w:t xml:space="preserve"> lists each such decision with its date and its record, and </w:t>
      </w:r>
      <w:hyperlink w:anchor="annex_K" w:history="1">
        <w:r>
          <w:rPr>
            <w:rStyle w:val="InternalRef"/>
          </w:rPr>
          <w:t xml:space="preserve">Annex K</w:t>
        </w:r>
      </w:hyperlink>
      <w:r>
        <w:rPr/>
        <w:t xml:space="preserve"> lists every candidate measured after the freeze with its verdict. Every pre-registration and amendment written after the first score that governs a candidate or a configuration is published in </w:t>
      </w:r>
      <w:r>
        <w:rPr>
          <w:rStyle w:val="SourceText"/>
        </w:rPr>
        <w:t>reports/</w:t>
      </w:r>
      <w:r>
        <w:rPr/>
        <w:t xml:space="preserve">, with one exception. The amendment of 10 October, which relaxed two pre-upload checks of the final file after they had stopped its build, is not published; it changed no prediction (</w:t>
      </w:r>
      <w:hyperlink w:anchor="sec_9_3" w:history="1">
        <w:r>
          <w:rPr>
            <w:rStyle w:val="InternalRef"/>
          </w:rPr>
          <w:t xml:space="preserve">§9.3</w:t>
        </w:r>
      </w:hyperlink>
      <w:r>
        <w:rPr/>
        <w:t xml:space="preserve">). The challenge returns a count of matched pairs and a score per submission. The public leaderboard, which shows every team's scores, was also read, on 4 and 6 October; </w:t>
      </w:r>
      <w:hyperlink w:anchor="sec_8_7_2" w:history="1">
        <w:r>
          <w:rPr>
            <w:rStyle w:val="InternalRef"/>
          </w:rPr>
          <w:t xml:space="preserve">§8.7.2</w:t>
        </w:r>
      </w:hyperlink>
      <w:r>
        <w:rPr/>
        <w:t xml:space="preserve"> says where it entered a decision. A final phase then asked for one submission over four months of 2026, which is the final configuration.</w:t>
      </w:r>
    </w:p>
    <w:tbl>
      <w:tblPr>
        <w:tblW w:w="9972" w:type="dxa"/>
        <w:jc w:val="left"/>
        <w:tblInd w:w="58" w:type="dxa"/>
        <w:tblLayout w:type="fixed"/>
        <w:tblCellMar>
          <w:top w:w="36" w:type="dxa"/>
          <w:left w:w="58" w:type="dxa"/>
          <w:bottom w:w="36" w:type="dxa"/>
          <w:right w:w="58" w:type="dxa"/>
        </w:tblCellMar>
      </w:tblPr>
      <w:tblGrid>
        <w:gridCol w:w="2972"/>
        <w:gridCol w:w="4848"/>
        <w:gridCol w:w="2152"/>
      </w:tblGrid>
      <w:tr>
        <w:trPr>
          <w:tblHeader w:val="true"/>
          <w:cantSplit/>
        </w:trPr>
        <w:tc>
          <w:tcPr>
            <w:tcW w:w="2972"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stage</w:t>
            </w:r>
          </w:p>
        </w:tc>
        <w:tc>
          <w:tcPr>
            <w:tcW w:w="4848"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what it changes from the stage before</w:t>
            </w:r>
          </w:p>
        </w:tc>
        <w:tc>
          <w:tcPr>
            <w:tcW w:w="2152" w:type="dxa"/>
            <w:tcBorders>
              <w:top w:val="single" w:sz="6" w:space="0" w:color="000000"/>
              <w:bottom w:val="single" w:sz="6" w:space="0" w:color="000000"/>
            </w:tcBorders>
            <w:shd w:fill="EEEEEE" w:val="clear"/>
          </w:tcPr>
          <w:p>
            <w:pPr>
              <w:pStyle w:val="TableHeading"/>
              <w:bidi w:val="0"/>
              <w:spacing w:lineRule="auto" w:line="240" w:before="0" w:after="0"/>
              <w:jc w:val="right"/>
              <w:rPr>
                <w:b/>
                <w:sz w:val="18"/>
                <w:szCs w:val="18"/>
              </w:rPr>
            </w:pPr>
            <w:r>
              <w:rPr>
                <w:b/>
                <w:sz w:val="18"/>
                <w:szCs w:val="18"/>
              </w:rPr>
              <w:t>challenge score (s)</w:t>
            </w:r>
          </w:p>
        </w:tc>
      </w:tr>
      <w:tr>
        <w:trPr>
          <w:cantSplit/>
        </w:trPr>
        <w:tc>
          <w:tcPr>
            <w:tcW w:w="2972" w:type="dxa"/>
            <w:tcBorders>
              <w:bottom w:val="single" w:sz="2" w:space="0" w:color="BBBBBB"/>
            </w:tcBorders>
          </w:tcPr>
          <w:p>
            <w:pPr>
              <w:pStyle w:val="TableContents"/>
              <w:bidi w:val="0"/>
              <w:spacing w:lineRule="auto" w:line="240" w:before="0" w:after="0"/>
              <w:jc w:val="left"/>
              <w:rPr>
                <w:sz w:val="18"/>
                <w:szCs w:val="18"/>
              </w:rPr>
            </w:pPr>
            <w:r>
              <w:rPr>
                <w:sz w:val="18"/>
                <w:szCs w:val="18"/>
              </w:rPr>
              <w:t>the base configuration</w:t>
            </w:r>
          </w:p>
        </w:tc>
        <w:tc>
          <w:tcPr>
            <w:tcW w:w="4848"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booster of </w:t>
            </w:r>
            <w:hyperlink w:anchor="sec_8_1" w:history="1">
              <w:r>
                <w:rPr>
                  <w:rStyle w:val="InternalRef"/>
                  <w:sz w:val="18"/>
                  <w:szCs w:val="18"/>
                </w:rPr>
                <w:t xml:space="preserve">§8.1</w:t>
              </w:r>
            </w:hyperlink>
            <w:r>
              <w:rPr>
                <w:sz w:val="18"/>
                <w:szCs w:val="18"/>
              </w:rPr>
              <w:t xml:space="preserve">, with both rules of </w:t>
            </w:r>
            <w:hyperlink w:anchor="sec_3_3" w:history="1">
              <w:r>
                <w:rPr>
                  <w:rStyle w:val="InternalRef"/>
                  <w:sz w:val="18"/>
                  <w:szCs w:val="18"/>
                </w:rPr>
                <w:t xml:space="preserve">§3.3</w:t>
              </w:r>
            </w:hyperlink>
          </w:p>
        </w:tc>
        <w:tc>
          <w:tcPr>
            <w:tcW w:w="2152" w:type="dxa"/>
            <w:tcBorders>
              <w:bottom w:val="single" w:sz="2" w:space="0" w:color="BBBBBB"/>
            </w:tcBorders>
          </w:tcPr>
          <w:p>
            <w:pPr>
              <w:pStyle w:val="TableContents"/>
              <w:bidi w:val="0"/>
              <w:spacing w:lineRule="auto" w:line="240" w:before="0" w:after="0"/>
              <w:jc w:val="right"/>
              <w:rPr>
                <w:sz w:val="18"/>
                <w:szCs w:val="18"/>
              </w:rPr>
            </w:pPr>
            <w:r>
              <w:rPr>
                <w:sz w:val="18"/>
                <w:szCs w:val="18"/>
              </w:rPr>
              <w:t>313.169</w:t>
            </w:r>
          </w:p>
        </w:tc>
      </w:tr>
      <w:tr>
        <w:trPr>
          <w:cantSplit/>
        </w:trPr>
        <w:tc>
          <w:tcPr>
            <w:tcW w:w="2972" w:type="dxa"/>
            <w:tcBorders>
              <w:bottom w:val="single" w:sz="2" w:space="0" w:color="BBBBBB"/>
            </w:tcBorders>
          </w:tcPr>
          <w:p>
            <w:pPr>
              <w:pStyle w:val="TableContents"/>
              <w:bidi w:val="0"/>
              <w:spacing w:lineRule="auto" w:line="240" w:before="0" w:after="0"/>
              <w:jc w:val="left"/>
              <w:rPr>
                <w:sz w:val="18"/>
                <w:szCs w:val="18"/>
              </w:rPr>
            </w:pPr>
            <w:r>
              <w:rPr>
                <w:sz w:val="18"/>
                <w:szCs w:val="18"/>
              </w:rPr>
              <w:t>rules switched off</w:t>
            </w:r>
          </w:p>
        </w:tc>
        <w:tc>
          <w:tcPr>
            <w:tcW w:w="4848" w:type="dxa"/>
            <w:tcBorders>
              <w:bottom w:val="single" w:sz="2" w:space="0" w:color="BBBBBB"/>
            </w:tcBorders>
          </w:tcPr>
          <w:p>
            <w:pPr>
              <w:pStyle w:val="TableContents"/>
              <w:bidi w:val="0"/>
              <w:spacing w:lineRule="auto" w:line="240" w:before="0" w:after="0"/>
              <w:jc w:val="left"/>
              <w:rPr>
                <w:sz w:val="18"/>
                <w:szCs w:val="18"/>
              </w:rPr>
            </w:pPr>
            <w:r>
              <w:rPr>
                <w:sz w:val="18"/>
                <w:szCs w:val="18"/>
              </w:rPr>
              <w:t>both rules off: the booster predicts every row</w:t>
            </w:r>
          </w:p>
        </w:tc>
        <w:tc>
          <w:tcPr>
            <w:tcW w:w="2152" w:type="dxa"/>
            <w:tcBorders>
              <w:bottom w:val="single" w:sz="2" w:space="0" w:color="BBBBBB"/>
            </w:tcBorders>
          </w:tcPr>
          <w:p>
            <w:pPr>
              <w:pStyle w:val="TableContents"/>
              <w:bidi w:val="0"/>
              <w:spacing w:lineRule="auto" w:line="240" w:before="0" w:after="0"/>
              <w:jc w:val="right"/>
              <w:rPr>
                <w:sz w:val="18"/>
                <w:szCs w:val="18"/>
              </w:rPr>
            </w:pPr>
            <w:r>
              <w:rPr>
                <w:sz w:val="18"/>
                <w:szCs w:val="18"/>
              </w:rPr>
              <w:t>533.1066</w:t>
            </w:r>
          </w:p>
        </w:tc>
      </w:tr>
      <w:tr>
        <w:trPr>
          <w:cantSplit/>
        </w:trPr>
        <w:tc>
          <w:tcPr>
            <w:tcW w:w="2972" w:type="dxa"/>
            <w:tcBorders>
              <w:bottom w:val="single" w:sz="2" w:space="0" w:color="BBBBBB"/>
            </w:tcBorders>
          </w:tcPr>
          <w:p>
            <w:pPr>
              <w:pStyle w:val="TableContents"/>
              <w:bidi w:val="0"/>
              <w:spacing w:lineRule="auto" w:line="240" w:before="0" w:after="0"/>
              <w:jc w:val="left"/>
              <w:rPr>
                <w:sz w:val="18"/>
                <w:szCs w:val="18"/>
              </w:rPr>
            </w:pPr>
            <w:r>
              <w:rPr>
                <w:sz w:val="18"/>
                <w:szCs w:val="18"/>
              </w:rPr>
              <w:t>feature groups and a second learner</w:t>
            </w:r>
          </w:p>
        </w:tc>
        <w:tc>
          <w:tcPr>
            <w:tcW w:w="4848" w:type="dxa"/>
            <w:tcBorders>
              <w:bottom w:val="single" w:sz="2" w:space="0" w:color="BBBBBB"/>
            </w:tcBorders>
          </w:tcPr>
          <w:p>
            <w:pPr>
              <w:pStyle w:val="TableContents"/>
              <w:bidi w:val="0"/>
              <w:spacing w:lineRule="auto" w:line="240" w:before="0" w:after="0"/>
              <w:jc w:val="left"/>
              <w:rPr>
                <w:sz w:val="18"/>
                <w:szCs w:val="18"/>
              </w:rPr>
            </w:pPr>
            <w:r>
              <w:rPr>
                <w:sz w:val="18"/>
                <w:szCs w:val="18"/>
              </w:rPr>
              <w:t>both rules restored; two feature groups and a CatBoost learner added; the term's rows predicted per row</w:t>
            </w:r>
          </w:p>
        </w:tc>
        <w:tc>
          <w:tcPr>
            <w:tcW w:w="2152" w:type="dxa"/>
            <w:tcBorders>
              <w:bottom w:val="single" w:sz="2" w:space="0" w:color="BBBBBB"/>
            </w:tcBorders>
          </w:tcPr>
          <w:p>
            <w:pPr>
              <w:pStyle w:val="TableContents"/>
              <w:bidi w:val="0"/>
              <w:spacing w:lineRule="auto" w:line="240" w:before="0" w:after="0"/>
              <w:jc w:val="right"/>
              <w:rPr>
                <w:sz w:val="18"/>
                <w:szCs w:val="18"/>
              </w:rPr>
            </w:pPr>
            <w:r>
              <w:rPr>
                <w:sz w:val="18"/>
                <w:szCs w:val="18"/>
              </w:rPr>
              <w:t>282.399</w:t>
            </w:r>
          </w:p>
        </w:tc>
      </w:tr>
      <w:tr>
        <w:trPr>
          <w:cantSplit/>
        </w:trPr>
        <w:tc>
          <w:tcPr>
            <w:tcW w:w="2972" w:type="dxa"/>
            <w:tcBorders>
              <w:bottom w:val="single" w:sz="2" w:space="0" w:color="BBBBBB"/>
            </w:tcBorders>
          </w:tcPr>
          <w:p>
            <w:pPr>
              <w:pStyle w:val="TableContents"/>
              <w:bidi w:val="0"/>
              <w:spacing w:lineRule="auto" w:line="240" w:before="0" w:after="0"/>
              <w:jc w:val="left"/>
              <w:rPr>
                <w:sz w:val="18"/>
                <w:szCs w:val="18"/>
              </w:rPr>
            </w:pPr>
            <w:r>
              <w:rPr>
                <w:sz w:val="18"/>
                <w:szCs w:val="18"/>
              </w:rPr>
              <w:t>ground-movement correction</w:t>
            </w:r>
          </w:p>
        </w:tc>
        <w:tc>
          <w:tcPr>
            <w:tcW w:w="4848" w:type="dxa"/>
            <w:tcBorders>
              <w:bottom w:val="single" w:sz="2" w:space="0" w:color="BBBBBB"/>
            </w:tcBorders>
          </w:tcPr>
          <w:p>
            <w:pPr>
              <w:pStyle w:val="TableContents"/>
              <w:bidi w:val="0"/>
              <w:spacing w:lineRule="auto" w:line="240" w:before="0" w:after="0"/>
              <w:jc w:val="left"/>
              <w:rPr>
                <w:sz w:val="18"/>
                <w:szCs w:val="18"/>
              </w:rPr>
            </w:pPr>
            <w:r>
              <w:rPr>
                <w:sz w:val="18"/>
                <w:szCs w:val="18"/>
              </w:rPr>
              <w:t>a correction from ground movements seen in open ADS-B and OPDI, gated by coverage and by airport</w:t>
            </w:r>
          </w:p>
        </w:tc>
        <w:tc>
          <w:tcPr>
            <w:tcW w:w="2152" w:type="dxa"/>
            <w:tcBorders>
              <w:bottom w:val="single" w:sz="2" w:space="0" w:color="BBBBBB"/>
            </w:tcBorders>
          </w:tcPr>
          <w:p>
            <w:pPr>
              <w:pStyle w:val="TableContents"/>
              <w:bidi w:val="0"/>
              <w:spacing w:lineRule="auto" w:line="240" w:before="0" w:after="0"/>
              <w:jc w:val="right"/>
              <w:rPr>
                <w:sz w:val="18"/>
                <w:szCs w:val="18"/>
              </w:rPr>
            </w:pPr>
            <w:r>
              <w:rPr>
                <w:sz w:val="18"/>
                <w:szCs w:val="18"/>
              </w:rPr>
              <w:t>272.0897</w:t>
            </w:r>
          </w:p>
        </w:tc>
      </w:tr>
      <w:tr>
        <w:trPr>
          <w:cantSplit/>
        </w:trPr>
        <w:tc>
          <w:tcPr>
            <w:tcW w:w="2972" w:type="dxa"/>
            <w:tcBorders>
              <w:bottom w:val="single" w:sz="2" w:space="0" w:color="BBBBBB"/>
            </w:tcBorders>
          </w:tcPr>
          <w:p>
            <w:pPr>
              <w:pStyle w:val="TableContents"/>
              <w:bidi w:val="0"/>
              <w:spacing w:lineRule="auto" w:line="240" w:before="0" w:after="0"/>
              <w:jc w:val="left"/>
              <w:rPr>
                <w:sz w:val="18"/>
                <w:szCs w:val="18"/>
              </w:rPr>
            </w:pPr>
            <w:r>
              <w:rPr>
                <w:sz w:val="18"/>
                <w:szCs w:val="18"/>
              </w:rPr>
              <w:t>learner refitted, blend per airport</w:t>
            </w:r>
          </w:p>
        </w:tc>
        <w:tc>
          <w:tcPr>
            <w:tcW w:w="4848" w:type="dxa"/>
            <w:tcBorders>
              <w:bottom w:val="single" w:sz="2" w:space="0" w:color="BBBBBB"/>
            </w:tcBorders>
          </w:tcPr>
          <w:p>
            <w:pPr>
              <w:pStyle w:val="TableContents"/>
              <w:bidi w:val="0"/>
              <w:spacing w:lineRule="auto" w:line="240" w:before="0" w:after="0"/>
              <w:jc w:val="left"/>
              <w:rPr>
                <w:sz w:val="18"/>
                <w:szCs w:val="18"/>
              </w:rPr>
            </w:pPr>
            <w:r>
              <w:rPr>
                <w:sz w:val="18"/>
                <w:szCs w:val="18"/>
              </w:rPr>
              <w:t>the CatBoost learner refitted with the feature groups, a blend chosen per airport; the correction refitted on top</w:t>
            </w:r>
          </w:p>
        </w:tc>
        <w:tc>
          <w:tcPr>
            <w:tcW w:w="2152" w:type="dxa"/>
            <w:tcBorders>
              <w:bottom w:val="single" w:sz="2" w:space="0" w:color="BBBBBB"/>
            </w:tcBorders>
          </w:tcPr>
          <w:p>
            <w:pPr>
              <w:pStyle w:val="TableContents"/>
              <w:bidi w:val="0"/>
              <w:spacing w:lineRule="auto" w:line="240" w:before="0" w:after="0"/>
              <w:jc w:val="right"/>
              <w:rPr>
                <w:sz w:val="18"/>
                <w:szCs w:val="18"/>
              </w:rPr>
            </w:pPr>
            <w:r>
              <w:rPr>
                <w:sz w:val="18"/>
                <w:szCs w:val="18"/>
              </w:rPr>
              <w:t>269.1368</w:t>
            </w:r>
          </w:p>
        </w:tc>
      </w:tr>
      <w:tr>
        <w:trPr>
          <w:cantSplit/>
        </w:trPr>
        <w:tc>
          <w:tcPr>
            <w:tcW w:w="2972" w:type="dxa"/>
            <w:tcBorders>
              <w:bottom w:val="single" w:sz="6" w:space="0" w:color="000000"/>
            </w:tcBorders>
          </w:tcPr>
          <w:p>
            <w:pPr>
              <w:pStyle w:val="TableContents"/>
              <w:bidi w:val="0"/>
              <w:spacing w:lineRule="auto" w:line="240" w:before="0" w:after="0"/>
              <w:jc w:val="left"/>
              <w:rPr>
                <w:sz w:val="18"/>
                <w:szCs w:val="18"/>
              </w:rPr>
            </w:pPr>
            <w:r>
              <w:rPr>
                <w:sz w:val="18"/>
                <w:szCs w:val="18"/>
              </w:rPr>
              <w:t>the final configuration</w:t>
            </w:r>
          </w:p>
        </w:tc>
        <w:tc>
          <w:tcPr>
            <w:tcW w:w="4848" w:type="dxa"/>
            <w:tcBorders>
              <w:bottom w:val="single" w:sz="6" w:space="0" w:color="000000"/>
            </w:tcBorders>
          </w:tcPr>
          <w:p>
            <w:pPr>
              <w:pStyle w:val="TableContents"/>
              <w:bidi w:val="0"/>
              <w:spacing w:lineRule="auto" w:line="240" w:before="0" w:after="0"/>
              <w:jc w:val="left"/>
              <w:rPr>
                <w:sz w:val="18"/>
                <w:szCs w:val="18"/>
              </w:rPr>
            </w:pPr>
            <w:r>
              <w:rPr>
                <w:sz w:val="18"/>
                <w:szCs w:val="18"/>
              </w:rPr>
              <w:t>the final phase's four months; the ground-movement correction refitted on every day of 2025; the flight-plan window</w:t>
            </w:r>
          </w:p>
        </w:tc>
        <w:tc>
          <w:tcPr>
            <w:tcW w:w="2152" w:type="dxa"/>
            <w:tcBorders>
              <w:bottom w:val="single" w:sz="6" w:space="0" w:color="000000"/>
            </w:tcBorders>
          </w:tcPr>
          <w:p>
            <w:pPr>
              <w:pStyle w:val="TableContents"/>
              <w:bidi w:val="0"/>
              <w:spacing w:lineRule="auto" w:line="240" w:before="0" w:after="0"/>
              <w:jc w:val="right"/>
              <w:rPr>
                <w:sz w:val="18"/>
                <w:szCs w:val="18"/>
              </w:rPr>
            </w:pPr>
            <w:r>
              <w:rPr>
                <w:sz w:val="18"/>
                <w:szCs w:val="18"/>
              </w:rPr>
              <w:t>pending the final ranking</w:t>
            </w:r>
          </w:p>
        </w:tc>
      </w:tr>
    </w:tbl>
    <w:p>
      <w:pPr>
        <w:pStyle w:val="BodyText"/>
        <w:bidi w:val="0"/>
        <w:spacing w:lineRule="auto" w:line="276" w:before="160" w:after="140"/>
        <w:jc w:val="left"/>
        <w:rPr/>
      </w:pPr>
      <w:r>
        <w:rPr/>
        <w:t>The scores are listed in upload order; each file was fixed before its score existed. Read in order, lower being better, every refinement the rules adopted on the training year scored better than the stage before it. The one stage that set the training year's evidence aside, with the rules switched off, scored far worse.</w:t>
      </w:r>
    </w:p>
    <w:p>
      <w:pPr>
        <w:pStyle w:val="Heading4"/>
        <w:numPr>
          <w:ilvl w:val="0"/>
          <w:numId w:val="0"/>
        </w:numPr>
        <w:bidi w:val="0"/>
        <w:spacing w:before="120" w:after="120"/>
        <w:jc w:val="left"/>
        <w:rPr/>
      </w:pPr>
      <w:bookmarkStart w:id="195" w:name="sec_8_7_2"/>
      <w:bookmarkStart w:id="194" w:name="_Toc000048"/>
      <w:r>
        <w:rPr/>
        <w:t>8.7.2 The one rule decision that followed a score</w:t>
      </w:r>
      <w:bookmarkEnd w:id="194"/>
      <w:bookmarkEnd w:id="195"/>
    </w:p>
    <w:p>
      <w:pPr>
        <w:pStyle w:val="BodyText"/>
        <w:bidi w:val="0"/>
        <w:spacing w:lineRule="auto" w:line="276" w:before="0" w:after="140"/>
        <w:jc w:val="left"/>
        <w:rPr/>
      </w:pPr>
      <w:r>
        <w:rPr/>
        <w:t xml:space="preserve">Two of the five uploads bear on one question: how to predict the 384 ranking rows that the two rules of </w:t>
      </w:r>
      <w:hyperlink w:anchor="sec_3_3" w:history="1">
        <w:r>
          <w:rPr>
            <w:rStyle w:val="InternalRef"/>
          </w:rPr>
          <w:t xml:space="preserve">§3.3</w:t>
        </w:r>
      </w:hyperlink>
      <w:r>
        <w:rPr/>
        <w:t xml:space="preserve"> take. Before the first upload, an analysis priced four readings of those rows' recorded values. It judged one implausible from the public leaderboard: under it, a team predicting those rows as ordinary departures would have scored far above every score then on the board. On that analysis, and after the base configuration's score of 313.169 s had been read, a pre-registration switched both rules off. The file built on it differs from the base configuration on those 384 rows only. It scored 533.1066 s, which showed the judgment wrong, and an amendment written after that score restored both rules as they were fixed before any upload. The same amendment proposed the classifier of </w:t>
      </w:r>
      <w:hyperlink w:anchor="sec_8_7_3" w:history="1">
        <w:r>
          <w:rPr>
            <w:rStyle w:val="InternalRef"/>
          </w:rPr>
          <w:t xml:space="preserve">§8.7.3</w:t>
        </w:r>
      </w:hyperlink>
      <w:r>
        <w:rPr/>
        <w:t xml:space="preserve"> for the term's rows, which was then adopted on the twelve months of 2025 alone. Both documents are published in </w:t>
      </w:r>
      <w:r>
        <w:rPr>
          <w:rStyle w:val="SourceText"/>
        </w:rPr>
        <w:t>reports/</w:t>
      </w:r>
      <w:r>
        <w:rPr/>
        <w:t>. No adoption decision after them reads a score, though the scores and the public board shaped which candidates were tried next. The final file applies the same rules, with that classifier, to all four months, February and June included, which no upload saw.</w:t>
      </w:r>
    </w:p>
    <w:p>
      <w:pPr>
        <w:pStyle w:val="Heading4"/>
        <w:numPr>
          <w:ilvl w:val="0"/>
          <w:numId w:val="0"/>
        </w:numPr>
        <w:bidi w:val="0"/>
        <w:spacing w:before="120" w:after="120"/>
        <w:jc w:val="left"/>
        <w:rPr/>
      </w:pPr>
      <w:bookmarkStart w:id="197" w:name="sec_8_7_3"/>
      <w:bookmarkStart w:id="196" w:name="_Toc000049"/>
      <w:r>
        <w:rPr/>
        <w:t>8.7.3 Feature groups and a second learner</w:t>
      </w:r>
      <w:bookmarkEnd w:id="196"/>
      <w:bookmarkEnd w:id="197"/>
    </w:p>
    <w:p>
      <w:pPr>
        <w:pStyle w:val="BodyText"/>
        <w:bidi w:val="0"/>
        <w:spacing w:lineRule="auto" w:line="276" w:before="0" w:after="140"/>
        <w:jc w:val="left"/>
        <w:rPr/>
      </w:pPr>
      <w:r>
        <w:rPr/>
        <w:t xml:space="preserve">Nine candidates were each read against the base configuration on the legs of </w:t>
      </w:r>
      <w:hyperlink w:anchor="sec_7_1" w:history="1">
        <w:r>
          <w:rPr>
            <w:rStyle w:val="InternalRef"/>
          </w:rPr>
          <w:t xml:space="preserve">§7.1</w:t>
        </w:r>
      </w:hyperlink>
      <w:r>
        <w:rPr/>
        <w:t xml:space="preserve"> and the twelve held-out months, and those that passed their rule alone were then read together. Three passed. The first is a feature group built on the network manager's recorded off-block time, </w:t>
      </w:r>
      <w:r>
        <w:rPr>
          <w:rStyle w:val="SourceText"/>
        </w:rPr>
        <w:t>AOBT_3_flt</w:t>
      </w:r>
      <w:r>
        <w:rPr/>
        <w:t>, and the queue of departures it lets the booster count. The second is each flight number's own history in the training year. The third is a second learner, a CatBoost learner, blended with the booster at equal weight. Together they are better than the base configuration by 13.81 s on December, by 12.10 on July over all ten airports, and by 8.25 pooled over the twelve held-out months. A winter layer, a per-airport recalibration, a gamma-deviance learner, thunderstorm flags from the METAR and row weights toward the target month did not pass.</w:t>
      </w:r>
    </w:p>
    <w:p>
      <w:pPr>
        <w:pStyle w:val="BodyText"/>
        <w:bidi w:val="0"/>
        <w:spacing w:lineRule="auto" w:line="276" w:before="0" w:after="140"/>
        <w:jc w:val="left"/>
        <w:rPr/>
      </w:pPr>
      <w:r>
        <w:rPr>
          <w:rStyle w:val="SourceText"/>
        </w:rPr>
        <w:t>AOBT_3_flt</w:t>
      </w:r>
      <w:r>
        <w:rPr/>
        <w:t xml:space="preserve"> was first kept out of the features, as a record of the departure itself. It is published in the ranking set and not blanked, and the features built on it are this work's own, so it was admitted once the feature group had passed and before the configuration that uses it was built. On the 383 rows the record-quality term covers, a classifier of whether a row's block time sits at its schedule replaces the term's single share per cell. Pooled over the twelve months, its mean squared error is 17,687,795 s² against the term's 23,585,522.</w:t>
      </w:r>
    </w:p>
    <w:p>
      <w:pPr>
        <w:pStyle w:val="Heading4"/>
        <w:numPr>
          <w:ilvl w:val="0"/>
          <w:numId w:val="0"/>
        </w:numPr>
        <w:bidi w:val="0"/>
        <w:spacing w:before="120" w:after="120"/>
        <w:jc w:val="left"/>
        <w:rPr/>
      </w:pPr>
      <w:bookmarkStart w:id="199" w:name="sec_8_7_4"/>
      <w:bookmarkStart w:id="198" w:name="_Toc000050"/>
      <w:r>
        <w:rPr/>
        <w:t>8.7.4 The ground-movement correction</w:t>
      </w:r>
      <w:bookmarkEnd w:id="198"/>
      <w:bookmarkEnd w:id="199"/>
    </w:p>
    <w:p>
      <w:pPr>
        <w:pStyle w:val="BodyText"/>
        <w:bidi w:val="0"/>
        <w:spacing w:lineRule="auto" w:line="276" w:before="0" w:after="140"/>
        <w:jc w:val="left"/>
        <w:rPr/>
      </w:pPr>
      <w:r>
        <w:rPr/>
        <w:t>Two open sources of surface positions were matched to the departures: the adsb.lol globe history, under the Open Database License, and the flight events of EUROCONTROL's OPDI. From them come the times an aircraft is first seen on the ground, first moves and stops, and the same for the other departures around it.</w:t>
      </w:r>
    </w:p>
    <w:p>
      <w:pPr>
        <w:pStyle w:val="BodyText"/>
        <w:bidi w:val="0"/>
        <w:spacing w:lineRule="auto" w:line="276" w:before="0" w:after="140"/>
        <w:jc w:val="left"/>
        <w:rPr/>
      </w:pPr>
      <w:r>
        <w:rPr>
          <w:rStyle w:val="Strong"/>
        </w:rPr>
        <w:t>The adsb.lol source failed the gate its pre-registration set for it, and was kept.</w:t>
      </w:r>
      <w:r>
        <w:rPr/>
        <w:t xml:space="preserve"> On two training pilot days, the first ground position an aircraft shows, the best of the three estimates of its off-block time, lay within 120 s of the recorded off-block time on 32.73% of the 5,054 covered rows at the seven airports where coverage reached 30%, against the 50% the gate required. Under the gate the source stopped there. It was continued after an exploratory check on the same two days, in which a per-airport linear correction of the prediction by the time from that first ground position to take-off, fitted on one day and applied to the other, moved the pooled RMSE from 232.2 to 229.5 s. The amendment that continued it was written after those numbers and states itself as a choice made after them, and it leaves the two pilot days out of every fit and every reading of the correction. The first ground position therefore does not measure the off-block time to the standard the pre-registration set, and the source enters the correction only as features read beside the prediction being corrected.</w:t>
      </w:r>
    </w:p>
    <w:p>
      <w:pPr>
        <w:pStyle w:val="BodyText"/>
        <w:bidi w:val="0"/>
        <w:spacing w:lineRule="auto" w:line="276" w:before="0" w:after="140"/>
        <w:jc w:val="left"/>
        <w:rPr/>
      </w:pPr>
      <w:r>
        <w:rPr/>
        <w:t xml:space="preserve">A second learner, a stacker, reads those times and corrects the out-of-fold prediction of the configuration with the feature groups and the second learner. This is the ground-movement correction. Under its rule as first written, the correction was better pooled, by 3.89 s, but worse in January and July, the months in which airports that no receiver sees carry most of the error, so it was not adopted. Applied only to rows a source covers, it is better by 7.49 s pooled and 9.67 on December, and holds in every month. </w:t>
      </w:r>
      <w:r>
        <w:rPr>
          <w:rStyle w:val="Strong"/>
        </w:rPr>
        <w:t>That coverage gate was specified after the rule as first written had failed, with its figures, the per-airport table among them, already seen</w:t>
      </w:r>
      <w:r>
        <w:rPr/>
        <w:t xml:space="preserve">, and its pre-registration lists them among what existed when it was written. At three airports, EGLL, LFPG and LIRF (Heathrow, Paris and Fiumicino), it was still worse on the rows it covered, so a second gate was added: the correction is kept at an airport in a month only where it beat the uncorrected prediction on that airport's covered rows in the other eleven months. </w:t>
      </w:r>
      <w:r>
        <w:rPr>
          <w:rStyle w:val="Strong"/>
        </w:rPr>
        <w:t>That airport gate was defined after the per-airport figures had been seen</w:t>
      </w:r>
      <w:r>
        <w:rPr/>
        <w:t xml:space="preserve">, and its pre-registration says so. It is better than the coverage gate alone by 2.40 s pooled and 4.75 on December, and better than the uncorrected prediction by 9.89 pooled. The gate drops EGLL, LFPG and LIRF in every month and keeps the other seven; no ranking row at Istanbul (LTFM) is covered, so the correction applies at six airports. Three candidates read beside the two gates did not pass: the classifier for the record-quality rows with the same month's arrivals added, a schedule layer for Fiumicino, and that layer on late departures only, the last defined after the layer's own figures (</w:t>
      </w:r>
      <w:hyperlink w:anchor="annex_K" w:history="1">
        <w:r>
          <w:rPr>
            <w:rStyle w:val="InternalRef"/>
          </w:rPr>
          <w:t xml:space="preserve">Annex K</w:t>
        </w:r>
      </w:hyperlink>
      <w:r>
        <w:rPr/>
        <w:t xml:space="preserve">).</w:t>
      </w:r>
    </w:p>
    <w:p>
      <w:pPr>
        <w:pStyle w:val="Heading4"/>
        <w:numPr>
          <w:ilvl w:val="0"/>
          <w:numId w:val="0"/>
        </w:numPr>
        <w:bidi w:val="0"/>
        <w:spacing w:before="120" w:after="120"/>
        <w:jc w:val="left"/>
        <w:rPr/>
      </w:pPr>
      <w:bookmarkStart w:id="201" w:name="sec_8_7_5"/>
      <w:bookmarkStart w:id="200" w:name="_Toc000051"/>
      <w:r>
        <w:rPr/>
        <w:t>8.7.5 The learner refitted, and a choice per airport</w:t>
      </w:r>
      <w:bookmarkEnd w:id="200"/>
      <w:bookmarkEnd w:id="201"/>
    </w:p>
    <w:p>
      <w:pPr>
        <w:pStyle w:val="BodyText"/>
        <w:bidi w:val="0"/>
        <w:spacing w:lineRule="auto" w:line="276" w:before="0" w:after="140"/>
        <w:jc w:val="left"/>
        <w:rPr/>
      </w:pPr>
      <w:r>
        <w:rPr/>
        <w:t>Six more candidates were read, five of them fitted on every split. The one with a mechanism behind it carried the result. The CatBoost learner had been fitted without the two feature groups the booster had gained; refitted with them, the blend is better than the stage before by 3.03 s over the twelve held-out months. One booster per airport and a larger booster both failed July, and the winter layer did worse on its own January check. The booster's weight in the blend was chosen among four values, a selection the report discloses. A selector then chose, per airport and out of fold, among eight of these predictions: the stage before, the blend at equal weight; the blend at the booster weights 0.3, 0.4, 0.6 and 0.7; the refitted blend; the larger booster of 9,000 trees; and one booster per airport. For each airport and held-out month it took the one with the lowest RMSE over the airport's core rows of the other eleven held-out months, and the stage before unless another was strictly lower. It is better than that configuration by 2.49 s pooled and 4.52 on December, and for the ranking rows it takes the refitted blend at nine airports and the old learners at Fiumicino (LIRF). It should be highlighted that on its forward legs the selector could see months after the one being scored, and the report says so. The ground-movement correction refitted on top of it is better than it by 6.59 s pooled with the coverage gate, and the airport gate adds 2.42; the gate keeps the same airports. Choosing airport by airport did not beat a better shared model: the per-airport boosters lost July, and the selector chose the shared learner everywhere but one airport.</w:t>
      </w:r>
    </w:p>
    <w:p>
      <w:pPr>
        <w:pStyle w:val="BodyText"/>
        <w:bidi w:val="0"/>
        <w:spacing w:lineRule="auto" w:line="276" w:before="0" w:after="140"/>
        <w:jc w:val="left"/>
        <w:rPr/>
      </w:pPr>
      <w:r>
        <w:rPr/>
        <w:t>Two last candidates were fixed before their figures: the booster's weight in the refitted blend, and a larger stacker for the correction. Neither passed, and the refitted configuration stood until the final phase. Their pre-registration is published with the others.</w:t>
      </w:r>
    </w:p>
    <w:p>
      <w:pPr>
        <w:pStyle w:val="Heading4"/>
        <w:numPr>
          <w:ilvl w:val="0"/>
          <w:numId w:val="0"/>
        </w:numPr>
        <w:bidi w:val="0"/>
        <w:spacing w:before="120" w:after="120"/>
        <w:jc w:val="left"/>
        <w:rPr/>
      </w:pPr>
      <w:bookmarkStart w:id="203" w:name="sec_8_7_6"/>
      <w:bookmarkStart w:id="202" w:name="_Toc000052"/>
      <w:r>
        <w:rPr/>
        <w:t>8.7.6 The final configuration</w:t>
      </w:r>
      <w:bookmarkEnd w:id="202"/>
      <w:bookmarkEnd w:id="203"/>
    </w:p>
    <w:p>
      <w:pPr>
        <w:pStyle w:val="BodyText"/>
        <w:bidi w:val="0"/>
        <w:spacing w:lineRule="auto" w:line="276" w:before="0" w:after="140"/>
        <w:jc w:val="left"/>
        <w:rPr/>
      </w:pPr>
      <w:r>
        <w:rPr/>
        <w:t xml:space="preserve">The final phase asks for one submission, a file named </w:t>
      </w:r>
      <w:r>
        <w:rPr>
          <w:rStyle w:val="SourceText"/>
        </w:rPr>
        <w:t>&lt;team-name&gt;_final.parquet</w:t>
      </w:r>
      <w:r>
        <w:rPr/>
        <w:t xml:space="preserve">, predicting four months of 2026: January and July, with February and June added. The final configuration is that submission, uploaded once as </w:t>
      </w:r>
      <w:r>
        <w:rPr>
          <w:rStyle w:val="SourceText"/>
        </w:rPr>
        <w:t>funny-firefly_final.parquet</w:t>
      </w:r>
      <w:r>
        <w:rPr/>
        <w:t xml:space="preserve"> on 11 October 2026. It is the refitted configuration, unchanged in every learner, weight, gate, rule and seed, applied to the four months, and nothing in it was chosen on a figure read on the new rows. Two changes were made, each under a pre-registration written before any figure of this entry's own existed for it. First, the ground-movement correction is refitted, its parameters, features and seed unchanged, on every day of 2025 with an adsb.lol table rather than every second day: 348 days in place of 174. Second, a flight-plan window is applied, which rests on a measurement of the training year. Over the 2,062,577 departures of 2025 that carry a flight plan's off-block time, the recorded off-block time never lies more than 3,606 s from it. The count does not thin out toward that edge: 4,315 rows lie in the 300 s below it, against 5,763 in the 300 s before, which is more than half of that count. A record appears to be associated with a flight plan only inside that window. The window therefore clips each prediction to the plan's lag within 3,618 s (the edge plus 12 s, the largest shift of a take-off time this entry measured between two issues of the ranking file), after everything else, the two rules included. Tests of records shifted by a day or by a UTC offset were read under the same pre-registration; the candidate built on them did not pass, and nothing joined the final configuration from it. </w:t>
      </w:r>
      <w:r>
        <w:rPr>
          <w:rStyle w:val="Strong"/>
        </w:rPr>
        <w:t>The window and those tests were prompted by public discussion of the challenge, in other teams' public write-ups.</w:t>
      </w:r>
      <w:r>
        <w:rPr/>
        <w:t xml:space="preserve"> Each was taken up only as a property grounded in documentation: the window in the use that EUROCONTROL's Airport Operator Data Flow (APDF) specification makes of off-block times to associate records with flight data, and the shifted records in the next-day example of the Airport Collaborative Decision Making (A-CDM) manual and in APDF's allowance of times in UTC or in local time. Each was measured with this entry's own code on its own 2025 data, with its thresholds fixed in the pre-registration before any count existed, and no code, threshold or text of another entry was used. </w:t>
      </w:r>
      <w:r>
        <w:rPr>
          <w:rStyle w:val="Strong"/>
        </w:rPr>
        <w:t>The edge the other teams reported, 3,606 s, was known when those thresholds were set</w:t>
      </w:r>
      <w:r>
        <w:rPr/>
        <w:t xml:space="preserve">, the validity bound of 3,900 s among them, and this entry's measurement found the same edge, so the test confirmed on this entry's data a property others had reported rather than finding it. Two candidates for the final phase, the surface state read from arriving aircraft's taxi-in times and a booster held monotone in route length, were fixed before their figures and did not pass (</w:t>
      </w:r>
      <w:hyperlink w:anchor="annex_K" w:history="1">
        <w:r>
          <w:rPr>
            <w:rStyle w:val="InternalRef"/>
          </w:rPr>
          <w:t xml:space="preserve">Annex K</w:t>
        </w:r>
      </w:hyperlink>
      <w:r>
        <w:rPr/>
        <w:t xml:space="preserve">). </w:t>
      </w:r>
      <w:hyperlink w:anchor="sec_8_8" w:history="1">
        <w:r>
          <w:rPr>
            <w:rStyle w:val="InternalRef"/>
          </w:rPr>
          <w:t xml:space="preserve">§8.8</w:t>
        </w:r>
      </w:hyperlink>
      <w:r>
        <w:rPr/>
        <w:t xml:space="preserve"> reads what each step of the final configuration is worth.</w:t>
      </w:r>
    </w:p>
    <w:p>
      <w:pPr>
        <w:pStyle w:val="BodyText"/>
        <w:bidi w:val="0"/>
        <w:spacing w:lineRule="auto" w:line="276" w:before="0" w:after="140"/>
        <w:jc w:val="left"/>
        <w:rPr/>
      </w:pPr>
      <w:r>
        <w:rPr/>
        <w:t xml:space="preserve">The final configuration was built twice from a clean tree with identical bytes. Its score follows the final ranking, and its record is the final submission record in </w:t>
      </w:r>
      <w:r>
        <w:rPr>
          <w:rStyle w:val="SourceText"/>
        </w:rPr>
        <w:t>reports/</w:t>
      </w:r>
      <w:r>
        <w:rPr/>
        <w:t>.</w:t>
      </w:r>
    </w:p>
    <w:p>
      <w:pPr>
        <w:pStyle w:val="Heading4"/>
        <w:numPr>
          <w:ilvl w:val="0"/>
          <w:numId w:val="0"/>
        </w:numPr>
        <w:bidi w:val="0"/>
        <w:spacing w:before="120" w:after="120"/>
        <w:jc w:val="left"/>
        <w:rPr/>
      </w:pPr>
      <w:bookmarkStart w:id="205" w:name="sec_8_7_7"/>
      <w:bookmarkStart w:id="204" w:name="_Toc000053"/>
      <w:r>
        <w:rPr/>
        <w:t>8.7.7 The working names, and where to find them</w:t>
      </w:r>
      <w:bookmarkEnd w:id="204"/>
      <w:bookmarkEnd w:id="205"/>
    </w:p>
    <w:p>
      <w:pPr>
        <w:pStyle w:val="BodyText"/>
        <w:bidi w:val="0"/>
        <w:spacing w:lineRule="auto" w:line="276" w:before="0" w:after="140"/>
        <w:jc w:val="left"/>
        <w:rPr/>
      </w:pPr>
      <w:r>
        <w:rPr/>
        <w:t>The pre-registrations and reports name each change by a short code, written before the change had a description. The paper uses the descriptions; this table gives the code each one carries in the record, and where to read it.</w:t>
      </w:r>
    </w:p>
    <w:tbl>
      <w:tblPr>
        <w:tblW w:w="9972" w:type="dxa"/>
        <w:jc w:val="left"/>
        <w:tblInd w:w="58" w:type="dxa"/>
        <w:tblLayout w:type="fixed"/>
        <w:tblCellMar>
          <w:top w:w="36" w:type="dxa"/>
          <w:left w:w="58" w:type="dxa"/>
          <w:bottom w:w="36" w:type="dxa"/>
          <w:right w:w="58" w:type="dxa"/>
        </w:tblCellMar>
      </w:tblPr>
      <w:tblGrid>
        <w:gridCol w:w="4265"/>
        <w:gridCol w:w="1416"/>
        <w:gridCol w:w="4291"/>
      </w:tblGrid>
      <w:tr>
        <w:trPr>
          <w:tblHeader w:val="true"/>
          <w:cantSplit/>
        </w:trPr>
        <w:tc>
          <w:tcPr>
            <w:tcW w:w="4265"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what the paper calls it</w:t>
            </w:r>
          </w:p>
        </w:tc>
        <w:tc>
          <w:tcPr>
            <w:tcW w:w="1416"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name in the record</w:t>
            </w:r>
          </w:p>
        </w:tc>
        <w:tc>
          <w:tcPr>
            <w:tcW w:w="4291"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where to read it</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feature group on the Network Manager's recorded off-block time</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C1</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reports/preregistered-2026-10-04.md</w:t>
            </w:r>
            <w:r>
              <w:rPr>
                <w:sz w:val="18"/>
                <w:szCs w:val="18"/>
              </w:rPr>
              <w:t xml:space="preserve">, </w:t>
            </w:r>
            <w:hyperlink w:anchor="sec_3" w:history="1">
              <w:r>
                <w:rPr>
                  <w:rStyle w:val="InternalRef"/>
                  <w:sz w:val="18"/>
                  <w:szCs w:val="18"/>
                </w:rPr>
                <w:t xml:space="preserve">§3</w:t>
              </w:r>
            </w:hyperlink>
            <w:r>
              <w:rPr>
                <w:sz w:val="18"/>
                <w:szCs w:val="18"/>
              </w:rPr>
              <w:t xml:space="preserve">; </w:t>
            </w:r>
            <w:r>
              <w:rPr>
                <w:rStyle w:val="SourceText"/>
                <w:sz w:val="18"/>
                <w:szCs w:val="18"/>
              </w:rPr>
              <w:t>reports/candidates-2026-10-05.md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flight number's own history</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C4</w:t>
            </w:r>
          </w:p>
        </w:tc>
        <w:tc>
          <w:tcPr>
            <w:tcW w:w="4291" w:type="dxa"/>
            <w:tcBorders>
              <w:bottom w:val="single" w:sz="2" w:space="0" w:color="BBBBBB"/>
            </w:tcBorders>
          </w:tcPr>
          <w:p>
            <w:pPr>
              <w:pStyle w:val="TableContents"/>
              <w:bidi w:val="0"/>
              <w:spacing w:lineRule="auto" w:line="240" w:before="0" w:after="0"/>
              <w:jc w:val="left"/>
              <w:rPr>
                <w:sz w:val="18"/>
                <w:szCs w:val="18"/>
              </w:rPr>
            </w:pPr>
            <w:r>
              <w:rPr>
                <w:sz w:val="18"/>
                <w:szCs w:val="18"/>
              </w:rPr>
              <w:t>the same</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CatBoost learner, blended with the booster at equal weight</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C3b</w:t>
            </w:r>
          </w:p>
        </w:tc>
        <w:tc>
          <w:tcPr>
            <w:tcW w:w="4291" w:type="dxa"/>
            <w:tcBorders>
              <w:bottom w:val="single" w:sz="2" w:space="0" w:color="BBBBBB"/>
            </w:tcBorders>
          </w:tcPr>
          <w:p>
            <w:pPr>
              <w:pStyle w:val="TableContents"/>
              <w:bidi w:val="0"/>
              <w:spacing w:lineRule="auto" w:line="240" w:before="0" w:after="0"/>
              <w:jc w:val="left"/>
              <w:rPr>
                <w:sz w:val="18"/>
                <w:szCs w:val="18"/>
              </w:rPr>
            </w:pPr>
            <w:r>
              <w:rPr>
                <w:sz w:val="18"/>
                <w:szCs w:val="18"/>
              </w:rPr>
              <w:t>the same</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classifier for the record-quality rows</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C6b</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reports/c6.md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ground-movement correction</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the fusion</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reports/fusion.md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correction on covered rows only (the coverage gate)</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G1</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reports/fusion.md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correction kept only at airports where it helped (the airport gate)</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G1n</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reports/fusion.md</w:t>
            </w:r>
            <w:r>
              <w:rPr>
                <w:sz w:val="18"/>
                <w:szCs w:val="18"/>
              </w:rPr>
              <w:t xml:space="preserve">; </w:t>
            </w:r>
            <w:r>
              <w:rPr>
                <w:rStyle w:val="SourceText"/>
                <w:sz w:val="18"/>
                <w:szCs w:val="18"/>
              </w:rPr>
              <w:t>reports/preregistered-2026-10-06-g1n.md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 xml:space="preserve">the CatBoost learner refitted with the feature groups of </w:t>
            </w:r>
            <w:hyperlink w:anchor="sec_8_7_3" w:history="1">
              <w:r>
                <w:rPr>
                  <w:rStyle w:val="InternalRef"/>
                  <w:sz w:val="18"/>
                  <w:szCs w:val="18"/>
                </w:rPr>
                <w:t xml:space="preserve">§8.7.3</w:t>
              </w:r>
            </w:hyperlink>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C11</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reports/group-b.md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per-airport choice of blend</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C14</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reports/group-b.md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two last candidates</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group C</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reports/preregistered-2026-10-07-group-c.md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correction refitted on every day of 2025</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C17</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reports/preregistered-2026-10-08-all-days.md</w:t>
            </w:r>
            <w:r>
              <w:rPr>
                <w:sz w:val="18"/>
                <w:szCs w:val="18"/>
              </w:rPr>
              <w:t xml:space="preserve">; </w:t>
            </w:r>
            <w:r>
              <w:rPr>
                <w:rStyle w:val="SourceText"/>
                <w:sz w:val="18"/>
                <w:szCs w:val="18"/>
              </w:rPr>
              <w:t>reports/v12-ladder.md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flight-plan window</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W</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reports/preregistered-2026-10-09-records.md</w:t>
            </w:r>
            <w:r>
              <w:rPr>
                <w:sz w:val="18"/>
                <w:szCs w:val="18"/>
              </w:rPr>
              <w:t xml:space="preserve">, </w:t>
            </w:r>
            <w:hyperlink w:anchor="sec_1" w:history="1">
              <w:r>
                <w:rPr>
                  <w:rStyle w:val="InternalRef"/>
                  <w:sz w:val="18"/>
                  <w:szCs w:val="18"/>
                </w:rPr>
                <w:t xml:space="preserve">§1</w:t>
              </w:r>
            </w:hyperlink>
            <w:r>
              <w:rPr>
                <w:sz w:val="18"/>
                <w:szCs w:val="18"/>
              </w:rPr>
              <w:t xml:space="preserve">; </w:t>
            </w:r>
            <w:r>
              <w:rPr>
                <w:rStyle w:val="SourceText"/>
                <w:sz w:val="18"/>
                <w:szCs w:val="18"/>
              </w:rPr>
              <w:t>reports/window.md</w:t>
            </w:r>
          </w:p>
        </w:tc>
      </w:tr>
      <w:tr>
        <w:trPr>
          <w:cantSplit/>
        </w:trPr>
        <w:tc>
          <w:tcPr>
            <w:tcW w:w="4265" w:type="dxa"/>
            <w:tcBorders>
              <w:bottom w:val="single" w:sz="2" w:space="0" w:color="BBBBBB"/>
            </w:tcBorders>
          </w:tcPr>
          <w:p>
            <w:pPr>
              <w:pStyle w:val="TableContents"/>
              <w:bidi w:val="0"/>
              <w:spacing w:lineRule="auto" w:line="240" w:before="0" w:after="0"/>
              <w:jc w:val="left"/>
              <w:rPr>
                <w:sz w:val="18"/>
                <w:szCs w:val="18"/>
              </w:rPr>
            </w:pPr>
            <w:r>
              <w:rPr>
                <w:sz w:val="18"/>
                <w:szCs w:val="18"/>
              </w:rPr>
              <w:t>the candidate built on shifted records</w:t>
            </w:r>
          </w:p>
        </w:tc>
        <w:tc>
          <w:tcPr>
            <w:tcW w:w="1416" w:type="dxa"/>
            <w:tcBorders>
              <w:bottom w:val="single" w:sz="2" w:space="0" w:color="BBBBBB"/>
            </w:tcBorders>
          </w:tcPr>
          <w:p>
            <w:pPr>
              <w:pStyle w:val="TableContents"/>
              <w:bidi w:val="0"/>
              <w:spacing w:lineRule="auto" w:line="240" w:before="0" w:after="0"/>
              <w:jc w:val="left"/>
              <w:rPr>
                <w:sz w:val="18"/>
                <w:szCs w:val="18"/>
              </w:rPr>
            </w:pPr>
            <w:r>
              <w:rPr>
                <w:sz w:val="18"/>
                <w:szCs w:val="18"/>
              </w:rPr>
              <w:t>C20</w:t>
            </w:r>
          </w:p>
        </w:tc>
        <w:tc>
          <w:tcPr>
            <w:tcW w:w="4291" w:type="dxa"/>
            <w:tcBorders>
              <w:bottom w:val="single" w:sz="2" w:space="0" w:color="BBBBBB"/>
            </w:tcBorders>
          </w:tcPr>
          <w:p>
            <w:pPr>
              <w:pStyle w:val="TableContents"/>
              <w:bidi w:val="0"/>
              <w:spacing w:lineRule="auto" w:line="240" w:before="0" w:after="0"/>
              <w:jc w:val="left"/>
              <w:rPr>
                <w:sz w:val="18"/>
                <w:szCs w:val="18"/>
              </w:rPr>
            </w:pPr>
            <w:r>
              <w:rPr>
                <w:rStyle w:val="SourceText"/>
                <w:sz w:val="18"/>
                <w:szCs w:val="18"/>
              </w:rPr>
              <w:t>reports/preregistered-2026-10-09-records.md</w:t>
            </w:r>
            <w:r>
              <w:rPr>
                <w:sz w:val="18"/>
                <w:szCs w:val="18"/>
              </w:rPr>
              <w:t xml:space="preserve">, </w:t>
            </w:r>
            <w:hyperlink w:anchor="sec_2" w:history="1">
              <w:r>
                <w:rPr>
                  <w:rStyle w:val="InternalRef"/>
                  <w:sz w:val="18"/>
                  <w:szCs w:val="18"/>
                </w:rPr>
                <w:t xml:space="preserve">§2</w:t>
              </w:r>
            </w:hyperlink>
          </w:p>
        </w:tc>
      </w:tr>
      <w:tr>
        <w:trPr>
          <w:cantSplit/>
        </w:trPr>
        <w:tc>
          <w:tcPr>
            <w:tcW w:w="4265" w:type="dxa"/>
            <w:tcBorders>
              <w:bottom w:val="single" w:sz="6" w:space="0" w:color="000000"/>
            </w:tcBorders>
          </w:tcPr>
          <w:p>
            <w:pPr>
              <w:pStyle w:val="TableContents"/>
              <w:bidi w:val="0"/>
              <w:spacing w:lineRule="auto" w:line="240" w:before="0" w:after="0"/>
              <w:jc w:val="left"/>
              <w:rPr>
                <w:sz w:val="18"/>
                <w:szCs w:val="18"/>
              </w:rPr>
            </w:pPr>
            <w:r>
              <w:rPr>
                <w:sz w:val="18"/>
                <w:szCs w:val="18"/>
              </w:rPr>
              <w:t xml:space="preserve">the six steps of the final configuration in </w:t>
            </w:r>
            <w:hyperlink w:anchor="sec_8_8" w:history="1">
              <w:r>
                <w:rPr>
                  <w:rStyle w:val="InternalRef"/>
                  <w:sz w:val="18"/>
                  <w:szCs w:val="18"/>
                </w:rPr>
                <w:t xml:space="preserve">§8.8</w:t>
              </w:r>
            </w:hyperlink>
          </w:p>
        </w:tc>
        <w:tc>
          <w:tcPr>
            <w:tcW w:w="1416" w:type="dxa"/>
            <w:tcBorders>
              <w:bottom w:val="single" w:sz="6" w:space="0" w:color="000000"/>
            </w:tcBorders>
          </w:tcPr>
          <w:p>
            <w:pPr>
              <w:pStyle w:val="TableContents"/>
              <w:bidi w:val="0"/>
              <w:spacing w:lineRule="auto" w:line="240" w:before="0" w:after="0"/>
              <w:jc w:val="left"/>
              <w:rPr>
                <w:sz w:val="18"/>
                <w:szCs w:val="18"/>
              </w:rPr>
            </w:pPr>
            <w:r>
              <w:rPr>
                <w:sz w:val="18"/>
                <w:szCs w:val="18"/>
              </w:rPr>
              <w:t>S0 to S5</w:t>
            </w:r>
          </w:p>
        </w:tc>
        <w:tc>
          <w:tcPr>
            <w:tcW w:w="4291" w:type="dxa"/>
            <w:tcBorders>
              <w:bottom w:val="single" w:sz="6" w:space="0" w:color="000000"/>
            </w:tcBorders>
          </w:tcPr>
          <w:p>
            <w:pPr>
              <w:pStyle w:val="TableContents"/>
              <w:bidi w:val="0"/>
              <w:spacing w:lineRule="auto" w:line="240" w:before="0" w:after="0"/>
              <w:jc w:val="left"/>
              <w:rPr>
                <w:sz w:val="18"/>
                <w:szCs w:val="18"/>
              </w:rPr>
            </w:pPr>
            <w:r>
              <w:rPr>
                <w:rStyle w:val="SourceText"/>
                <w:sz w:val="18"/>
                <w:szCs w:val="18"/>
              </w:rPr>
              <w:t>reports/v12-ladder.md</w:t>
            </w:r>
          </w:p>
        </w:tc>
      </w:tr>
    </w:tbl>
    <w:p>
      <w:pPr>
        <w:pStyle w:val="SourceNote"/>
        <w:bidi w:val="0"/>
        <w:spacing w:lineRule="auto" w:line="252" w:before="160" w:after="200"/>
        <w:jc w:val="left"/>
        <w:rPr/>
      </w:pPr>
      <w:r>
        <w:rPr/>
        <w:t xml:space="preserve">Sources: </w:t>
      </w:r>
      <w:r>
        <w:rPr>
          <w:rStyle w:val="SourceText"/>
          <w:sz w:val="18"/>
          <w:szCs w:val="18"/>
        </w:rPr>
        <w:t>reports/preregistered-2026-10-08-all-days.md</w:t>
      </w:r>
      <w:r>
        <w:rPr/>
        <w:t xml:space="preserve">, </w:t>
      </w:r>
      <w:r>
        <w:rPr>
          <w:rStyle w:val="SourceText"/>
          <w:sz w:val="18"/>
          <w:szCs w:val="18"/>
        </w:rPr>
        <w:t>reports/preregistered-2026-10-08-four-months.md</w:t>
      </w:r>
      <w:r>
        <w:rPr/>
        <w:t xml:space="preserve">, </w:t>
      </w:r>
      <w:r>
        <w:rPr>
          <w:rStyle w:val="SourceText"/>
          <w:sz w:val="18"/>
          <w:szCs w:val="18"/>
        </w:rPr>
        <w:t>reports/preregistered-2026-10-08-final-phase.md</w:t>
      </w:r>
      <w:r>
        <w:rPr/>
        <w:t xml:space="preserve"> and </w:t>
      </w:r>
      <w:r>
        <w:rPr>
          <w:rStyle w:val="SourceText"/>
          <w:sz w:val="18"/>
          <w:szCs w:val="18"/>
        </w:rPr>
        <w:t>reports/preregistered-2026-10-09-records.md</w:t>
      </w:r>
      <w:r>
        <w:rPr/>
        <w:t xml:space="preserve">, dated records; </w:t>
      </w:r>
      <w:r>
        <w:rPr>
          <w:rStyle w:val="SourceText"/>
          <w:sz w:val="18"/>
          <w:szCs w:val="18"/>
        </w:rPr>
        <w:t>reports/window.md</w:t>
      </w:r>
      <w:r>
        <w:rPr/>
        <w:t xml:space="preserve">, </w:t>
      </w:r>
      <w:r>
        <w:rPr>
          <w:rStyle w:val="Emphasis"/>
        </w:rPr>
        <w:t>The verdict</w:t>
      </w:r>
      <w:r>
        <w:rPr/>
        <w:t xml:space="preserve"> and </w:t>
      </w:r>
      <w:r>
        <w:rPr>
          <w:rStyle w:val="Emphasis"/>
        </w:rPr>
        <w:t>The difference over the training year</w:t>
      </w:r>
      <w:r>
        <w:rPr/>
        <w:t xml:space="preserve">; </w:t>
      </w:r>
      <w:r>
        <w:rPr>
          <w:rStyle w:val="SourceText"/>
          <w:sz w:val="18"/>
          <w:szCs w:val="18"/>
        </w:rPr>
        <w:t>reports/v12-ladder.md</w:t>
      </w:r>
      <w:r>
        <w:rPr/>
        <w:t xml:space="preserve">, </w:t>
      </w:r>
      <w:r>
        <w:rPr>
          <w:rStyle w:val="Emphasis"/>
        </w:rPr>
        <w:t>The steps</w:t>
      </w:r>
      <w:r>
        <w:rPr/>
        <w:t xml:space="preserve">; </w:t>
      </w:r>
      <w:r>
        <w:rPr>
          <w:rStyle w:val="SourceText"/>
          <w:sz w:val="18"/>
          <w:szCs w:val="18"/>
        </w:rPr>
        <w:t>reports/submission-2026-10-04.md</w:t>
      </w:r>
      <w:r>
        <w:rPr/>
        <w:t xml:space="preserve">, </w:t>
      </w:r>
      <w:r>
        <w:rPr>
          <w:rStyle w:val="SourceText"/>
          <w:sz w:val="18"/>
          <w:szCs w:val="18"/>
        </w:rPr>
        <w:t>reports/submission-2026-10-04-v8.md</w:t>
      </w:r>
      <w:r>
        <w:rPr/>
        <w:t xml:space="preserve">, </w:t>
      </w:r>
      <w:r>
        <w:rPr>
          <w:rStyle w:val="SourceText"/>
          <w:sz w:val="18"/>
          <w:szCs w:val="18"/>
        </w:rPr>
        <w:t>reports/submission-2026-10-06-v9.md</w:t>
      </w:r>
      <w:r>
        <w:rPr/>
        <w:t xml:space="preserve">, </w:t>
      </w:r>
      <w:r>
        <w:rPr>
          <w:rStyle w:val="SourceText"/>
          <w:sz w:val="18"/>
          <w:szCs w:val="18"/>
        </w:rPr>
        <w:t>reports/submission-2026-10-07-v10.md</w:t>
      </w:r>
      <w:r>
        <w:rPr/>
        <w:t xml:space="preserve"> and </w:t>
      </w:r>
      <w:r>
        <w:rPr>
          <w:rStyle w:val="SourceText"/>
          <w:sz w:val="18"/>
          <w:szCs w:val="18"/>
        </w:rPr>
        <w:t>reports/submission-2026-10-08-v11.md</w:t>
      </w:r>
      <w:r>
        <w:rPr/>
        <w:t xml:space="preserve"> and </w:t>
      </w:r>
      <w:r>
        <w:rPr>
          <w:rStyle w:val="SourceText"/>
          <w:sz w:val="18"/>
          <w:szCs w:val="18"/>
        </w:rPr>
        <w:t>reports/submission-2026-10-11-v12.md</w:t>
      </w:r>
      <w:r>
        <w:rPr/>
        <w:t xml:space="preserve">, dated records; </w:t>
      </w:r>
      <w:r>
        <w:rPr>
          <w:rStyle w:val="SourceText"/>
          <w:sz w:val="18"/>
          <w:szCs w:val="18"/>
        </w:rPr>
        <w:t>reports/preregistered-2026-10-04-adsb-after-gate.md</w:t>
      </w:r>
      <w:r>
        <w:rPr/>
        <w:t xml:space="preserve">, </w:t>
      </w:r>
      <w:r>
        <w:rPr>
          <w:rStyle w:val="Emphasis"/>
        </w:rPr>
        <w:t>What exists as this is written</w:t>
      </w:r>
      <w:r>
        <w:rPr/>
        <w:t xml:space="preserve">, and </w:t>
      </w:r>
      <w:r>
        <w:rPr>
          <w:rStyle w:val="SourceText"/>
          <w:sz w:val="18"/>
          <w:szCs w:val="18"/>
        </w:rPr>
        <w:t>reports/preregistered-2026-10-06-last-week.md</w:t>
      </w:r>
      <w:r>
        <w:rPr/>
        <w:t xml:space="preserve">, </w:t>
      </w:r>
      <w:r>
        <w:rPr>
          <w:rStyle w:val="Emphasis"/>
        </w:rPr>
        <w:t>What exists as this is written</w:t>
      </w:r>
      <w:r>
        <w:rPr/>
        <w:t xml:space="preserve">, dated records; </w:t>
      </w:r>
      <w:r>
        <w:rPr>
          <w:rStyle w:val="SourceText"/>
          <w:sz w:val="18"/>
          <w:szCs w:val="18"/>
        </w:rPr>
        <w:t>reports/candidates-2026-10-05.md</w:t>
      </w:r>
      <w:r>
        <w:rPr/>
        <w:t xml:space="preserve">, </w:t>
      </w:r>
      <w:r>
        <w:rPr>
          <w:rStyle w:val="Emphasis"/>
        </w:rPr>
        <w:t>Section 4's combination</w:t>
      </w:r>
      <w:r>
        <w:rPr/>
        <w:t xml:space="preserve">; </w:t>
      </w:r>
      <w:r>
        <w:rPr>
          <w:rStyle w:val="SourceText"/>
          <w:sz w:val="18"/>
          <w:szCs w:val="18"/>
        </w:rPr>
        <w:t>reports/c6.md</w:t>
      </w:r>
      <w:r>
        <w:rPr/>
        <w:t xml:space="preserve">, </w:t>
      </w:r>
      <w:r>
        <w:rPr>
          <w:rStyle w:val="Emphasis"/>
        </w:rPr>
        <w:t>Mean squared error, s²</w:t>
      </w:r>
      <w:r>
        <w:rPr/>
        <w:t xml:space="preserve">; </w:t>
      </w:r>
      <w:r>
        <w:rPr>
          <w:rStyle w:val="SourceText"/>
          <w:sz w:val="18"/>
          <w:szCs w:val="18"/>
        </w:rPr>
        <w:t>reports/fusion.md</w:t>
      </w:r>
      <w:r>
        <w:rPr/>
        <w:t xml:space="preserve">, </w:t>
      </w:r>
      <w:r>
        <w:rPr>
          <w:rStyle w:val="Emphasis"/>
        </w:rPr>
        <w:t>1. The fusion under §5's rule</w:t>
      </w:r>
      <w:r>
        <w:rPr/>
        <w:t xml:space="preserve">, </w:t>
      </w:r>
      <w:r>
        <w:rPr>
          <w:rStyle w:val="Emphasis"/>
        </w:rPr>
        <w:t>2. G1, the fusion gated by coverage</w:t>
      </w:r>
      <w:r>
        <w:rPr/>
        <w:t xml:space="preserve"> and </w:t>
      </w:r>
      <w:r>
        <w:rPr>
          <w:rStyle w:val="Emphasis"/>
        </w:rPr>
        <w:t>3. G1n, the fusion gated by coverage and by airport, out of fold</w:t>
      </w:r>
      <w:r>
        <w:rPr/>
        <w:t xml:space="preserve">; </w:t>
      </w:r>
      <w:r>
        <w:rPr>
          <w:rStyle w:val="SourceText"/>
          <w:sz w:val="18"/>
          <w:szCs w:val="18"/>
        </w:rPr>
        <w:t>reports/group-b.md</w:t>
      </w:r>
      <w:r>
        <w:rPr/>
        <w:t xml:space="preserve">; </w:t>
      </w:r>
      <w:r>
        <w:rPr>
          <w:rStyle w:val="SourceText"/>
          <w:sz w:val="18"/>
          <w:szCs w:val="18"/>
        </w:rPr>
        <w:t>reports/fusion-new-base.md</w:t>
      </w:r>
      <w:r>
        <w:rPr/>
        <w:t xml:space="preserve">, </w:t>
      </w:r>
      <w:r>
        <w:rPr>
          <w:rStyle w:val="Emphasis"/>
        </w:rPr>
        <w:t>G1 against the new base</w:t>
      </w:r>
      <w:r>
        <w:rPr/>
        <w:t xml:space="preserve"> and </w:t>
      </w:r>
      <w:r>
        <w:rPr>
          <w:rStyle w:val="Emphasis"/>
        </w:rPr>
        <w:t>G1n against G1 (its rule)</w:t>
      </w:r>
      <w:r>
        <w:rPr/>
        <w:t>.</w:t>
      </w:r>
    </w:p>
    <w:p>
      <w:pPr>
        <w:pStyle w:val="Heading3"/>
        <w:numPr>
          <w:ilvl w:val="0"/>
          <w:numId w:val="0"/>
        </w:numPr>
        <w:bidi w:val="0"/>
        <w:spacing w:before="140" w:after="120"/>
        <w:jc w:val="left"/>
        <w:rPr/>
      </w:pPr>
      <w:bookmarkStart w:id="207" w:name="sec_8_8"/>
      <w:bookmarkStart w:id="206" w:name="_Toc000054"/>
      <w:r>
        <w:rPr/>
        <w:t>8.8 The final file, read step by step</w:t>
      </w:r>
      <w:bookmarkEnd w:id="206"/>
      <w:bookmarkEnd w:id="207"/>
    </w:p>
    <w:p>
      <w:pPr>
        <w:pStyle w:val="BodyText"/>
        <w:bidi w:val="0"/>
        <w:spacing w:lineRule="auto" w:line="276" w:before="0" w:after="140"/>
        <w:jc w:val="left"/>
        <w:rPr/>
      </w:pPr>
      <w:r>
        <w:rPr/>
        <w:t>The final configuration is built in six steps, each adopted under its own rule before this reading existed. Here every step is read against the one before on the twelve held-out months of 2025, each month predicted from the other eleven, so that a reader can see what each part of the submitted file is worth, where, and in which direction. The design is not forward in time, but it is the only design in which every step can be read on every month: the forward July leg reads the first three steps alone, since the ground-movement correction was never fitted on January to June. Each learner is read at the single seed the stored held-out fits use. Every value is read as the file writes it, floored at zero and rounded, with the record-quality term and the plan-shift rule on their rows at every step.</w:t>
      </w:r>
    </w:p>
    <w:tbl>
      <w:tblPr>
        <w:tblW w:w="9972" w:type="dxa"/>
        <w:jc w:val="left"/>
        <w:tblInd w:w="58" w:type="dxa"/>
        <w:tblLayout w:type="fixed"/>
        <w:tblCellMar>
          <w:top w:w="36" w:type="dxa"/>
          <w:left w:w="58" w:type="dxa"/>
          <w:bottom w:w="36" w:type="dxa"/>
          <w:right w:w="58" w:type="dxa"/>
        </w:tblCellMar>
      </w:tblPr>
      <w:tblGrid>
        <w:gridCol w:w="1306"/>
        <w:gridCol w:w="2131"/>
        <w:gridCol w:w="1306"/>
        <w:gridCol w:w="1306"/>
        <w:gridCol w:w="1306"/>
        <w:gridCol w:w="1306"/>
        <w:gridCol w:w="1311"/>
      </w:tblGrid>
      <w:tr>
        <w:trPr>
          <w:tblHeader w:val="true"/>
          <w:cantSplit/>
        </w:trPr>
        <w:tc>
          <w:tcPr>
            <w:tcW w:w="130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step</w:t>
            </w:r>
          </w:p>
        </w:tc>
        <w:tc>
          <w:tcPr>
            <w:tcW w:w="213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what it adds</w:t>
            </w:r>
          </w:p>
        </w:tc>
        <w:tc>
          <w:tcPr>
            <w:tcW w:w="130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Jan/Jul (s)</w:t>
            </w:r>
          </w:p>
        </w:tc>
        <w:tc>
          <w:tcPr>
            <w:tcW w:w="130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Feb/Jun (s)</w:t>
            </w:r>
          </w:p>
        </w:tc>
        <w:tc>
          <w:tcPr>
            <w:tcW w:w="130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the four (s)</w:t>
            </w:r>
          </w:p>
        </w:tc>
        <w:tc>
          <w:tcPr>
            <w:tcW w:w="1306"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the year (s)</w:t>
            </w:r>
          </w:p>
        </w:tc>
        <w:tc>
          <w:tcPr>
            <w:tcW w:w="131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December leg (s)</w:t>
            </w:r>
          </w:p>
        </w:tc>
      </w:tr>
      <w:tr>
        <w:trPr>
          <w:cantSplit/>
        </w:trPr>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213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booster, with the two feature groups of </w:t>
            </w:r>
            <w:hyperlink w:anchor="sec_8_7_3" w:history="1">
              <w:r>
                <w:rPr>
                  <w:rStyle w:val="InternalRef"/>
                  <w:sz w:val="16"/>
                  <w:szCs w:val="16"/>
                </w:rPr>
                <w:t xml:space="preserve">§8.7.3</w:t>
              </w:r>
            </w:hyperlink>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319.9</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290.6</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306.0</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255.7</w:t>
            </w:r>
          </w:p>
        </w:tc>
        <w:tc>
          <w:tcPr>
            <w:tcW w:w="1311" w:type="dxa"/>
            <w:tcBorders>
              <w:bottom w:val="single" w:sz="2" w:space="0" w:color="BBBBBB"/>
            </w:tcBorders>
          </w:tcPr>
          <w:p>
            <w:pPr>
              <w:pStyle w:val="TableContents"/>
              <w:bidi w:val="0"/>
              <w:spacing w:lineRule="auto" w:line="240" w:before="0" w:after="0"/>
              <w:jc w:val="right"/>
              <w:rPr>
                <w:sz w:val="16"/>
                <w:szCs w:val="16"/>
              </w:rPr>
            </w:pPr>
            <w:r>
              <w:rPr>
                <w:sz w:val="16"/>
                <w:szCs w:val="16"/>
              </w:rPr>
              <w:t>207.4</w:t>
            </w:r>
          </w:p>
        </w:tc>
      </w:tr>
      <w:tr>
        <w:trPr>
          <w:cantSplit/>
        </w:trPr>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w:t>
            </w:r>
          </w:p>
        </w:tc>
        <w:tc>
          <w:tcPr>
            <w:tcW w:w="2131" w:type="dxa"/>
            <w:tcBorders>
              <w:bottom w:val="single" w:sz="2" w:space="0" w:color="BBBBBB"/>
            </w:tcBorders>
          </w:tcPr>
          <w:p>
            <w:pPr>
              <w:pStyle w:val="TableContents"/>
              <w:bidi w:val="0"/>
              <w:spacing w:lineRule="auto" w:line="240" w:before="0" w:after="0"/>
              <w:jc w:val="left"/>
              <w:rPr>
                <w:sz w:val="16"/>
                <w:szCs w:val="16"/>
              </w:rPr>
            </w:pPr>
            <w:r>
              <w:rPr>
                <w:sz w:val="16"/>
                <w:szCs w:val="16"/>
              </w:rPr>
              <w:t>the refitted CatBoost learner, blended in</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318.8</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290.4</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305.3</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255.0</w:t>
            </w:r>
          </w:p>
        </w:tc>
        <w:tc>
          <w:tcPr>
            <w:tcW w:w="1311" w:type="dxa"/>
            <w:tcBorders>
              <w:bottom w:val="single" w:sz="2" w:space="0" w:color="BBBBBB"/>
            </w:tcBorders>
          </w:tcPr>
          <w:p>
            <w:pPr>
              <w:pStyle w:val="TableContents"/>
              <w:bidi w:val="0"/>
              <w:spacing w:lineRule="auto" w:line="240" w:before="0" w:after="0"/>
              <w:jc w:val="right"/>
              <w:rPr>
                <w:sz w:val="16"/>
                <w:szCs w:val="16"/>
              </w:rPr>
            </w:pPr>
            <w:r>
              <w:rPr>
                <w:sz w:val="16"/>
                <w:szCs w:val="16"/>
              </w:rPr>
              <w:t>206.0</w:t>
            </w:r>
          </w:p>
        </w:tc>
      </w:tr>
      <w:tr>
        <w:trPr>
          <w:cantSplit/>
        </w:trPr>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2131" w:type="dxa"/>
            <w:tcBorders>
              <w:bottom w:val="single" w:sz="2" w:space="0" w:color="BBBBBB"/>
            </w:tcBorders>
          </w:tcPr>
          <w:p>
            <w:pPr>
              <w:pStyle w:val="TableContents"/>
              <w:bidi w:val="0"/>
              <w:spacing w:lineRule="auto" w:line="240" w:before="0" w:after="0"/>
              <w:jc w:val="left"/>
              <w:rPr>
                <w:sz w:val="16"/>
                <w:szCs w:val="16"/>
              </w:rPr>
            </w:pPr>
            <w:r>
              <w:rPr>
                <w:sz w:val="16"/>
                <w:szCs w:val="16"/>
              </w:rPr>
              <w:t>the per-airport choice of blend: the refitted configuration before its correction</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318.8</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290.4</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305.3</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254.9</w:t>
            </w:r>
          </w:p>
        </w:tc>
        <w:tc>
          <w:tcPr>
            <w:tcW w:w="1311" w:type="dxa"/>
            <w:tcBorders>
              <w:bottom w:val="single" w:sz="2" w:space="0" w:color="BBBBBB"/>
            </w:tcBorders>
          </w:tcPr>
          <w:p>
            <w:pPr>
              <w:pStyle w:val="TableContents"/>
              <w:bidi w:val="0"/>
              <w:spacing w:lineRule="auto" w:line="240" w:before="0" w:after="0"/>
              <w:jc w:val="right"/>
              <w:rPr>
                <w:sz w:val="16"/>
                <w:szCs w:val="16"/>
              </w:rPr>
            </w:pPr>
            <w:r>
              <w:rPr>
                <w:sz w:val="16"/>
                <w:szCs w:val="16"/>
              </w:rPr>
              <w:t>206.0</w:t>
            </w:r>
          </w:p>
        </w:tc>
      </w:tr>
      <w:tr>
        <w:trPr>
          <w:cantSplit/>
        </w:trPr>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4</w:t>
            </w:r>
          </w:p>
        </w:tc>
        <w:tc>
          <w:tcPr>
            <w:tcW w:w="2131" w:type="dxa"/>
            <w:tcBorders>
              <w:bottom w:val="single" w:sz="2" w:space="0" w:color="BBBBBB"/>
            </w:tcBorders>
          </w:tcPr>
          <w:p>
            <w:pPr>
              <w:pStyle w:val="TableContents"/>
              <w:bidi w:val="0"/>
              <w:spacing w:lineRule="auto" w:line="240" w:before="0" w:after="0"/>
              <w:jc w:val="left"/>
              <w:rPr>
                <w:sz w:val="16"/>
                <w:szCs w:val="16"/>
              </w:rPr>
            </w:pPr>
            <w:r>
              <w:rPr>
                <w:sz w:val="16"/>
                <w:szCs w:val="16"/>
              </w:rPr>
              <w:t>the ground-movement correction, fitted on 174 days: the refitted configuration</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313.1</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284.7</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299.6</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247.3</w:t>
            </w:r>
          </w:p>
        </w:tc>
        <w:tc>
          <w:tcPr>
            <w:tcW w:w="1311" w:type="dxa"/>
            <w:tcBorders>
              <w:bottom w:val="single" w:sz="2" w:space="0" w:color="BBBBBB"/>
            </w:tcBorders>
          </w:tcPr>
          <w:p>
            <w:pPr>
              <w:pStyle w:val="TableContents"/>
              <w:bidi w:val="0"/>
              <w:spacing w:lineRule="auto" w:line="240" w:before="0" w:after="0"/>
              <w:jc w:val="right"/>
              <w:rPr>
                <w:sz w:val="16"/>
                <w:szCs w:val="16"/>
              </w:rPr>
            </w:pPr>
            <w:r>
              <w:rPr>
                <w:sz w:val="16"/>
                <w:szCs w:val="16"/>
              </w:rPr>
              <w:t>192.6</w:t>
            </w:r>
          </w:p>
        </w:tc>
      </w:tr>
      <w:tr>
        <w:trPr>
          <w:cantSplit/>
        </w:trPr>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2131" w:type="dxa"/>
            <w:tcBorders>
              <w:bottom w:val="single" w:sz="2" w:space="0" w:color="BBBBBB"/>
            </w:tcBorders>
          </w:tcPr>
          <w:p>
            <w:pPr>
              <w:pStyle w:val="TableContents"/>
              <w:bidi w:val="0"/>
              <w:spacing w:lineRule="auto" w:line="240" w:before="0" w:after="0"/>
              <w:jc w:val="left"/>
              <w:rPr>
                <w:sz w:val="16"/>
                <w:szCs w:val="16"/>
              </w:rPr>
            </w:pPr>
            <w:r>
              <w:rPr>
                <w:sz w:val="16"/>
                <w:szCs w:val="16"/>
              </w:rPr>
              <w:t>the same correction fitted on 348 days</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312.8</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284.5</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299.3</w:t>
            </w:r>
          </w:p>
        </w:tc>
        <w:tc>
          <w:tcPr>
            <w:tcW w:w="1306" w:type="dxa"/>
            <w:tcBorders>
              <w:bottom w:val="single" w:sz="2" w:space="0" w:color="BBBBBB"/>
            </w:tcBorders>
          </w:tcPr>
          <w:p>
            <w:pPr>
              <w:pStyle w:val="TableContents"/>
              <w:bidi w:val="0"/>
              <w:spacing w:lineRule="auto" w:line="240" w:before="0" w:after="0"/>
              <w:jc w:val="right"/>
              <w:rPr>
                <w:sz w:val="16"/>
                <w:szCs w:val="16"/>
              </w:rPr>
            </w:pPr>
            <w:r>
              <w:rPr>
                <w:sz w:val="16"/>
                <w:szCs w:val="16"/>
              </w:rPr>
              <w:t>247.0</w:t>
            </w:r>
          </w:p>
        </w:tc>
        <w:tc>
          <w:tcPr>
            <w:tcW w:w="1311" w:type="dxa"/>
            <w:tcBorders>
              <w:bottom w:val="single" w:sz="2" w:space="0" w:color="BBBBBB"/>
            </w:tcBorders>
          </w:tcPr>
          <w:p>
            <w:pPr>
              <w:pStyle w:val="TableContents"/>
              <w:bidi w:val="0"/>
              <w:spacing w:lineRule="auto" w:line="240" w:before="0" w:after="0"/>
              <w:jc w:val="right"/>
              <w:rPr>
                <w:sz w:val="16"/>
                <w:szCs w:val="16"/>
              </w:rPr>
            </w:pPr>
            <w:r>
              <w:rPr>
                <w:sz w:val="16"/>
                <w:szCs w:val="16"/>
              </w:rPr>
              <w:t>192.0</w:t>
            </w:r>
          </w:p>
        </w:tc>
      </w:tr>
      <w:tr>
        <w:trPr>
          <w:cantSplit/>
        </w:trPr>
        <w:tc>
          <w:tcPr>
            <w:tcW w:w="1306" w:type="dxa"/>
            <w:tcBorders>
              <w:bottom w:val="single" w:sz="6" w:space="0" w:color="000000"/>
            </w:tcBorders>
          </w:tcPr>
          <w:p>
            <w:pPr>
              <w:pStyle w:val="TableContents"/>
              <w:bidi w:val="0"/>
              <w:spacing w:lineRule="auto" w:line="240" w:before="0" w:after="0"/>
              <w:jc w:val="right"/>
              <w:rPr>
                <w:sz w:val="16"/>
                <w:szCs w:val="16"/>
              </w:rPr>
            </w:pPr>
            <w:r>
              <w:rPr>
                <w:sz w:val="16"/>
                <w:szCs w:val="16"/>
              </w:rPr>
              <w:t>6</w:t>
            </w:r>
          </w:p>
        </w:tc>
        <w:tc>
          <w:tcPr>
            <w:tcW w:w="2131" w:type="dxa"/>
            <w:tcBorders>
              <w:bottom w:val="single" w:sz="6" w:space="0" w:color="000000"/>
            </w:tcBorders>
          </w:tcPr>
          <w:p>
            <w:pPr>
              <w:pStyle w:val="TableContents"/>
              <w:bidi w:val="0"/>
              <w:spacing w:lineRule="auto" w:line="240" w:before="0" w:after="0"/>
              <w:jc w:val="left"/>
              <w:rPr>
                <w:sz w:val="16"/>
                <w:szCs w:val="16"/>
              </w:rPr>
            </w:pPr>
            <w:r>
              <w:rPr>
                <w:sz w:val="16"/>
                <w:szCs w:val="16"/>
              </w:rPr>
              <w:t>the flight-plan window, last: the final configuration</w:t>
            </w:r>
          </w:p>
        </w:tc>
        <w:tc>
          <w:tcPr>
            <w:tcW w:w="1306" w:type="dxa"/>
            <w:tcBorders>
              <w:bottom w:val="single" w:sz="6" w:space="0" w:color="000000"/>
            </w:tcBorders>
          </w:tcPr>
          <w:p>
            <w:pPr>
              <w:pStyle w:val="TableContents"/>
              <w:bidi w:val="0"/>
              <w:spacing w:lineRule="auto" w:line="240" w:before="0" w:after="0"/>
              <w:jc w:val="right"/>
              <w:rPr>
                <w:sz w:val="16"/>
                <w:szCs w:val="16"/>
              </w:rPr>
            </w:pPr>
            <w:r>
              <w:rPr>
                <w:sz w:val="16"/>
                <w:szCs w:val="16"/>
              </w:rPr>
              <w:t>303.6</w:t>
            </w:r>
          </w:p>
        </w:tc>
        <w:tc>
          <w:tcPr>
            <w:tcW w:w="1306" w:type="dxa"/>
            <w:tcBorders>
              <w:bottom w:val="single" w:sz="6" w:space="0" w:color="000000"/>
            </w:tcBorders>
          </w:tcPr>
          <w:p>
            <w:pPr>
              <w:pStyle w:val="TableContents"/>
              <w:bidi w:val="0"/>
              <w:spacing w:lineRule="auto" w:line="240" w:before="0" w:after="0"/>
              <w:jc w:val="right"/>
              <w:rPr>
                <w:sz w:val="16"/>
                <w:szCs w:val="16"/>
              </w:rPr>
            </w:pPr>
            <w:r>
              <w:rPr>
                <w:sz w:val="16"/>
                <w:szCs w:val="16"/>
              </w:rPr>
              <w:t>284.4</w:t>
            </w:r>
          </w:p>
        </w:tc>
        <w:tc>
          <w:tcPr>
            <w:tcW w:w="1306" w:type="dxa"/>
            <w:tcBorders>
              <w:bottom w:val="single" w:sz="6" w:space="0" w:color="000000"/>
            </w:tcBorders>
          </w:tcPr>
          <w:p>
            <w:pPr>
              <w:pStyle w:val="TableContents"/>
              <w:bidi w:val="0"/>
              <w:spacing w:lineRule="auto" w:line="240" w:before="0" w:after="0"/>
              <w:jc w:val="right"/>
              <w:rPr>
                <w:sz w:val="16"/>
                <w:szCs w:val="16"/>
              </w:rPr>
            </w:pPr>
            <w:r>
              <w:rPr>
                <w:sz w:val="16"/>
                <w:szCs w:val="16"/>
              </w:rPr>
              <w:t>294.4</w:t>
            </w:r>
          </w:p>
        </w:tc>
        <w:tc>
          <w:tcPr>
            <w:tcW w:w="1306" w:type="dxa"/>
            <w:tcBorders>
              <w:bottom w:val="single" w:sz="6" w:space="0" w:color="000000"/>
            </w:tcBorders>
          </w:tcPr>
          <w:p>
            <w:pPr>
              <w:pStyle w:val="TableContents"/>
              <w:bidi w:val="0"/>
              <w:spacing w:lineRule="auto" w:line="240" w:before="0" w:after="0"/>
              <w:jc w:val="right"/>
              <w:rPr>
                <w:sz w:val="16"/>
                <w:szCs w:val="16"/>
              </w:rPr>
            </w:pPr>
            <w:r>
              <w:rPr>
                <w:sz w:val="16"/>
                <w:szCs w:val="16"/>
              </w:rPr>
              <w:t>244.9</w:t>
            </w:r>
          </w:p>
        </w:tc>
        <w:tc>
          <w:tcPr>
            <w:tcW w:w="1311" w:type="dxa"/>
            <w:tcBorders>
              <w:bottom w:val="single" w:sz="6" w:space="0" w:color="000000"/>
            </w:tcBorders>
          </w:tcPr>
          <w:p>
            <w:pPr>
              <w:pStyle w:val="TableContents"/>
              <w:bidi w:val="0"/>
              <w:spacing w:lineRule="auto" w:line="240" w:before="0" w:after="0"/>
              <w:jc w:val="right"/>
              <w:rPr>
                <w:sz w:val="16"/>
                <w:szCs w:val="16"/>
              </w:rPr>
            </w:pPr>
            <w:r>
              <w:rPr>
                <w:sz w:val="16"/>
                <w:szCs w:val="16"/>
              </w:rPr>
              <w:t>192.0</w:t>
            </w:r>
          </w:p>
        </w:tc>
      </w:tr>
    </w:tbl>
    <w:p>
      <w:pPr>
        <w:pStyle w:val="BodyText"/>
        <w:bidi w:val="0"/>
        <w:spacing w:lineRule="auto" w:line="276" w:before="160" w:after="140"/>
        <w:jc w:val="left"/>
        <w:rPr/>
      </w:pPr>
      <w:r>
        <w:rPr/>
        <w:t>Over the four months the challenge ranks, the final configuration reads 294.4 s against 306.0 for the booster alone. Two steps carry almost all of that, the ground-movement correction and the window; the other three are each worth less than a second. Each change below is the step less the one before, with its 95% interval over days, so a negative change means the step lowered the error.</w:t>
      </w:r>
    </w:p>
    <w:p>
      <w:pPr>
        <w:pStyle w:val="BodyText"/>
        <w:keepNext w:val="true"/>
        <w:bidi w:val="0"/>
        <w:spacing w:before="115" w:after="58"/>
        <w:jc w:val="center"/>
        <w:rPr/>
      </w:pPr>
      <w:r>
        <w:rPr/>
        <w:drawing>
          <wp:inline distT="0" distB="0" distL="0" distR="0">
            <wp:extent cx="6332220" cy="3933825"/>
            <wp:effectExtent l="0" t="0" r="0" b="0"/>
            <wp:docPr id="3" name="Image3" descr="The error after each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The error after each step"/>
                    <pic:cNvPicPr>
                      <a:picLocks noChangeAspect="1" noChangeArrowheads="1"/>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6332220" cy="3933825"/>
                    </a:xfrm>
                    <a:prstGeom prst="rect">
                      <a:avLst/>
                    </a:prstGeom>
                    <a:noFill/>
                  </pic:spPr>
                </pic:pic>
              </a:graphicData>
            </a:graphic>
          </wp:inline>
        </w:drawing>
      </w:r>
    </w:p>
    <w:p>
      <w:pPr>
        <w:pStyle w:val="BodyText"/>
        <w:bidi w:val="0"/>
        <w:spacing w:lineRule="auto" w:line="276" w:before="0" w:after="140"/>
        <w:jc w:val="left"/>
        <w:rPr/>
      </w:pPr>
      <w:r>
        <w:rPr>
          <w:rStyle w:val="Strong"/>
        </w:rPr>
        <w:t>Figure 3a.</w:t>
      </w:r>
      <w:r>
        <w:rPr/>
        <w:t xml:space="preserve"> The error on the four months after each step. Pooled over the four months, the error falls from 306.0 s for the booster alone to 294.4 s for the final configuration. Two steps carry almost all of the fall, the ground-movement correction fitted on 174 days (305.3 s to 299.6 s) and the flight-plan window (299.3 s to 294.4 s).</w:t>
      </w:r>
    </w:p>
    <w:p>
      <w:pPr>
        <w:pStyle w:val="BodyText"/>
        <w:keepNext w:val="true"/>
        <w:bidi w:val="0"/>
        <w:spacing w:before="115" w:after="58"/>
        <w:jc w:val="center"/>
        <w:rPr/>
      </w:pPr>
      <w:r>
        <w:rPr/>
        <w:drawing>
          <wp:inline distT="0" distB="0" distL="0" distR="0">
            <wp:extent cx="6332220" cy="4417060"/>
            <wp:effectExtent l="0" t="0" r="0" b="0"/>
            <wp:docPr id="4" name="Image4" descr="What each step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What each step changed"/>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6332220" cy="4417060"/>
                    </a:xfrm>
                    <a:prstGeom prst="rect">
                      <a:avLst/>
                    </a:prstGeom>
                    <a:noFill/>
                  </pic:spPr>
                </pic:pic>
              </a:graphicData>
            </a:graphic>
          </wp:inline>
        </w:drawing>
      </w:r>
    </w:p>
    <w:p>
      <w:pPr>
        <w:pStyle w:val="BodyText"/>
        <w:bidi w:val="0"/>
        <w:spacing w:lineRule="auto" w:line="276" w:before="0" w:after="140"/>
        <w:jc w:val="left"/>
        <w:rPr/>
      </w:pPr>
      <w:r>
        <w:rPr>
          <w:rStyle w:val="Strong"/>
        </w:rPr>
        <w:t>Figure 3b.</w:t>
      </w:r>
      <w:r>
        <w:rPr/>
        <w:t xml:space="preserve"> What each step changed on the four months, in seconds. The whisker is the 95% interval over days and the bar is the middle half of the twelve monthly changes. The correction fitted on 174 days lowers the error by 5.67 s [−6.86, −4.76] and the window by 4.91 s [−15.55, −0.09]. The window's interval is wide and its bar narrow because its gain sits in one month: July moved by 17.23 s and no other month by more than 1.53 s. The per-airport choice of blend, −0.05 s [−0.14, +0.04], cannot be told from no change.</w:t>
      </w:r>
    </w:p>
    <w:p>
      <w:pPr>
        <w:pStyle w:val="BodyText"/>
        <w:bidi w:val="0"/>
        <w:spacing w:lineRule="auto" w:line="276" w:before="0" w:after="140"/>
        <w:jc w:val="left"/>
        <w:rPr/>
      </w:pPr>
      <w:r>
        <w:rPr>
          <w:rStyle w:val="Strong"/>
        </w:rPr>
        <w:t>The refitted learner (step 2).</w:t>
      </w:r>
      <w:r>
        <w:rPr/>
        <w:t xml:space="preserve"> It is better by 0.68 s over the year, with a 95% interval over days of [-0.97, -0.44], and by 1.10 s on January with July. On February with June it reads 0.21 s better with an interval of [-1.62, +1.00], which cannot be told apart from no change, because February alone reads worse, by 0.24 s. The cause is Istanbul: there in February the selector keeps another learner's prediction, and Istanbul over the four months reads 306.9 s against the booster's 306.5. The step is a modest, broad gain from a learner that now sees the off-block and flight-history features the booster gained with the feature groups of </w:t>
      </w:r>
      <w:hyperlink w:anchor="sec_8_7_3" w:history="1">
        <w:r>
          <w:rPr>
            <w:rStyle w:val="InternalRef"/>
          </w:rPr>
          <w:t xml:space="preserve">§8.7.3</w:t>
        </w:r>
      </w:hyperlink>
      <w:r>
        <w:rPr/>
        <w:t xml:space="preserve">.</w:t>
      </w:r>
    </w:p>
    <w:p>
      <w:pPr>
        <w:pStyle w:val="BodyText"/>
        <w:bidi w:val="0"/>
        <w:spacing w:lineRule="auto" w:line="276" w:before="0" w:after="140"/>
        <w:jc w:val="left"/>
        <w:rPr/>
      </w:pPr>
      <w:r>
        <w:rPr>
          <w:rStyle w:val="Strong"/>
        </w:rPr>
        <w:t>The per-airport choice (step 3).</w:t>
      </w:r>
      <w:r>
        <w:rPr/>
        <w:t xml:space="preserve"> It changes only Fiumicino, where the selector gives the booster more weight against the CatBoost learner. Over the year it reads 0.05 s better with an interval of [-0.13, +0.01], which is indistinguishable from no change. It is in the file because the selector's rule adopted it as a whole, not for this step.</w:t>
      </w:r>
    </w:p>
    <w:p>
      <w:pPr>
        <w:pStyle w:val="BodyText"/>
        <w:bidi w:val="0"/>
        <w:spacing w:lineRule="auto" w:line="276" w:before="0" w:after="140"/>
        <w:jc w:val="left"/>
        <w:rPr/>
      </w:pPr>
      <w:r>
        <w:rPr>
          <w:rStyle w:val="Strong"/>
        </w:rPr>
        <w:t>The ground-movement correction (step 4).</w:t>
      </w:r>
      <w:r>
        <w:rPr/>
        <w:t xml:space="preserve"> This is the largest step: 7.69 s over the year [-8.58, -6.94], 5.70 on January with July, 5.65 on February with June and 13.37 on December. It works only where a receiver sees the aircraft on the ground and the airport gate keeps it. Over January with July it moves Munich from 173.1 s to 147.9, Schiphol from 186.7 to 158.2 and Zurich from 192.4 to 154.6, and leaves Heathrow, Paris, Fiumicino and Istanbul where they were. It corrects 62,377 of January's 153,706 rows and 89,093 of December's 165,677, and gains 4.95 s in January against 13.37 in December. The mechanism is direct: the booster knows the plan and the traffic, and the correction adds when the aircraft was first seen to move, which no field of the ranking set exposes.</w:t>
      </w:r>
    </w:p>
    <w:p>
      <w:pPr>
        <w:pStyle w:val="BodyText"/>
        <w:bidi w:val="0"/>
        <w:spacing w:lineRule="auto" w:line="276" w:before="0" w:after="140"/>
        <w:jc w:val="left"/>
        <w:rPr/>
      </w:pPr>
      <w:r>
        <w:rPr>
          <w:rStyle w:val="Strong"/>
        </w:rPr>
        <w:t>The correction on every day (step 5).</w:t>
      </w:r>
      <w:r>
        <w:rPr/>
        <w:t xml:space="preserve"> It is better in every month, by 0.24 s over the year [-0.29, -0.19], 0.57 on December and 0.25 over the four months. The interval excludes zero in nine of the twelve months. The same model fitted on twice the days corrects exactly the same rows and is better on them, most at Schiphol, from 158.2 s to 155.6 over January with July. The gain is small and consistent: the model was short of days, not of capacity, as the failure of the larger correction model tested in </w:t>
      </w:r>
      <w:hyperlink w:anchor="sec_8_7_5" w:history="1">
        <w:r>
          <w:rPr>
            <w:rStyle w:val="InternalRef"/>
          </w:rPr>
          <w:t xml:space="preserve">§8.7.5</w:t>
        </w:r>
      </w:hyperlink>
      <w:r>
        <w:rPr/>
        <w:t xml:space="preserve"> had already suggested.</w:t>
      </w:r>
    </w:p>
    <w:p>
      <w:pPr>
        <w:pStyle w:val="BodyText"/>
        <w:bidi w:val="0"/>
        <w:spacing w:lineRule="auto" w:line="276" w:before="0" w:after="140"/>
        <w:jc w:val="left"/>
        <w:rPr/>
      </w:pPr>
      <w:r>
        <w:rPr>
          <w:rStyle w:val="Strong"/>
        </w:rPr>
        <w:t>The window (step 6).</w:t>
      </w:r>
      <w:r>
        <w:rPr/>
        <w:t xml:space="preserve"> Over the year it is worth 2.12 s [-5.99, -0.16], and almost all of it is July: 17.23 s [-49.43, -0.07], where the window moves 25 of 190,713 rows. On February with June it is worth 0.08 s. The interval is wide because the gain sits on a few rows a day-scale error away from their plan. Over January with July it moves Fiumicino from 630.6 s to 573.3 and Zurich from 153.5 to 145.1. Read on the core rows, those neither rule covers, the window is worth 0.27 s over the year and 0.60 in July. Most of its gain falls on the rows the two rules cover, where most of the rows over four hours sit, and there a clip to the plan's window bounds an error no model of the taxi itself can.</w:t>
      </w:r>
    </w:p>
    <w:p>
      <w:pPr>
        <w:pStyle w:val="BodyText"/>
        <w:bidi w:val="0"/>
        <w:spacing w:lineRule="auto" w:line="276" w:before="0" w:after="140"/>
        <w:jc w:val="left"/>
        <w:rPr/>
      </w:pPr>
      <w:r>
        <w:rPr>
          <w:rStyle w:val="Strong"/>
        </w:rPr>
        <w:t>Every row and the core rows.</w:t>
      </w:r>
      <w:r>
        <w:rPr/>
        <w:t xml:space="preserve"> With the rules' rows left out, the final configuration reads 252.3 s over the four months and 217.7 over the year, against 294.4 and 244.9 on every row (the final configuration, not the base configuration's ladder of </w:t>
      </w:r>
      <w:hyperlink w:anchor="sec_8_6" w:history="1">
        <w:r>
          <w:rPr>
            <w:rStyle w:val="InternalRef"/>
          </w:rPr>
          <w:t xml:space="preserve">§8.6</w:t>
        </w:r>
      </w:hyperlink>
      <w:r>
        <w:rPr/>
        <w:t xml:space="preserve">). The gap is the tail: the year holds 122 rows over four hours on every row and 5 on the core rows (the seven of </w:t>
      </w:r>
      <w:hyperlink w:anchor="annex_F" w:history="1">
        <w:r>
          <w:rPr>
            <w:rStyle w:val="InternalRef"/>
          </w:rPr>
          <w:t xml:space="preserve">Annex F</w:t>
        </w:r>
      </w:hyperlink>
      <w:r>
        <w:rPr/>
        <w:t xml:space="preserve"> less the two that the plan-shift rule covers). The same tail separates the airports. Over the four months Fiumicino reads 651.5 s with 58 rows over four hours, Paris 432.8 and Istanbul 306.6, while the airports the correction reaches read between 140.3 s (Munich) and 174.5 (Barcelona).</w:t>
      </w:r>
    </w:p>
    <w:p>
      <w:pPr>
        <w:pStyle w:val="BodyText"/>
        <w:bidi w:val="0"/>
        <w:spacing w:lineRule="auto" w:line="276" w:before="0" w:after="140"/>
        <w:jc w:val="left"/>
        <w:rPr/>
      </w:pPr>
      <w:r>
        <w:rPr>
          <w:rStyle w:val="Strong"/>
        </w:rPr>
        <w:t>What this says about 2026.</w:t>
      </w:r>
      <w:r>
        <w:rPr/>
        <w:t xml:space="preserve"> On 2025, January with July is the harder pair, 303.6 s against 284.4 for February with June, and the reason is January: on the core rows it reads 324.6 s, against 233.2 for July, 244.4 for February and 203.5 for June. The window narrows the gap between the pairs rather than causing it. Every step but the last is read out of fold, so its gain is what a fitted part was worth on months it had not seen. The window is not. Its edge is the largest distance the training year showed, so the clip cannot move a 2025 prediction away from its truth, and its 2025 gain holds in 2026 only if 2026's records stay inside the same window. The correction's gain depends on receivers seeing the same airports in 2026. None of these figures is a forecast of the challenge score (</w:t>
      </w:r>
      <w:hyperlink w:anchor="sec_8_6" w:history="1">
        <w:r>
          <w:rPr>
            <w:rStyle w:val="InternalRef"/>
          </w:rPr>
          <w:t xml:space="preserve">§8.6</w:t>
        </w:r>
      </w:hyperlink>
      <w:r>
        <w:rPr/>
        <w:t xml:space="preserve">).</w:t>
      </w:r>
    </w:p>
    <w:p>
      <w:pPr>
        <w:pStyle w:val="SourceNote"/>
        <w:bidi w:val="0"/>
        <w:spacing w:lineRule="auto" w:line="252" w:before="0" w:after="200"/>
        <w:jc w:val="left"/>
        <w:rPr/>
      </w:pPr>
      <w:r>
        <w:rPr/>
        <w:t xml:space="preserve">Source: </w:t>
      </w:r>
      <w:r>
        <w:rPr>
          <w:rStyle w:val="SourceText"/>
          <w:sz w:val="18"/>
          <w:szCs w:val="18"/>
        </w:rPr>
        <w:t>reports/v12-ladder.md</w:t>
      </w:r>
      <w:r>
        <w:rPr/>
        <w:t xml:space="preserve">, </w:t>
      </w:r>
      <w:r>
        <w:rPr>
          <w:rStyle w:val="Emphasis"/>
        </w:rPr>
        <w:t>The steps</w:t>
      </w:r>
      <w:r>
        <w:rPr/>
        <w:t xml:space="preserve">, </w:t>
      </w:r>
      <w:r>
        <w:rPr>
          <w:rStyle w:val="Emphasis"/>
        </w:rPr>
        <w:t>Every row: RMSE (s)</w:t>
      </w:r>
      <w:r>
        <w:rPr/>
        <w:t xml:space="preserve">, </w:t>
      </w:r>
      <w:r>
        <w:rPr>
          <w:rStyle w:val="Emphasis"/>
        </w:rPr>
        <w:t>Every row: each step less the one before (s), 95% interval over days</w:t>
      </w:r>
      <w:r>
        <w:rPr/>
        <w:t xml:space="preserve">, </w:t>
      </w:r>
      <w:r>
        <w:rPr>
          <w:rStyle w:val="Emphasis"/>
        </w:rPr>
        <w:t>Core rows: RMSE (s)</w:t>
      </w:r>
      <w:r>
        <w:rPr/>
        <w:t xml:space="preserve">, </w:t>
      </w:r>
      <w:r>
        <w:rPr>
          <w:rStyle w:val="Emphasis"/>
        </w:rPr>
        <w:t>Core rows: each step less the one before (s), 95% interval over days</w:t>
      </w:r>
      <w:r>
        <w:rPr/>
        <w:t xml:space="preserve">, </w:t>
      </w:r>
      <w:r>
        <w:rPr>
          <w:rStyle w:val="Emphasis"/>
        </w:rPr>
        <w:t>Jan/Jul, every row, RMSE (s)</w:t>
      </w:r>
      <w:r>
        <w:rPr/>
        <w:t xml:space="preserve"> and </w:t>
      </w:r>
      <w:r>
        <w:rPr>
          <w:rStyle w:val="Emphasis"/>
        </w:rPr>
        <w:t>the four, every row, RMSE (s)</w:t>
      </w:r>
      <w:r>
        <w:rPr/>
        <w:t>.</w:t>
      </w:r>
    </w:p>
    <w:p>
      <w:pPr>
        <w:pStyle w:val="Heading2"/>
        <w:numPr>
          <w:ilvl w:val="0"/>
          <w:numId w:val="0"/>
        </w:numPr>
        <w:bidi w:val="0"/>
        <w:spacing w:before="200" w:after="120"/>
        <w:jc w:val="left"/>
        <w:rPr/>
      </w:pPr>
      <w:bookmarkStart w:id="209" w:name="sec_9"/>
      <w:bookmarkStart w:id="208" w:name="_Toc000055"/>
      <w:r>
        <w:rPr/>
        <w:t>9. Discussion</w:t>
      </w:r>
      <w:bookmarkEnd w:id="208"/>
      <w:bookmarkEnd w:id="209"/>
    </w:p>
    <w:p>
      <w:pPr>
        <w:pStyle w:val="Heading3"/>
        <w:numPr>
          <w:ilvl w:val="0"/>
          <w:numId w:val="0"/>
        </w:numPr>
        <w:bidi w:val="0"/>
        <w:spacing w:before="140" w:after="120"/>
        <w:jc w:val="left"/>
        <w:rPr/>
      </w:pPr>
      <w:bookmarkStart w:id="211" w:name="sec_9_1"/>
      <w:bookmarkStart w:id="210" w:name="_Toc000056"/>
      <w:r>
        <w:rPr/>
        <w:t>9.1 What the geometry was worth, and where</w:t>
      </w:r>
      <w:bookmarkEnd w:id="210"/>
      <w:bookmarkEnd w:id="211"/>
    </w:p>
    <w:p>
      <w:pPr>
        <w:pStyle w:val="BodyText"/>
        <w:bidi w:val="0"/>
        <w:spacing w:lineRule="auto" w:line="276" w:before="0" w:after="140"/>
        <w:jc w:val="left"/>
        <w:rPr/>
      </w:pPr>
      <w:r>
        <w:rPr/>
        <w:t>The forward-split figures and the held-out one describe the same block; they differ because the splits ask different questions. On the December forward split the geometry block lowers the error by 2.27 s. On July it raises it by 0.14 s, which is inside the seed floor. On pairs the model has never seen, it lowers the error by +18.5 s [+16.7, +20.5] more than on pairs it has seen.</w:t>
      </w:r>
    </w:p>
    <w:p>
      <w:pPr>
        <w:pStyle w:val="BodyText"/>
        <w:keepNext w:val="true"/>
        <w:bidi w:val="0"/>
        <w:spacing w:before="115" w:after="58"/>
        <w:jc w:val="center"/>
        <w:rPr/>
      </w:pPr>
      <w:r>
        <w:rPr/>
        <w:drawing>
          <wp:inline distT="0" distB="0" distL="0" distR="0">
            <wp:extent cx="6332220" cy="3467100"/>
            <wp:effectExtent l="0" t="0" r="0" b="0"/>
            <wp:docPr id="5" name="Image5" descr="The geometry block on the forward sp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The geometry block on the forward splits"/>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6332220" cy="3467100"/>
                    </a:xfrm>
                    <a:prstGeom prst="rect">
                      <a:avLst/>
                    </a:prstGeom>
                    <a:noFill/>
                  </pic:spPr>
                </pic:pic>
              </a:graphicData>
            </a:graphic>
          </wp:inline>
        </w:drawing>
      </w:r>
    </w:p>
    <w:p>
      <w:pPr>
        <w:pStyle w:val="BodyText"/>
        <w:bidi w:val="0"/>
        <w:spacing w:lineRule="auto" w:line="276" w:before="0" w:after="140"/>
        <w:jc w:val="left"/>
        <w:rPr/>
      </w:pPr>
      <w:r>
        <w:rPr>
          <w:rStyle w:val="Strong"/>
        </w:rPr>
        <w:t>Figure 4a.</w:t>
      </w:r>
      <w:r>
        <w:rPr/>
        <w:t xml:space="preserve"> What the geometry block adds on the two forward splits. On December it lowers the error by 2.27 s against a seed floor of 0.23 s. On July it raises it by 0.14 s, inside a floor of 0.54 s. A single-seed change has no interval, so the floor is the yardstick.</w:t>
      </w:r>
    </w:p>
    <w:p>
      <w:pPr>
        <w:pStyle w:val="BodyText"/>
        <w:keepNext w:val="true"/>
        <w:bidi w:val="0"/>
        <w:spacing w:before="115" w:after="58"/>
        <w:jc w:val="center"/>
        <w:rPr/>
      </w:pPr>
      <w:r>
        <w:rPr/>
        <w:drawing>
          <wp:inline distT="0" distB="0" distL="0" distR="0">
            <wp:extent cx="6332220" cy="3593465"/>
            <wp:effectExtent l="0" t="0" r="0" b="0"/>
            <wp:docPr id="6" name="Image6" descr="The geometry block on seen and held-out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The geometry block on seen and held-out pairs"/>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6332220" cy="3593465"/>
                    </a:xfrm>
                    <a:prstGeom prst="rect">
                      <a:avLst/>
                    </a:prstGeom>
                    <a:noFill/>
                  </pic:spPr>
                </pic:pic>
              </a:graphicData>
            </a:graphic>
          </wp:inline>
        </w:drawing>
      </w:r>
    </w:p>
    <w:p>
      <w:pPr>
        <w:pStyle w:val="BodyText"/>
        <w:bidi w:val="0"/>
        <w:spacing w:lineRule="auto" w:line="276" w:before="0" w:after="140"/>
        <w:jc w:val="left"/>
        <w:rPr/>
      </w:pPr>
      <w:r>
        <w:rPr>
          <w:rStyle w:val="Strong"/>
        </w:rPr>
        <w:t>Figure 4b.</w:t>
      </w:r>
      <w:r>
        <w:rPr/>
        <w:t xml:space="preserve"> What the geometry block adds on pairs the model has seen and on pairs it has not. It lowers the error by 0.4 s on seen pairs and by 19.0 s on held-out pairs, and the difference, +18.5 s [+16.7, +20.5], is the claim of </w:t>
      </w:r>
      <w:hyperlink w:anchor="sec_7_2" w:history="1">
        <w:r>
          <w:rPr>
            <w:rStyle w:val="InternalRef"/>
          </w:rPr>
          <w:t xml:space="preserve">§7.2</w:t>
        </w:r>
      </w:hyperlink>
      <w:r>
        <w:rPr/>
        <w:t xml:space="preserve">, with an interval over pairs that excludes zero. The two panels ask different questions: Figure 4a asks what the block adds on a forward split, and Figure 4b asks where it adds it.</w:t>
      </w:r>
    </w:p>
    <w:p>
      <w:pPr>
        <w:pStyle w:val="BodyText"/>
        <w:bidi w:val="0"/>
        <w:spacing w:lineRule="auto" w:line="276" w:before="0" w:after="140"/>
        <w:jc w:val="left"/>
        <w:rPr/>
      </w:pPr>
      <w:r>
        <w:rPr/>
        <w:t xml:space="preserve">One explanation of the gap is that the ranking months reuse 2025's stands and runways, so the test set has no thin pairs and cannot reward the physical layer. </w:t>
      </w:r>
      <w:r>
        <w:rPr>
          <w:rStyle w:val="Strong"/>
        </w:rPr>
        <w:t>That explanation is wrong, and §5.4 is the measurement that rules it out.</w:t>
      </w:r>
      <w:r>
        <w:rPr/>
        <w:t xml:space="preserve"> Of the ranking rows, 11.0%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When a booster is given both the identifiers and the geometry, it splits on the identifiers wherever a pair has been seen often enough to be learned. On a forward split that is nearly everywhere, and the geometry block and its quality flags take what is left: 10.9% of the base configuration's splits. </w:t>
      </w:r>
      <w:hyperlink w:anchor="sec_7_4" w:history="1">
        <w:r>
          <w:rPr>
            <w:rStyle w:val="InternalRef"/>
          </w:rPr>
          <w:t xml:space="preserve">§7.4</w:t>
        </w:r>
      </w:hyperlink>
      <w:r>
        <w:rPr/>
        <w:t xml:space="preserve"> is the one attempt to combine them differently; that version is in the final configuration, and its gain also came from the often-seen pairs.</w:t>
      </w:r>
    </w:p>
    <w:p>
      <w:pPr>
        <w:pStyle w:val="BodyText"/>
        <w:bidi w:val="0"/>
        <w:spacing w:lineRule="auto" w:line="276" w:before="0" w:after="140"/>
        <w:jc w:val="left"/>
        <w:rPr/>
      </w:pPr>
      <w:r>
        <w:rPr/>
        <w:t>One part of that explanation holds and is worth stating.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spacing w:lineRule="auto" w:line="276" w:before="0" w:after="140"/>
        <w:jc w:val="left"/>
        <w:rPr/>
      </w:pPr>
      <w:r>
        <w:rPr/>
        <w:t xml:space="preserve">The held-out year says the same thing twelve times. The held-out-pair contrast is positive, with an interval that excludes zero, in every month, from +15.6 s in May to +20.7 s in September and November, and at every airport in every month but three cells (</w:t>
      </w:r>
      <w:hyperlink w:anchor="sec_8_5" w:history="1">
        <w:r>
          <w:rPr>
            <w:rStyle w:val="InternalRef"/>
          </w:rPr>
          <w:t xml:space="preserve">§8.5</w:t>
        </w:r>
      </w:hyperlink>
      <w:r>
        <w:rPr/>
        <w:t xml:space="preserve">, </w:t>
      </w:r>
      <w:hyperlink w:anchor="annex_D" w:history="1">
        <w:r>
          <w:rPr>
            <w:rStyle w:val="InternalRef"/>
          </w:rPr>
          <w:t xml:space="preserve">Annex D</w:t>
        </w:r>
      </w:hyperlink>
      <w:r>
        <w:rPr/>
        <w:t xml:space="preserve">). On the same splits the block's change is −1.4 s pooled over the year, a lower error: it helps by more than the month's floor in nine months, sits inside it in June and July and hurts in April (</w:t>
      </w:r>
      <w:hyperlink w:anchor="sec_8_4" w:history="1">
        <w:r>
          <w:rPr>
            <w:rStyle w:val="InternalRef"/>
          </w:rPr>
          <w:t xml:space="preserve">§8.4</w:t>
        </w:r>
      </w:hyperlink>
      <w:r>
        <w:rPr/>
        <w:t xml:space="preserve">). A block that is worth a second on the pairs a model has seen and twenty on the pairs it has not is what the decomposition of </w:t>
      </w:r>
      <w:hyperlink w:anchor="sec_3" w:history="1">
        <w:r>
          <w:rPr>
            <w:rStyle w:val="InternalRef"/>
          </w:rPr>
          <w:t xml:space="preserve">§3</w:t>
        </w:r>
      </w:hyperlink>
      <w:r>
        <w:rPr/>
        <w:t xml:space="preserve"> predicts, and the two readings are the same measurement taken on two row sets.</w:t>
      </w:r>
    </w:p>
    <w:p>
      <w:pPr>
        <w:pStyle w:val="SourceNote"/>
        <w:bidi w:val="0"/>
        <w:spacing w:lineRule="auto" w:line="252" w:before="0" w:after="200"/>
        <w:jc w:val="left"/>
        <w:rPr/>
      </w:pPr>
      <w:r>
        <w:rPr/>
        <w:t xml:space="preserve">Sources: </w:t>
      </w:r>
      <w:r>
        <w:rPr>
          <w:rStyle w:val="SourceText"/>
          <w:sz w:val="18"/>
          <w:szCs w:val="18"/>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sz w:val="18"/>
          <w:szCs w:val="18"/>
        </w:rPr>
        <w:t>+ plan differences</w:t>
      </w:r>
      <w:r>
        <w:rPr>
          <w:rStyle w:val="Emphasis"/>
        </w:rPr>
        <w:t xml:space="preserve"> spends its splits</w:t>
      </w:r>
      <w:r>
        <w:rPr/>
        <w:t xml:space="preserve">; </w:t>
      </w:r>
      <w:r>
        <w:rPr>
          <w:rStyle w:val="SourceText"/>
          <w:sz w:val="18"/>
          <w:szCs w:val="18"/>
        </w:rPr>
        <w:t>reports/geometry_gaps.md</w:t>
      </w:r>
      <w:r>
        <w:rPr/>
        <w:t xml:space="preserve">, </w:t>
      </w:r>
      <w:r>
        <w:rPr>
          <w:rStyle w:val="Emphasis"/>
        </w:rPr>
        <w:t>Where memorization runs out</w:t>
      </w:r>
      <w:r>
        <w:rPr/>
        <w:t xml:space="preserve">; </w:t>
      </w:r>
      <w:r>
        <w:rPr>
          <w:rStyle w:val="SourceText"/>
          <w:sz w:val="18"/>
          <w:szCs w:val="18"/>
        </w:rPr>
        <w:t>reports/monthly_pairs.md</w:t>
      </w:r>
      <w:r>
        <w:rPr/>
        <w:t xml:space="preserve">, </w:t>
      </w:r>
      <w:r>
        <w:rPr>
          <w:rStyle w:val="Emphasis"/>
        </w:rPr>
        <w:t>Per month of 2025</w:t>
      </w:r>
      <w:r>
        <w:rPr/>
        <w:t xml:space="preserve">; </w:t>
      </w:r>
      <w:r>
        <w:rPr>
          <w:rStyle w:val="SourceText"/>
          <w:sz w:val="18"/>
          <w:szCs w:val="18"/>
        </w:rPr>
        <w:t>reports/monthly_seeds.md</w:t>
      </w:r>
      <w:r>
        <w:rPr/>
        <w:t xml:space="preserve">, </w:t>
      </w:r>
      <w:r>
        <w:rPr>
          <w:rStyle w:val="Emphasis"/>
        </w:rPr>
        <w:t>Each block's months, against each month's floor</w:t>
      </w:r>
      <w:r>
        <w:rPr/>
        <w:t xml:space="preserve">; </w:t>
      </w:r>
      <w:r>
        <w:rPr>
          <w:rStyle w:val="SourceText"/>
          <w:sz w:val="18"/>
          <w:szCs w:val="18"/>
        </w:rPr>
        <w:t>reports/monthly_ladder.md</w:t>
      </w:r>
      <w:r>
        <w:rPr/>
        <w:t xml:space="preserve">, </w:t>
      </w:r>
      <w:r>
        <w:rPr>
          <w:rStyle w:val="Emphasis"/>
        </w:rPr>
        <w:t>Summary: the year, pooled from the twelve months</w:t>
      </w:r>
      <w:r>
        <w:rPr/>
        <w:t>.</w:t>
      </w:r>
    </w:p>
    <w:p>
      <w:pPr>
        <w:pStyle w:val="Heading3"/>
        <w:numPr>
          <w:ilvl w:val="0"/>
          <w:numId w:val="0"/>
        </w:numPr>
        <w:bidi w:val="0"/>
        <w:spacing w:before="140" w:after="120"/>
        <w:jc w:val="left"/>
        <w:rPr/>
      </w:pPr>
      <w:bookmarkStart w:id="213" w:name="sec_9_2"/>
      <w:bookmarkStart w:id="212" w:name="_Toc000057"/>
      <w:r>
        <w:rPr/>
        <w:t>9.2 What the record-quality term touches, and why it is kept</w:t>
      </w:r>
      <w:bookmarkEnd w:id="212"/>
      <w:bookmarkEnd w:id="213"/>
    </w:p>
    <w:p>
      <w:pPr>
        <w:pStyle w:val="BodyText"/>
        <w:bidi w:val="0"/>
        <w:spacing w:lineRule="auto" w:line="276" w:before="0" w:after="140"/>
        <w:jc w:val="left"/>
        <w:rPr/>
      </w:pPr>
      <w:r>
        <w:rPr/>
        <w:t xml:space="preserve">The record-quality term touches 383 ranking rows, 107 in January and 276 in July, all at Fiumicino, and its whole effect on the leaderboard runs through those rows. Of July's rows, 248 are departures with no flight-plan record and an ordinary plan lag. The term answers the scoring, not the physics. It lowers the challenge error on rows where the recorded block time is a schedule artifact, and a model built only to describe taxi-out would not carry it. The alternative, predicting only physically plausible taxi-outs, was not taken. The rule of </w:t>
      </w:r>
      <w:hyperlink w:anchor="sec_4" w:history="1">
        <w:r>
          <w:rPr>
            <w:rStyle w:val="InternalRef"/>
          </w:rPr>
          <w:t xml:space="preserve">§4</w:t>
        </w:r>
      </w:hyperlink>
      <w:r>
        <w:rPr/>
        <w:t xml:space="preserve"> for the plan-shifted departures takes the same course again, on one ranking row and three training departures, and </w:t>
      </w:r>
      <w:hyperlink w:anchor="sec_4" w:history="1">
        <w:r>
          <w:rPr>
            <w:rStyle w:val="InternalRef"/>
          </w:rPr>
          <w:t xml:space="preserve">§4</w:t>
        </w:r>
      </w:hyperlink>
      <w:r>
        <w:rPr/>
        <w:t xml:space="preserve"> gives the score under both of its possible outcomes rather than defending one; in the final file the flight-plan window then takes the lag reading for that row (</w:t>
      </w:r>
      <w:hyperlink w:anchor="sec_4" w:history="1">
        <w:r>
          <w:rPr>
            <w:rStyle w:val="InternalRef"/>
          </w:rPr>
          <w:t xml:space="preserve">§4</w:t>
        </w:r>
      </w:hyperlink>
      <w:r>
        <w:rPr/>
        <w:t xml:space="preserve">). Over the final phase's four months the term takes 619 ranking rows, 107 in January, 75 in February, 161 in June and 276 in July 2026, all at Fiumicino, and the classifier of </w:t>
      </w:r>
      <w:hyperlink w:anchor="sec_8_7_3" w:history="1">
        <w:r>
          <w:rPr>
            <w:rStyle w:val="InternalRef"/>
          </w:rPr>
          <w:t xml:space="preserve">§8.7.3</w:t>
        </w:r>
      </w:hyperlink>
      <w:r>
        <w:rPr/>
        <w:t xml:space="preserve"> predicts them in place of the cells.</w:t>
      </w:r>
    </w:p>
    <w:p>
      <w:pPr>
        <w:pStyle w:val="SourceNote"/>
        <w:bidi w:val="0"/>
        <w:spacing w:lineRule="auto" w:line="252" w:before="0" w:after="200"/>
        <w:jc w:val="left"/>
        <w:rPr/>
      </w:pPr>
      <w:r>
        <w:rPr/>
        <w:t xml:space="preserve">Sources: </w:t>
      </w:r>
      <w:r>
        <w:rPr>
          <w:rStyle w:val="SourceText"/>
          <w:sz w:val="18"/>
          <w:szCs w:val="18"/>
        </w:rPr>
        <w:t>reports/tails.md</w:t>
      </w:r>
      <w:r>
        <w:rPr/>
        <w:t xml:space="preserve">, </w:t>
      </w:r>
      <w:r>
        <w:rPr>
          <w:rStyle w:val="Emphasis"/>
        </w:rPr>
        <w:t>What it touches in the ranking set</w:t>
      </w:r>
      <w:r>
        <w:rPr/>
        <w:t xml:space="preserve"> and </w:t>
      </w:r>
      <w:r>
        <w:rPr>
          <w:rStyle w:val="Emphasis"/>
        </w:rPr>
        <w:t>What the term is, stated plainly</w:t>
      </w:r>
      <w:r>
        <w:rPr/>
        <w:t xml:space="preserve">; </w:t>
      </w:r>
      <w:r>
        <w:rPr>
          <w:rStyle w:val="SourceText"/>
          <w:sz w:val="18"/>
          <w:szCs w:val="18"/>
        </w:rPr>
        <w:t>reports/submission-2026-10-11-v12.md</w:t>
      </w:r>
      <w:r>
        <w:rPr/>
        <w:t xml:space="preserve">, </w:t>
      </w:r>
      <w:r>
        <w:rPr>
          <w:rStyle w:val="Emphasis"/>
        </w:rPr>
        <w:t>The file</w:t>
      </w:r>
      <w:r>
        <w:rPr/>
        <w:t>.</w:t>
      </w:r>
    </w:p>
    <w:p>
      <w:pPr>
        <w:pStyle w:val="Heading3"/>
        <w:numPr>
          <w:ilvl w:val="0"/>
          <w:numId w:val="0"/>
        </w:numPr>
        <w:bidi w:val="0"/>
        <w:spacing w:before="140" w:after="120"/>
        <w:jc w:val="left"/>
        <w:rPr/>
      </w:pPr>
      <w:bookmarkStart w:id="215" w:name="sec_9_3"/>
      <w:bookmarkStart w:id="214" w:name="_Toc000058"/>
      <w:r>
        <w:rPr/>
        <w:t>9.3 Limitations</w:t>
      </w:r>
      <w:bookmarkEnd w:id="214"/>
      <w:bookmarkEnd w:id="215"/>
    </w:p>
    <w:p>
      <w:pPr>
        <w:pStyle w:val="BodyText"/>
        <w:bidi w:val="0"/>
        <w:spacing w:lineRule="auto" w:line="276" w:before="0" w:after="140"/>
        <w:jc w:val="left"/>
        <w:rPr/>
      </w:pPr>
      <w:r>
        <w:rPr/>
        <w:t>The open questions recorded in the modeling notes (</w:t>
      </w:r>
      <w:r>
        <w:rPr>
          <w:rStyle w:val="SourceText"/>
        </w:rPr>
        <w:t>docs/modelling_notes.md</w:t>
      </w:r>
      <w:r>
        <w:rPr/>
        <w:t xml:space="preserve">) give the first set of limits: stands OSM does not have (the join places 96.3% of training departures on a matrix cell, and most of the rest sit in whole numeric blocks at two airports); the turn-angle bias of snapped stands, expected on physical grounds and undetectable by the available proxy; intersection departures at stand level; the OSM snapshot, fetched unpinned and rebuilt from the map time recorded for each airport (</w:t>
      </w:r>
      <w:hyperlink w:anchor="sec_10" w:history="1">
        <w:r>
          <w:rPr>
            <w:rStyle w:val="InternalRef"/>
          </w:rPr>
          <w:t xml:space="preserve">§10</w:t>
        </w:r>
      </w:hyperlink>
      <w:r>
        <w:rPr/>
        <w:t xml:space="preserve">); and one airport's data feed driving the entire record-quality term. A stand with no mapped apron lead-in is attached to the graph by a straight line, which carries no turns and no junctions, so the apron maneuver drops out of exactly the descriptors that describe the route's shape; at Paris that is 265 of 768 stands. Compared on snapped against unsnapped matrix cells, turn angle per kilometer moves the wrong way at six of ten airports, Paris among them, so the bias rests on the mechanism and not on a measurement.</w:t>
      </w:r>
    </w:p>
    <w:p>
      <w:pPr>
        <w:pStyle w:val="BodyText"/>
        <w:bidi w:val="0"/>
        <w:spacing w:lineRule="auto" w:line="276" w:before="0" w:after="140"/>
        <w:jc w:val="left"/>
        <w:rPr/>
      </w:pPr>
      <w:r>
        <w:rPr/>
        <w:t>Six more belong here because they concern how the numbers above were produced rather than what they say.</w:t>
      </w:r>
    </w:p>
    <w:p>
      <w:pPr>
        <w:pStyle w:val="BodyText"/>
        <w:bidi w:val="0"/>
        <w:spacing w:lineRule="auto" w:line="276" w:before="0" w:after="140"/>
        <w:jc w:val="left"/>
        <w:rPr/>
      </w:pPr>
      <w:r>
        <w:rPr>
          <w:rStyle w:val="Strong"/>
        </w:rPr>
        <w:t>The booster's parameters were searched more than once, and the second search was extended after its own rule said it would not be.</w:t>
      </w:r>
      <w:r>
        <w:rPr/>
        <w:t xml:space="preserve"> </w:t>
      </w:r>
      <w:hyperlink w:anchor="sec_7_1_2" w:history="1">
        <w:r>
          <w:rPr>
            <w:rStyle w:val="InternalRef"/>
          </w:rPr>
          <w:t xml:space="preserve">§7.1.2</w:t>
        </w:r>
      </w:hyperlink>
      <w:r>
        <w:rPr/>
        <w:t xml:space="preserve"> gives the account. A first sweep was followed by a second, pre-registered and permitted once. The second was then extended: it was reopened after its best setting had been seen to sit on the edge of the grid, with the direction in which the error was falling already known, and the extension ran under criteria fixed before its figures existed. A final choice between two cells the instrument cannot separate was taken on cost. The first sweep's figures are not comparable with the second's. It ran on the rung that was then the top of the ladder, which carried the runway saturation block and neither the shrunk encoding nor the four-hour exclusion. Its grid ran from 235.0 to 244.8 s, and its top eight cells lie within 0.8 s of each other. Fitting one and the same parameter setting under the later features and training-row rules lowers its error from 235.0 s to 217.28 s, before any parameter changes. </w:t>
      </w:r>
      <w:r>
        <w:rPr>
          <w:rStyle w:val="SourceText"/>
        </w:rPr>
        <w:t>src/taxiout/models.py</w:t>
      </w:r>
      <w:r>
        <w:rPr/>
        <w:t xml:space="preserve"> keeps both sweeps' accounts beside the parameters.</w:t>
      </w:r>
    </w:p>
    <w:p>
      <w:pPr>
        <w:pStyle w:val="BodyText"/>
        <w:bidi w:val="0"/>
        <w:spacing w:lineRule="auto" w:line="276" w:before="0" w:after="140"/>
        <w:jc w:val="left"/>
        <w:rPr/>
      </w:pPr>
      <w:r>
        <w:rPr>
          <w:rStyle w:val="Strong"/>
        </w:rPr>
        <w:t>The ranking-set figures were recomputed after the challenge replaced the ranking file and template.</w:t>
      </w:r>
      <w:r>
        <w:rPr/>
        <w:t xml:space="preserve"> The template grew to 344,841 rows when July 2026 went from three airports to ten; no row was removed. The model was not chosen on the ranking set, so nothing in it moved, but every figure read on it did, and the July validation reading was revisited (</w:t>
      </w:r>
      <w:hyperlink w:anchor="sec_8" w:history="1">
        <w:r>
          <w:rPr>
            <w:rStyle w:val="InternalRef"/>
          </w:rPr>
          <w:t xml:space="preserve">§8</w:t>
        </w:r>
      </w:hyperlink>
      <w:r>
        <w:rPr/>
        <w:t xml:space="preserve">). A check of the local copies against the challenge's files should open every piece of work that reads them.</w:t>
      </w:r>
    </w:p>
    <w:p>
      <w:pPr>
        <w:pStyle w:val="BodyText"/>
        <w:bidi w:val="0"/>
        <w:spacing w:lineRule="auto" w:line="276" w:before="0" w:after="140"/>
        <w:jc w:val="left"/>
        <w:rPr/>
      </w:pPr>
      <w:r>
        <w:rPr>
          <w:rStyle w:val="Strong"/>
        </w:rPr>
        <w:t>The held-out year is not a forward reading.</w:t>
      </w:r>
      <w:r>
        <w:rPr/>
        <w:t xml:space="preserve"> Every month of 2025 held out in turn trains on months after it as well as before, so the twelve figures of </w:t>
      </w:r>
      <w:hyperlink w:anchor="sec_8_2" w:history="1">
        <w:r>
          <w:rPr>
            <w:rStyle w:val="InternalRef"/>
          </w:rPr>
          <w:t xml:space="preserve">§8.2</w:t>
        </w:r>
      </w:hyperlink>
      <w:r>
        <w:rPr/>
        <w:t xml:space="preserve"> and the per-month claim of </w:t>
      </w:r>
      <w:hyperlink w:anchor="sec_8_5" w:history="1">
        <w:r>
          <w:rPr>
            <w:rStyle w:val="InternalRef"/>
          </w:rPr>
          <w:t xml:space="preserve">§8.5</w:t>
        </w:r>
      </w:hyperlink>
      <w:r>
        <w:rPr/>
        <w:t xml:space="preserve"> are read inside the training year and not across its edge. They say how the figures and each block's worth are distributed over the year; the two forward splits remain the proxies for the test months. The five-seed average fails to beat its own best seed in one of the twelve months, February, by 0.10 s inside a floor of 1.56 s. That is the kind of near miss a rule read at the floor is built to call noise.</w:t>
      </w:r>
    </w:p>
    <w:p>
      <w:pPr>
        <w:pStyle w:val="BodyText"/>
        <w:bidi w:val="0"/>
        <w:spacing w:lineRule="auto" w:line="276" w:before="0" w:after="140"/>
        <w:jc w:val="left"/>
        <w:rPr/>
      </w:pPr>
      <w:r>
        <w:rPr>
          <w:rStyle w:val="Strong"/>
        </w:rPr>
        <w:t>One rule rests on three rows.</w:t>
      </w:r>
      <w:r>
        <w:rPr/>
        <w:t xml:space="preserve"> The plan-shifted departures of </w:t>
      </w:r>
      <w:hyperlink w:anchor="sec_4" w:history="1">
        <w:r>
          <w:rPr>
            <w:rStyle w:val="InternalRef"/>
          </w:rPr>
          <w:t xml:space="preserve">§4</w:t>
        </w:r>
      </w:hyperlink>
      <w:r>
        <w:rPr/>
        <w:t xml:space="preserve"> are a class of three training departures, and the rule for them was written after one such departure was seen in the ranking set's exposed fields. Its share is an estimate that three rows cannot pin, and its evaluation on the held-out year is arithmetic on those rows, not evidence. The paper states both outcomes of the one row it reaches, in score terms, and the pre-registration is the record that nothing about the rule was chosen on its effect. In the final file the flight-plan window overrides the rule on that row (</w:t>
      </w:r>
      <w:hyperlink w:anchor="sec_4" w:history="1">
        <w:r>
          <w:rPr>
            <w:rStyle w:val="InternalRef"/>
          </w:rPr>
          <w:t xml:space="preserve">§4</w:t>
        </w:r>
      </w:hyperlink>
      <w:r>
        <w:rPr/>
        <w:t xml:space="preserve">), on an edge measured on the training year that holds the class's July departure.</w:t>
      </w:r>
    </w:p>
    <w:p>
      <w:pPr>
        <w:pStyle w:val="BodyText"/>
        <w:bidi w:val="0"/>
        <w:spacing w:lineRule="auto" w:line="276" w:before="0" w:after="14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base configuration and read under conditions fixed in writing before their figures existed. None met all four conditions: more trees improved December by 0.28 s, more than its floor of 0.23, and failed July; the saturation block made no measurable difference on either forward leg; the recency schedule failed all four. The verdict is the same whether the figures are read unrounded or rounded, and the final configuration is unchanged (</w:t>
      </w:r>
      <w:hyperlink w:anchor="annex_J" w:history="1">
        <w:r>
          <w:rPr>
            <w:rStyle w:val="InternalRef"/>
          </w:rPr>
          <w:t xml:space="preserve">Annex J</w:t>
        </w:r>
      </w:hyperlink>
      <w:r>
        <w:rPr/>
        <w:t xml:space="preserve">). The measurement shows the ceiling the booster had reached under its own parameters: the one candidate with a measurable gain on one leg gave it back on the other.</w:t>
      </w:r>
    </w:p>
    <w:p>
      <w:pPr>
        <w:pStyle w:val="BodyText"/>
        <w:bidi w:val="0"/>
        <w:spacing w:lineRule="auto" w:line="276" w:before="0" w:after="140"/>
        <w:jc w:val="left"/>
        <w:rPr/>
      </w:pPr>
      <w:r>
        <w:rPr>
          <w:rStyle w:val="Strong"/>
        </w:rPr>
        <w:t>What was decided after the numbers were seen.</w:t>
      </w:r>
      <w:r>
        <w:rPr/>
        <w:t xml:space="preserve"> Sixteen decisions in this work were taken after some of the figures they bear on had been seen, six before the first challenge score and ten after it. The table gives each, in the order in which it was taken, with its date, what had been fixed before, what had been seen, what was decided and the record that holds it; </w:t>
      </w:r>
      <w:hyperlink w:anchor="annex_K" w:history="1">
        <w:r>
          <w:rPr>
            <w:rStyle w:val="InternalRef"/>
          </w:rPr>
          <w:t xml:space="preserve">Annex K</w:t>
        </w:r>
      </w:hyperlink>
      <w:r>
        <w:rPr/>
        <w:t xml:space="preserve"> gives every candidate measured after the freeze with its figures and its verdict. The first row is not one of the sixteen: it is a point a reader may suspect of resting on a choice, and nothing in it was decided after the numbers. Every other rule the paper relies on was written down before the figure it governs existed.</w:t>
      </w:r>
    </w:p>
    <w:tbl>
      <w:tblPr>
        <w:tblW w:w="9972" w:type="dxa"/>
        <w:jc w:val="left"/>
        <w:tblInd w:w="58" w:type="dxa"/>
        <w:tblLayout w:type="fixed"/>
        <w:tblCellMar>
          <w:top w:w="36" w:type="dxa"/>
          <w:left w:w="58" w:type="dxa"/>
          <w:bottom w:w="36" w:type="dxa"/>
          <w:right w:w="58" w:type="dxa"/>
        </w:tblCellMar>
      </w:tblPr>
      <w:tblGrid>
        <w:gridCol w:w="1510"/>
        <w:gridCol w:w="1183"/>
        <w:gridCol w:w="1785"/>
        <w:gridCol w:w="1785"/>
        <w:gridCol w:w="1648"/>
        <w:gridCol w:w="2061"/>
      </w:tblGrid>
      <w:tr>
        <w:trPr>
          <w:tblHeader w:val="true"/>
          <w:cantSplit/>
        </w:trPr>
        <w:tc>
          <w:tcPr>
            <w:tcW w:w="1510"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point</w:t>
            </w:r>
          </w:p>
        </w:tc>
        <w:tc>
          <w:tcPr>
            <w:tcW w:w="1183"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date</w:t>
            </w:r>
          </w:p>
        </w:tc>
        <w:tc>
          <w:tcPr>
            <w:tcW w:w="178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fixed before the numbers</w:t>
            </w:r>
          </w:p>
        </w:tc>
        <w:tc>
          <w:tcPr>
            <w:tcW w:w="178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seen when the decision was taken</w:t>
            </w:r>
          </w:p>
        </w:tc>
        <w:tc>
          <w:tcPr>
            <w:tcW w:w="164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decided after the numbers were seen</w:t>
            </w:r>
          </w:p>
        </w:tc>
        <w:tc>
          <w:tcPr>
            <w:tcW w:w="206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where it is recorded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geometry is worth 2.27 s on a forward split and +18.5 s on held-out pairs (</w:t>
            </w:r>
            <w:hyperlink w:anchor="sec_7_2" w:history="1">
              <w:r>
                <w:rPr>
                  <w:rStyle w:val="InternalRef"/>
                  <w:sz w:val="16"/>
                  <w:szCs w:val="16"/>
                </w:rPr>
                <w:t xml:space="preserve">§7.2</w:t>
              </w:r>
            </w:hyperlink>
            <w:r>
              <w:rPr>
                <w:sz w:val="16"/>
                <w:szCs w:val="16"/>
              </w:rPr>
              <w:t xml:space="preserve">, </w:t>
            </w:r>
            <w:hyperlink w:anchor="sec_9_1" w:history="1">
              <w:r>
                <w:rPr>
                  <w:rStyle w:val="InternalRef"/>
                  <w:sz w:val="16"/>
                  <w:szCs w:val="16"/>
                </w:rPr>
                <w:t xml:space="preserve">§9.1</w:t>
              </w:r>
            </w:hyperlink>
            <w:r>
              <w:rPr>
                <w:sz w:val="16"/>
                <w:szCs w:val="16"/>
              </w:rPr>
              <w:t xml:space="preserve">); not one of the sixteen</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not applicable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both splits, the held-out-pair design and the claim as a difference in differences</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both figures with their intervals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nothing. The gap follows from the model: the geometry is a fixed function of the (stand, runway) pair, so where a pair has been seen hundreds of times the identifiers already carry what it knows, and it can only add where the pair is new</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reports/baseline.md</w:t>
            </w:r>
            <w:r>
              <w:rPr>
                <w:sz w:val="16"/>
                <w:szCs w:val="16"/>
              </w:rPr>
              <w:t xml:space="preserve">, </w:t>
            </w:r>
            <w:r>
              <w:rPr>
                <w:rStyle w:val="Emphasis"/>
                <w:sz w:val="16"/>
                <w:szCs w:val="16"/>
              </w:rPr>
              <w:t>Held-out pairs</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held-out-pair test for the shrunk encoding was set aside rather than passed (</w:t>
            </w:r>
            <w:hyperlink w:anchor="sec_7_4" w:history="1">
              <w:r>
                <w:rPr>
                  <w:rStyle w:val="InternalRef"/>
                  <w:sz w:val="16"/>
                  <w:szCs w:val="16"/>
                </w:rPr>
                <w:t xml:space="preserve">§7.4</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early September, before 8 September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rule: a positive held-out contrast and no worse on either forward split; the intersection signature of each runway designator, measured in another report before the versions were fitted</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versions' figures, and that on a held-out pair the encoding equals its prior exactly, so the gate cannot see the thing it tests, whatever the numbers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the replacement rule's wording. Its rejecting half is the original rule's second half, unchanged; the paper and the report both say it was written after the versions' figures existed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reports/baseline.md</w:t>
            </w:r>
            <w:r>
              <w:rPr>
                <w:sz w:val="16"/>
                <w:szCs w:val="16"/>
              </w:rPr>
              <w:t xml:space="preserve">, </w:t>
            </w:r>
            <w:r>
              <w:rPr>
                <w:rStyle w:val="Emphasis"/>
                <w:sz w:val="16"/>
                <w:szCs w:val="16"/>
              </w:rPr>
              <w:t>The shrunk identifier encoding</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fields the model had not read were screened on the forward legs that then read them (</w:t>
            </w:r>
            <w:hyperlink w:anchor="sec_6_5" w:history="1">
              <w:r>
                <w:rPr>
                  <w:rStyle w:val="InternalRef"/>
                  <w:sz w:val="16"/>
                  <w:szCs w:val="16"/>
                </w:rPr>
                <w:t xml:space="preserve">§6.5</w:t>
              </w:r>
            </w:hyperlink>
            <w:r>
              <w:rPr>
                <w:sz w:val="16"/>
                <w:szCs w:val="16"/>
              </w:rPr>
              <w:t xml:space="preserve">, </w:t>
            </w:r>
            <w:hyperlink w:anchor="sec_9_5" w:history="1">
              <w:r>
                <w:rPr>
                  <w:rStyle w:val="InternalRef"/>
                  <w:sz w:val="16"/>
                  <w:szCs w:val="16"/>
                </w:rPr>
                <w:t xml:space="preserve">§9.5</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8 September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two forward legs, and the rule of reading each block against the rung below it</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a small booster fitted on the stored December and July residuals of the rung then shipped, one field group at a time</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which blocks to build, among them stand occupancy, the callsign prefix, the destination and the holiday calendar. Each was then read on the same two legs, so its worth there carries the selection; the held-out months other than December and July read them too (</w:t>
            </w:r>
            <w:hyperlink w:anchor="annex_B" w:history="1">
              <w:r>
                <w:rPr>
                  <w:rStyle w:val="InternalRef"/>
                  <w:sz w:val="16"/>
                  <w:szCs w:val="16"/>
                </w:rPr>
                <w:t xml:space="preserve">Annex B</w:t>
              </w:r>
            </w:hyperlink>
            <w:r>
              <w:rPr>
                <w:sz w:val="16"/>
                <w:szCs w:val="16"/>
              </w:rPr>
              <w:t xml:space="preserve">)</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docs/review_headroom.md</w:t>
            </w:r>
            <w:r>
              <w:rPr>
                <w:sz w:val="16"/>
                <w:szCs w:val="16"/>
              </w:rPr>
              <w:t xml:space="preserve">, </w:t>
            </w:r>
            <w:hyperlink w:anchor="sec_2" w:history="1">
              <w:r>
                <w:rPr>
                  <w:rStyle w:val="InternalRef"/>
                  <w:sz w:val="16"/>
                  <w:szCs w:val="16"/>
                </w:rPr>
                <w:t xml:space="preserve">§2</w:t>
              </w:r>
            </w:hyperlink>
            <w:r>
              <w:rPr>
                <w:sz w:val="16"/>
                <w:szCs w:val="16"/>
              </w:rPr>
              <w:t xml:space="preserve"> and </w:t>
            </w:r>
            <w:hyperlink w:anchor="sec_6" w:history="1">
              <w:r>
                <w:rPr>
                  <w:rStyle w:val="InternalRef"/>
                  <w:sz w:val="16"/>
                  <w:szCs w:val="16"/>
                </w:rPr>
                <w:t xml:space="preserve">§6</w:t>
              </w:r>
            </w:hyperlink>
            <w:r>
              <w:rPr>
                <w:sz w:val="16"/>
                <w:szCs w:val="16"/>
              </w:rPr>
              <w:t xml:space="preserve">, a dated record of 8 September</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seed average's adoption rule was replaced (</w:t>
            </w:r>
            <w:hyperlink w:anchor="sec_3_4" w:history="1">
              <w:r>
                <w:rPr>
                  <w:rStyle w:val="InternalRef"/>
                  <w:sz w:val="16"/>
                  <w:szCs w:val="16"/>
                </w:rPr>
                <w:t xml:space="preserve">§3.4</w:t>
              </w:r>
            </w:hyperlink>
            <w:r>
              <w:rPr>
                <w:sz w:val="16"/>
                <w:szCs w:val="16"/>
              </w:rPr>
              <w:t xml:space="preserve">, </w:t>
            </w:r>
            <w:hyperlink w:anchor="sec_7_1_2" w:history="1">
              <w:r>
                <w:rPr>
                  <w:rStyle w:val="InternalRef"/>
                  <w:sz w:val="16"/>
                  <w:szCs w:val="16"/>
                </w:rPr>
                <w:t xml:space="preserve">§7.1.2</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19 September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a gain of at least 1 s on both forward splits</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two measurements under that rule, one failing it at 0.78 and 0.98 s and one clearing it at 1.10 and 1.37 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retire the rule, because the booster had become repeatable to the bit, and to read the seed floor instead. The replacement was fixed before any measurement under it, and the measurement it read, 1.11 and 1.46 s, also clears the rule it replaced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reports/baseline.md</w:t>
            </w:r>
            <w:r>
              <w:rPr>
                <w:sz w:val="16"/>
                <w:szCs w:val="16"/>
              </w:rPr>
              <w:t xml:space="preserve">, </w:t>
            </w:r>
            <w:r>
              <w:rPr>
                <w:rStyle w:val="Emphasis"/>
                <w:sz w:val="16"/>
                <w:szCs w:val="16"/>
              </w:rPr>
              <w:t>Seed averaging</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parameter sweep was extended after its own rule said it would not be (</w:t>
            </w:r>
            <w:hyperlink w:anchor="sec_7_1_2" w:history="1">
              <w:r>
                <w:rPr>
                  <w:rStyle w:val="InternalRef"/>
                  <w:sz w:val="16"/>
                  <w:szCs w:val="16"/>
                </w:rPr>
                <w:t xml:space="preserve">§7.1.2</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22 September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sweep's grid and its rule of reading October only; the extension's criteria, one step out on each of three axes read against the seed floor, fixed in writing before any figure past the edge existed</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chosen cell on the edge of the grid on every axis, with October still falling toward it</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decision to reopen the sweep, taken knowing that the best setting sat at the high end of the tree count. Disclosed here and in </w:t>
            </w:r>
            <w:hyperlink w:anchor="sec_7_1_2" w:history="1">
              <w:r>
                <w:rPr>
                  <w:rStyle w:val="InternalRef"/>
                  <w:sz w:val="16"/>
                  <w:szCs w:val="16"/>
                </w:rPr>
                <w:t xml:space="preserve">§7.1.2</w:t>
              </w:r>
            </w:hyperlink>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src/taxiout/models.py</w:t>
            </w:r>
            <w:r>
              <w:rPr>
                <w:sz w:val="16"/>
                <w:szCs w:val="16"/>
              </w:rPr>
              <w:t xml:space="preserve">, the comment on </w:t>
            </w:r>
            <w:r>
              <w:rPr>
                <w:rStyle w:val="SourceText"/>
                <w:sz w:val="16"/>
                <w:szCs w:val="16"/>
              </w:rPr>
              <w:t>BOOSTER_PARAMS</w:t>
            </w:r>
            <w:r>
              <w:rPr>
                <w:sz w:val="16"/>
                <w:szCs w:val="16"/>
              </w:rPr>
              <w:t>; the extension's working notes are not published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extension's stopping rule was recorded as mis-specified (</w:t>
            </w:r>
            <w:hyperlink w:anchor="sec_7_1_2" w:history="1">
              <w:r>
                <w:rPr>
                  <w:rStyle w:val="InternalRef"/>
                  <w:sz w:val="16"/>
                  <w:szCs w:val="16"/>
                </w:rPr>
                <w:t xml:space="preserve">§7.1.2</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23 September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extension's stopping rule, which compared fits made at two seeds</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its reading, which set a fit of 6,000 trees at one seed against a fit of 3,000 at another and so mixed what the trees bought with the seed's shift of the level</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the rule was recorded as mis-specified, and paired contrasts within one seed were set beside it as its amendment, showing the gain from more trees nearly the same at two seeds and two leaf settings; the tree count was then fixed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src/taxiout/models.py</w:t>
            </w:r>
            <w:r>
              <w:rPr>
                <w:sz w:val="16"/>
                <w:szCs w:val="16"/>
              </w:rPr>
              <w:t xml:space="preserve">, the comment on </w:t>
            </w:r>
            <w:r>
              <w:rPr>
                <w:rStyle w:val="SourceText"/>
                <w:sz w:val="16"/>
                <w:szCs w:val="16"/>
              </w:rPr>
              <w:t>BOOSTER_PARAMS</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a rule for the plan-shifted departures was added after the freeze (</w:t>
            </w:r>
            <w:hyperlink w:anchor="sec_4" w:history="1">
              <w:r>
                <w:rPr>
                  <w:rStyle w:val="InternalRef"/>
                  <w:sz w:val="16"/>
                  <w:szCs w:val="16"/>
                </w:rPr>
                <w:t xml:space="preserve">§4</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2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rule itself, in every term, and its file hash (SHA-256), before it was evaluated on any fold or built; the four-hour threshold it reads, fixed in advance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three training departures in the class, two of them long; one ranking departure, and what the base configuration predicted for it</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decision to add a rule at all, taken after the class was seen in the ranking set; disclosed in </w:t>
            </w:r>
            <w:hyperlink w:anchor="sec_4" w:history="1">
              <w:r>
                <w:rPr>
                  <w:rStyle w:val="InternalRef"/>
                  <w:sz w:val="16"/>
                  <w:szCs w:val="16"/>
                </w:rPr>
                <w:t xml:space="preserve">§4</w:t>
              </w:r>
            </w:hyperlink>
            <w:r>
              <w:rPr>
                <w:sz w:val="16"/>
                <w:szCs w:val="16"/>
              </w:rPr>
              <w:t xml:space="preserve"> with the score under both outcomes</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reports/preregistered-2026-10-02.md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both rules were switched off for one upload (</w:t>
            </w:r>
            <w:hyperlink w:anchor="sec_8_7_2" w:history="1">
              <w:r>
                <w:rPr>
                  <w:rStyle w:val="InternalRef"/>
                  <w:sz w:val="16"/>
                  <w:szCs w:val="16"/>
                </w:rPr>
                <w:t xml:space="preserve">§8.7.2</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analysis that priced the rules' rows under four readings, one of them judged implausible from the public leaderboard, computed before the base configuration's score existed</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base configuration's score, which existed when the decision was written, though no rule read it</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upload one file with both rules off</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r>
              <w:rPr>
                <w:rStyle w:val="Emphasis"/>
                <w:sz w:val="16"/>
                <w:szCs w:val="16"/>
              </w:rPr>
              <w:t>What exists as this is written</w:t>
            </w:r>
            <w:r>
              <w:rPr>
                <w:sz w:val="16"/>
                <w:szCs w:val="16"/>
              </w:rPr>
              <w:t xml:space="preserve"> and </w:t>
            </w:r>
            <w:hyperlink w:anchor="sec_1" w:history="1">
              <w:r>
                <w:rPr>
                  <w:rStyle w:val="InternalRef"/>
                  <w:sz w:val="16"/>
                  <w:szCs w:val="16"/>
                </w:rPr>
                <w:t xml:space="preserve">§1</w:t>
              </w:r>
            </w:hyperlink>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both rules were restored (</w:t>
            </w:r>
            <w:hyperlink w:anchor="sec_8_7_2" w:history="1">
              <w:r>
                <w:rPr>
                  <w:rStyle w:val="InternalRef"/>
                  <w:sz w:val="16"/>
                  <w:szCs w:val="16"/>
                </w:rPr>
                <w:t xml:space="preserve">§8.7.2</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both rules, as fixed and validated before any score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score of the file with both rules off, far worse than the base configuration's (</w:t>
            </w:r>
            <w:hyperlink w:anchor="sec_8_7_1" w:history="1">
              <w:r>
                <w:rPr>
                  <w:rStyle w:val="InternalRef"/>
                  <w:sz w:val="16"/>
                  <w:szCs w:val="16"/>
                </w:rPr>
                <w:t xml:space="preserve">§8.7.1</w:t>
              </w:r>
            </w:hyperlink>
            <w:r>
              <w:rPr>
                <w:sz w:val="16"/>
                <w:szCs w:val="16"/>
              </w:rPr>
              <w:t xml:space="preserve">)</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withdraw the decision above and apply both rules in every later file: the one decision taken on a score</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reports/preregistered-2026-10-04-tails.md</w:t>
            </w:r>
            <w:r>
              <w:rPr>
                <w:sz w:val="16"/>
                <w:szCs w:val="16"/>
              </w:rPr>
              <w:t xml:space="preserve">, </w:t>
            </w:r>
            <w:r>
              <w:rPr>
                <w:rStyle w:val="Emphasis"/>
                <w:sz w:val="16"/>
                <w:szCs w:val="16"/>
              </w:rPr>
              <w:t>Why §1 is withdrawn</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adsb.lol source was kept after it failed its gate (</w:t>
            </w:r>
            <w:hyperlink w:anchor="sec_8_7_4" w:history="1">
              <w:r>
                <w:rPr>
                  <w:rStyle w:val="InternalRef"/>
                  <w:sz w:val="16"/>
                  <w:szCs w:val="16"/>
                </w:rPr>
                <w:t xml:space="preserve">§8.7.4</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pilot gate, on coverage and on how close the best estimate came to the recorded off-block time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gate's failure, and an exploratory check on the two training pilot days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continue the source into the ground-movement correction as features, with the two pilot days left out of every fit and reading; the gate's verdict stands as a measurement</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reports/preregistered-2026-10-04-adsb-after-gate.md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network manager's recorded off-block time was admitted (</w:t>
            </w:r>
            <w:hyperlink w:anchor="sec_8_7_3" w:history="1">
              <w:r>
                <w:rPr>
                  <w:rStyle w:val="InternalRef"/>
                  <w:sz w:val="16"/>
                  <w:szCs w:val="16"/>
                </w:rPr>
                <w:t xml:space="preserve">§8.7.3</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feature group and its rule, and that admitting the field would need the author's decision in writing after the verdict</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group's verdict: it cleared</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admit the field, before the configuration that uses it was built</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3" w:history="1">
              <w:r>
                <w:rPr>
                  <w:rStyle w:val="InternalRef"/>
                  <w:sz w:val="16"/>
                  <w:szCs w:val="16"/>
                </w:rPr>
                <w:t xml:space="preserve">§3</w:t>
              </w:r>
            </w:hyperlink>
            <w:r>
              <w:rPr>
                <w:sz w:val="16"/>
                <w:szCs w:val="16"/>
              </w:rPr>
              <w:t xml:space="preserve">; </w:t>
            </w:r>
            <w:r>
              <w:rPr>
                <w:rStyle w:val="SourceText"/>
                <w:sz w:val="16"/>
                <w:szCs w:val="16"/>
              </w:rPr>
              <w:t>reports/candidates-2026-10-05.md</w:t>
            </w:r>
            <w:r>
              <w:rPr>
                <w:sz w:val="16"/>
                <w:szCs w:val="16"/>
              </w:rPr>
              <w:t xml:space="preserve">, </w:t>
            </w:r>
            <w:r>
              <w:rPr>
                <w:rStyle w:val="Emphasis"/>
                <w:sz w:val="16"/>
                <w:szCs w:val="16"/>
              </w:rPr>
              <w:t>What the rule adopts</w:t>
            </w:r>
            <w:r>
              <w:rPr>
                <w:sz w:val="16"/>
                <w:szCs w:val="16"/>
              </w:rPr>
              <w:t>; the decision itself is in the author's statements, which are not published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row weights toward the target month were corrected for the class ratio (</w:t>
            </w:r>
            <w:hyperlink w:anchor="annex_K" w:history="1">
              <w:r>
                <w:rPr>
                  <w:rStyle w:val="InternalRef"/>
                  <w:sz w:val="16"/>
                  <w:szCs w:val="16"/>
                </w:rPr>
                <w:t xml:space="preserve">Annex K</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weights, their candidate and its rule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candidate's failure, with weights set by their clip rather than by their classifier</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a corrected weighting, read under the same rule; it failed, and nothing changed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reports/preregistered-2026-10-06-c8-prior.md</w:t>
            </w:r>
            <w:r>
              <w:rPr>
                <w:sz w:val="16"/>
                <w:szCs w:val="16"/>
              </w:rPr>
              <w:t xml:space="preserve">; </w:t>
            </w:r>
            <w:r>
              <w:rPr>
                <w:rStyle w:val="SourceText"/>
                <w:sz w:val="16"/>
                <w:szCs w:val="16"/>
              </w:rPr>
              <w:t>reports/candidates-2026-10-07.md</w:t>
            </w:r>
            <w:r>
              <w:rPr>
                <w:sz w:val="16"/>
                <w:szCs w:val="16"/>
              </w:rPr>
              <w:t xml:space="preserve">, </w:t>
            </w:r>
            <w:r>
              <w:rPr>
                <w:rStyle w:val="Emphasis"/>
                <w:sz w:val="16"/>
                <w:szCs w:val="16"/>
              </w:rPr>
              <w:t>What the rule adopts</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ground-movement correction was gated by coverage (</w:t>
            </w:r>
            <w:hyperlink w:anchor="sec_8_7_4" w:history="1">
              <w:r>
                <w:rPr>
                  <w:rStyle w:val="InternalRef"/>
                  <w:sz w:val="16"/>
                  <w:szCs w:val="16"/>
                </w:rPr>
                <w:t xml:space="preserve">§8.7.4</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correction's first rule; the three conditions the coverage gate was then held to</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correction's failure under its first rule in January and July, and its per-airport table</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read the correction on covered rows only; adopted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reports/preregistered-2026-10-06-last-week.md</w:t>
            </w:r>
            <w:r>
              <w:rPr>
                <w:sz w:val="16"/>
                <w:szCs w:val="16"/>
              </w:rPr>
              <w:t xml:space="preserve">, </w:t>
            </w:r>
            <w:r>
              <w:rPr>
                <w:rStyle w:val="Emphasis"/>
                <w:sz w:val="16"/>
                <w:szCs w:val="16"/>
              </w:rPr>
              <w:t>What exists as this is written</w:t>
            </w:r>
            <w:r>
              <w:rPr>
                <w:sz w:val="16"/>
                <w:szCs w:val="16"/>
              </w:rPr>
              <w:t xml:space="preserve"> and </w:t>
            </w:r>
            <w:hyperlink w:anchor="sec_2" w:history="1">
              <w:r>
                <w:rPr>
                  <w:rStyle w:val="InternalRef"/>
                  <w:sz w:val="16"/>
                  <w:szCs w:val="16"/>
                </w:rPr>
                <w:t xml:space="preserve">§2</w:t>
              </w:r>
            </w:hyperlink>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correction was gated by airport (</w:t>
            </w:r>
            <w:hyperlink w:anchor="sec_8_7_4" w:history="1">
              <w:r>
                <w:rPr>
                  <w:rStyle w:val="InternalRef"/>
                  <w:sz w:val="16"/>
                  <w:szCs w:val="16"/>
                </w:rPr>
                <w:t xml:space="preserve">§8.7.4</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coverage gate's three conditions, to which the airport gate was held with the coverage gate as its reference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coverage gate's verdict, and a review of it airport by airport: worse on covered rows at Heathrow, Fiumicino and Paris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an out-of-fold gate by airport; adopted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reports/preregistered-2026-10-06-g1n.md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Fiumicino's schedule layer was restricted to late departures (</w:t>
            </w:r>
            <w:hyperlink w:anchor="annex_K" w:history="1">
              <w:r>
                <w:rPr>
                  <w:rStyle w:val="InternalRef"/>
                  <w:sz w:val="16"/>
                  <w:szCs w:val="16"/>
                </w:rPr>
                <w:t xml:space="preserve">Annex K</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layer and its rule</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layer's failure, with a gain on late departures at the schedule and a loss on Fiumicino's other rows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to apply the stored layer to late departures only; it failed all three conditions, and nothing changed</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reports/preregistered-2026-10-06-g1n.md</w:t>
            </w:r>
          </w:p>
        </w:tc>
      </w:tr>
      <w:tr>
        <w:trPr>
          <w:cantSplit/>
        </w:trPr>
        <w:tc>
          <w:tcPr>
            <w:tcW w:w="151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flight-plan window's thresholds (</w:t>
            </w:r>
            <w:hyperlink w:anchor="sec_8_7_6" w:history="1">
              <w:r>
                <w:rPr>
                  <w:rStyle w:val="InternalRef"/>
                  <w:sz w:val="16"/>
                  <w:szCs w:val="16"/>
                </w:rPr>
                <w:t xml:space="preserve">§8.7.6</w:t>
              </w:r>
            </w:hyperlink>
            <w:r>
              <w:rPr>
                <w:sz w:val="16"/>
                <w:szCs w:val="16"/>
              </w:rPr>
              <w:t xml:space="preserve">)</w:t>
            </w:r>
          </w:p>
        </w:tc>
        <w:tc>
          <w:tcPr>
            <w:tcW w:w="1183" w:type="dxa"/>
            <w:tcBorders>
              <w:bottom w:val="single" w:sz="2" w:space="0" w:color="BBBBBB"/>
            </w:tcBorders>
          </w:tcPr>
          <w:p>
            <w:pPr>
              <w:pStyle w:val="TableContents"/>
              <w:bidi w:val="0"/>
              <w:spacing w:lineRule="auto" w:line="240" w:before="0" w:after="0"/>
              <w:jc w:val="left"/>
              <w:rPr>
                <w:sz w:val="16"/>
                <w:szCs w:val="16"/>
              </w:rPr>
            </w:pPr>
            <w:r>
              <w:rPr>
                <w:sz w:val="16"/>
                <w:szCs w:val="16"/>
              </w:rPr>
              <w:t>9 October</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the measurement, the two validity conditions and the clip, before any count of this entry's own</w:t>
            </w:r>
          </w:p>
        </w:tc>
        <w:tc>
          <w:tcPr>
            <w:tcW w:w="1785" w:type="dxa"/>
            <w:tcBorders>
              <w:bottom w:val="single" w:sz="2" w:space="0" w:color="BBBBBB"/>
            </w:tcBorders>
          </w:tcPr>
          <w:p>
            <w:pPr>
              <w:pStyle w:val="TableContents"/>
              <w:bidi w:val="0"/>
              <w:spacing w:lineRule="auto" w:line="240" w:before="0" w:after="0"/>
              <w:jc w:val="left"/>
              <w:rPr>
                <w:sz w:val="16"/>
                <w:szCs w:val="16"/>
              </w:rPr>
            </w:pPr>
            <w:r>
              <w:rPr>
                <w:sz w:val="16"/>
                <w:szCs w:val="16"/>
              </w:rPr>
              <w:t>other teams' public write-ups, which had reported the edge at 3,606 s</w:t>
            </w:r>
          </w:p>
        </w:tc>
        <w:tc>
          <w:tcPr>
            <w:tcW w:w="1648" w:type="dxa"/>
            <w:tcBorders>
              <w:bottom w:val="single" w:sz="2" w:space="0" w:color="BBBBBB"/>
            </w:tcBorders>
          </w:tcPr>
          <w:p>
            <w:pPr>
              <w:pStyle w:val="TableContents"/>
              <w:bidi w:val="0"/>
              <w:spacing w:lineRule="auto" w:line="240" w:before="0" w:after="0"/>
              <w:jc w:val="left"/>
              <w:rPr>
                <w:sz w:val="16"/>
                <w:szCs w:val="16"/>
              </w:rPr>
            </w:pPr>
            <w:r>
              <w:rPr>
                <w:sz w:val="16"/>
                <w:szCs w:val="16"/>
              </w:rPr>
              <w:t>the thresholds, the validity bound of 3,900 s among them, were set with that edge known; this entry's measurement found the same edge</w:t>
            </w:r>
          </w:p>
        </w:tc>
        <w:tc>
          <w:tcPr>
            <w:tcW w:w="206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reports/preregistered-2026-10-09-records.md</w:t>
            </w:r>
            <w:r>
              <w:rPr>
                <w:sz w:val="16"/>
                <w:szCs w:val="16"/>
              </w:rPr>
              <w:t xml:space="preserve">, its provenance paragraph; </w:t>
            </w:r>
            <w:r>
              <w:rPr>
                <w:rStyle w:val="SourceText"/>
                <w:sz w:val="16"/>
                <w:szCs w:val="16"/>
              </w:rPr>
              <w:t>reports/window.md</w:t>
            </w:r>
            <w:r>
              <w:rPr>
                <w:sz w:val="16"/>
                <w:szCs w:val="16"/>
              </w:rPr>
              <w:t xml:space="preserve">, </w:t>
            </w:r>
            <w:r>
              <w:rPr>
                <w:rStyle w:val="Emphasis"/>
                <w:sz w:val="16"/>
                <w:szCs w:val="16"/>
              </w:rPr>
              <w:t>The verdict</w:t>
            </w:r>
          </w:p>
        </w:tc>
      </w:tr>
      <w:tr>
        <w:trPr>
          <w:cantSplit/>
        </w:trPr>
        <w:tc>
          <w:tcPr>
            <w:tcW w:w="1510" w:type="dxa"/>
            <w:tcBorders>
              <w:bottom w:val="single" w:sz="6" w:space="0" w:color="000000"/>
            </w:tcBorders>
          </w:tcPr>
          <w:p>
            <w:pPr>
              <w:pStyle w:val="TableContents"/>
              <w:bidi w:val="0"/>
              <w:spacing w:lineRule="auto" w:line="240" w:before="0" w:after="0"/>
              <w:jc w:val="left"/>
              <w:rPr>
                <w:sz w:val="16"/>
                <w:szCs w:val="16"/>
              </w:rPr>
            </w:pPr>
            <w:r>
              <w:rPr>
                <w:sz w:val="16"/>
                <w:szCs w:val="16"/>
              </w:rPr>
              <w:t xml:space="preserve">two pre-upload checks of the final file were amended after they stopped its build (</w:t>
            </w:r>
            <w:hyperlink w:anchor="sec_8_7_6" w:history="1">
              <w:r>
                <w:rPr>
                  <w:rStyle w:val="InternalRef"/>
                  <w:sz w:val="16"/>
                  <w:szCs w:val="16"/>
                </w:rPr>
                <w:t xml:space="preserve">§8.7.6</w:t>
              </w:r>
            </w:hyperlink>
            <w:r>
              <w:rPr>
                <w:sz w:val="16"/>
                <w:szCs w:val="16"/>
              </w:rPr>
              <w:t xml:space="preserve">)</w:t>
            </w:r>
          </w:p>
        </w:tc>
        <w:tc>
          <w:tcPr>
            <w:tcW w:w="1183" w:type="dxa"/>
            <w:tcBorders>
              <w:bottom w:val="single" w:sz="6" w:space="0" w:color="000000"/>
            </w:tcBorders>
          </w:tcPr>
          <w:p>
            <w:pPr>
              <w:pStyle w:val="TableContents"/>
              <w:bidi w:val="0"/>
              <w:spacing w:lineRule="auto" w:line="240" w:before="0" w:after="0"/>
              <w:jc w:val="left"/>
              <w:rPr>
                <w:sz w:val="16"/>
                <w:szCs w:val="16"/>
              </w:rPr>
            </w:pPr>
            <w:r>
              <w:rPr>
                <w:sz w:val="16"/>
                <w:szCs w:val="16"/>
              </w:rPr>
              <w:t>10 October</w:t>
            </w:r>
          </w:p>
        </w:tc>
        <w:tc>
          <w:tcPr>
            <w:tcW w:w="1785" w:type="dxa"/>
            <w:tcBorders>
              <w:bottom w:val="single" w:sz="6" w:space="0" w:color="000000"/>
            </w:tcBorders>
          </w:tcPr>
          <w:p>
            <w:pPr>
              <w:pStyle w:val="TableContents"/>
              <w:bidi w:val="0"/>
              <w:spacing w:lineRule="auto" w:line="240" w:before="0" w:after="0"/>
              <w:jc w:val="left"/>
              <w:rPr>
                <w:sz w:val="16"/>
                <w:szCs w:val="16"/>
              </w:rPr>
            </w:pPr>
            <w:r>
              <w:rPr>
                <w:sz w:val="16"/>
                <w:szCs w:val="16"/>
              </w:rPr>
              <w:t>the checks: every prediction finite and positive, and the January and July predictions equal to a control's</w:t>
            </w:r>
          </w:p>
        </w:tc>
        <w:tc>
          <w:tcPr>
            <w:tcW w:w="1785" w:type="dxa"/>
            <w:tcBorders>
              <w:bottom w:val="single" w:sz="6" w:space="0" w:color="000000"/>
            </w:tcBorders>
          </w:tcPr>
          <w:p>
            <w:pPr>
              <w:pStyle w:val="TableContents"/>
              <w:bidi w:val="0"/>
              <w:spacing w:lineRule="auto" w:line="240" w:before="0" w:after="0"/>
              <w:jc w:val="left"/>
              <w:rPr>
                <w:sz w:val="16"/>
                <w:szCs w:val="16"/>
              </w:rPr>
            </w:pPr>
            <w:r>
              <w:rPr>
                <w:sz w:val="16"/>
                <w:szCs w:val="16"/>
              </w:rPr>
              <w:t>the build stopped on both: on predictions of exactly zero, which the build has written wherever the model's value falls below zero, and on July rows that differed only through the correction's neighboring departures</w:t>
            </w:r>
          </w:p>
        </w:tc>
        <w:tc>
          <w:tcPr>
            <w:tcW w:w="1648" w:type="dxa"/>
            <w:tcBorders>
              <w:bottom w:val="single" w:sz="6" w:space="0" w:color="000000"/>
            </w:tcBorders>
          </w:tcPr>
          <w:p>
            <w:pPr>
              <w:pStyle w:val="TableContents"/>
              <w:bidi w:val="0"/>
              <w:spacing w:lineRule="auto" w:line="240" w:before="0" w:after="0"/>
              <w:jc w:val="left"/>
              <w:rPr>
                <w:sz w:val="16"/>
                <w:szCs w:val="16"/>
              </w:rPr>
            </w:pPr>
            <w:r>
              <w:rPr>
                <w:sz w:val="16"/>
                <w:szCs w:val="16"/>
              </w:rPr>
              <w:t>to count a zero and stop on a negative, and to accept a difference that a neighbor's moved base explains; no prediction changed, and the file is the same bytes before and after</w:t>
            </w:r>
          </w:p>
        </w:tc>
        <w:tc>
          <w:tcPr>
            <w:tcW w:w="2061" w:type="dxa"/>
            <w:tcBorders>
              <w:bottom w:val="single" w:sz="6" w:space="0" w:color="000000"/>
            </w:tcBorders>
          </w:tcPr>
          <w:p>
            <w:pPr>
              <w:pStyle w:val="TableContents"/>
              <w:bidi w:val="0"/>
              <w:spacing w:lineRule="auto" w:line="240" w:before="0" w:after="0"/>
              <w:jc w:val="left"/>
              <w:rPr>
                <w:sz w:val="16"/>
                <w:szCs w:val="16"/>
              </w:rPr>
            </w:pPr>
            <w:r>
              <w:rPr>
                <w:sz w:val="16"/>
                <w:szCs w:val="16"/>
              </w:rPr>
              <w:t xml:space="preserve">the checks in </w:t>
            </w:r>
            <w:r>
              <w:rPr>
                <w:rStyle w:val="SourceText"/>
                <w:sz w:val="16"/>
                <w:szCs w:val="16"/>
              </w:rPr>
              <w:t>reports/preregistered-2026-10-08-final-phase.md</w:t>
            </w:r>
            <w:r>
              <w:rPr>
                <w:sz w:val="16"/>
                <w:szCs w:val="16"/>
              </w:rPr>
              <w:t xml:space="preserve">, </w:t>
            </w:r>
            <w:hyperlink w:anchor="sec_2" w:history="1">
              <w:r>
                <w:rPr>
                  <w:rStyle w:val="InternalRef"/>
                  <w:sz w:val="16"/>
                  <w:szCs w:val="16"/>
                </w:rPr>
                <w:t xml:space="preserve">§2</w:t>
              </w:r>
            </w:hyperlink>
            <w:r>
              <w:rPr>
                <w:sz w:val="16"/>
                <w:szCs w:val="16"/>
              </w:rPr>
              <w:t xml:space="preserve">, and </w:t>
            </w:r>
            <w:r>
              <w:rPr>
                <w:rStyle w:val="SourceText"/>
                <w:sz w:val="16"/>
                <w:szCs w:val="16"/>
              </w:rPr>
              <w:t>reports/preregistered-2026-10-09-jj-check.md</w:t>
            </w:r>
            <w:r>
              <w:rPr>
                <w:sz w:val="16"/>
                <w:szCs w:val="16"/>
              </w:rPr>
              <w:t xml:space="preserve">, </w:t>
            </w:r>
            <w:hyperlink w:anchor="sec_1" w:history="1">
              <w:r>
                <w:rPr>
                  <w:rStyle w:val="InternalRef"/>
                  <w:sz w:val="16"/>
                  <w:szCs w:val="16"/>
                </w:rPr>
                <w:t xml:space="preserve">§1</w:t>
              </w:r>
            </w:hyperlink>
            <w:r>
              <w:rPr>
                <w:sz w:val="16"/>
                <w:szCs w:val="16"/>
              </w:rPr>
              <w:t xml:space="preserve">; the amendment of 10 October, which is not published</w:t>
            </w:r>
          </w:p>
        </w:tc>
      </w:tr>
    </w:tbl>
    <w:p>
      <w:pPr>
        <w:pStyle w:val="BodyText"/>
        <w:bidi w:val="0"/>
        <w:spacing w:lineRule="auto" w:line="276" w:before="160" w:after="140"/>
        <w:jc w:val="left"/>
        <w:rPr/>
      </w:pPr>
      <w:r>
        <w:rPr/>
        <w:t xml:space="preserve">Nothing in the model is synthetic: the one fictional airport in the repository (</w:t>
      </w:r>
      <w:hyperlink w:anchor="sec_5_2" w:history="1">
        <w:r>
          <w:rPr>
            <w:rStyle w:val="InternalRef"/>
          </w:rPr>
          <w:t xml:space="preserve">§5.2</w:t>
        </w:r>
      </w:hyperlink>
      <w:r>
        <w:rPr/>
        <w:t xml:space="preserve">) tests the geometry pipeline and is held out of every feature, fit and figure by a check. The provenance register classes each constant the code holds as mechanism, quoted, derived or chosen. A chosen one carries its reason or is marked as having none on record, rather than given a reason after the fact (</w:t>
      </w:r>
      <w:r>
        <w:rPr>
          <w:rStyle w:val="SourceText"/>
        </w:rPr>
        <w:t>docs/provenance.md</w:t>
      </w:r>
      <w:r>
        <w:rPr/>
        <w:t>).</w:t>
      </w:r>
    </w:p>
    <w:p>
      <w:pPr>
        <w:pStyle w:val="SourceNote"/>
        <w:bidi w:val="0"/>
        <w:spacing w:lineRule="auto" w:line="252" w:before="0" w:after="200"/>
        <w:jc w:val="left"/>
        <w:rPr/>
      </w:pPr>
      <w:r>
        <w:rPr/>
        <w:t xml:space="preserve">Sources: </w:t>
      </w:r>
      <w:r>
        <w:rPr>
          <w:rStyle w:val="SourceText"/>
          <w:sz w:val="18"/>
          <w:szCs w:val="18"/>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sz w:val="18"/>
          <w:szCs w:val="18"/>
        </w:rPr>
        <w:t>reports/data_review.md</w:t>
      </w:r>
      <w:r>
        <w:rPr/>
        <w:t xml:space="preserve">, </w:t>
      </w:r>
      <w:r>
        <w:rPr>
          <w:rStyle w:val="Emphasis"/>
        </w:rPr>
        <w:t>Stands</w:t>
      </w:r>
      <w:r>
        <w:rPr/>
        <w:t xml:space="preserve">; </w:t>
      </w:r>
      <w:r>
        <w:rPr>
          <w:rStyle w:val="SourceText"/>
          <w:sz w:val="18"/>
          <w:szCs w:val="18"/>
        </w:rPr>
        <w:t>reports/geometry_gaps.md</w:t>
      </w:r>
      <w:r>
        <w:rPr/>
        <w:t xml:space="preserve">, </w:t>
      </w:r>
      <w:r>
        <w:rPr>
          <w:rStyle w:val="Emphasis"/>
        </w:rPr>
        <w:t>The intersection signature, per designator</w:t>
      </w:r>
      <w:r>
        <w:rPr/>
        <w:t xml:space="preserve">; </w:t>
      </w:r>
      <w:r>
        <w:rPr>
          <w:rStyle w:val="SourceText"/>
          <w:sz w:val="18"/>
          <w:szCs w:val="18"/>
        </w:rPr>
        <w:t>src/taxiout/models.py</w:t>
      </w:r>
      <w:r>
        <w:rPr/>
        <w:t xml:space="preserve">, the comment on </w:t>
      </w:r>
      <w:r>
        <w:rPr>
          <w:rStyle w:val="SourceText"/>
          <w:sz w:val="18"/>
          <w:szCs w:val="18"/>
        </w:rPr>
        <w:t>BOOSTER_PARAMS</w:t>
      </w:r>
      <w:r>
        <w:rPr/>
        <w:t xml:space="preserve">; </w:t>
      </w:r>
      <w:r>
        <w:rPr>
          <w:rStyle w:val="SourceText"/>
          <w:sz w:val="18"/>
          <w:szCs w:val="18"/>
        </w:rPr>
        <w:t>reports/ranking-refresh-2026-09-28.md</w:t>
      </w:r>
      <w:r>
        <w:rPr/>
        <w:t xml:space="preserve">, a dated record; </w:t>
      </w:r>
      <w:r>
        <w:rPr>
          <w:rStyle w:val="SourceText"/>
          <w:sz w:val="18"/>
          <w:szCs w:val="18"/>
        </w:rPr>
        <w:t>reports/baseline.md</w:t>
      </w:r>
      <w:r>
        <w:rPr/>
        <w:t xml:space="preserve">, </w:t>
      </w:r>
      <w:r>
        <w:rPr>
          <w:rStyle w:val="Emphasis"/>
        </w:rPr>
        <w:t>The noise floor</w:t>
      </w:r>
      <w:r>
        <w:rPr/>
        <w:t xml:space="preserve">, </w:t>
      </w:r>
      <w:r>
        <w:rPr>
          <w:rStyle w:val="Emphasis"/>
        </w:rPr>
        <w:t>Held-out pairs</w:t>
      </w:r>
      <w:r>
        <w:rPr/>
        <w:t xml:space="preserve">, </w:t>
      </w:r>
      <w:r>
        <w:rPr>
          <w:rStyle w:val="Emphasis"/>
        </w:rPr>
        <w:t>Seed averaging</w:t>
      </w:r>
      <w:r>
        <w:rPr/>
        <w:t xml:space="preserve"> and </w:t>
      </w:r>
      <w:r>
        <w:rPr>
          <w:rStyle w:val="Emphasis"/>
        </w:rPr>
        <w:t>The shrunk identifier encoding</w:t>
      </w:r>
      <w:r>
        <w:rPr/>
        <w:t xml:space="preserve">; </w:t>
      </w:r>
      <w:r>
        <w:rPr>
          <w:rStyle w:val="SourceText"/>
          <w:sz w:val="18"/>
          <w:szCs w:val="18"/>
        </w:rPr>
        <w:t>docs/provenance.md</w:t>
      </w:r>
      <w:r>
        <w:rPr/>
        <w:t xml:space="preserve">; </w:t>
      </w:r>
      <w:r>
        <w:rPr>
          <w:rStyle w:val="SourceText"/>
          <w:sz w:val="18"/>
          <w:szCs w:val="18"/>
        </w:rPr>
        <w:t>reports/monthly_seeds.md</w:t>
      </w:r>
      <w:r>
        <w:rPr/>
        <w:t xml:space="preserve">, </w:t>
      </w:r>
      <w:r>
        <w:rPr>
          <w:rStyle w:val="Emphasis"/>
        </w:rPr>
        <w:t>Per month and over the year</w:t>
      </w:r>
      <w:r>
        <w:rPr/>
        <w:t xml:space="preserve">; </w:t>
      </w:r>
      <w:r>
        <w:rPr>
          <w:rStyle w:val="SourceText"/>
          <w:sz w:val="18"/>
          <w:szCs w:val="18"/>
        </w:rPr>
        <w:t>reports/preregistered-2026-10-02.md</w:t>
      </w:r>
      <w:r>
        <w:rPr/>
        <w:t xml:space="preserve">, a dated record; </w:t>
      </w:r>
      <w:r>
        <w:rPr>
          <w:rStyle w:val="SourceText"/>
          <w:sz w:val="18"/>
          <w:szCs w:val="18"/>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 xml:space="preserve">; </w:t>
      </w:r>
      <w:r>
        <w:rPr>
          <w:rStyle w:val="SourceText"/>
          <w:sz w:val="18"/>
          <w:szCs w:val="18"/>
        </w:rPr>
        <w:t>docs/review_headroom.md</w:t>
      </w:r>
      <w:r>
        <w:rPr/>
        <w:t xml:space="preserve">, </w:t>
      </w:r>
      <w:hyperlink w:anchor="sec_2" w:history="1">
        <w:r>
          <w:rPr>
            <w:rStyle w:val="InternalRef"/>
          </w:rPr>
          <w:t xml:space="preserve">§2</w:t>
        </w:r>
      </w:hyperlink>
      <w:r>
        <w:rPr/>
        <w:t xml:space="preserve"> and </w:t>
      </w:r>
      <w:hyperlink w:anchor="sec_6" w:history="1">
        <w:r>
          <w:rPr>
            <w:rStyle w:val="InternalRef"/>
          </w:rPr>
          <w:t xml:space="preserve">§6</w:t>
        </w:r>
      </w:hyperlink>
      <w:r>
        <w:rPr/>
        <w:t xml:space="preserve">, a dated record of 8 September; </w:t>
      </w:r>
      <w:r>
        <w:rPr>
          <w:rStyle w:val="SourceText"/>
          <w:sz w:val="18"/>
          <w:szCs w:val="18"/>
        </w:rPr>
        <w:t>reports/preregistered-2026-10-04.md</w:t>
      </w:r>
      <w:r>
        <w:rPr/>
        <w:t xml:space="preserve">, </w:t>
      </w:r>
      <w:r>
        <w:rPr>
          <w:rStyle w:val="SourceText"/>
          <w:sz w:val="18"/>
          <w:szCs w:val="18"/>
        </w:rPr>
        <w:t>reports/preregistered-2026-10-04-tails.md</w:t>
      </w:r>
      <w:r>
        <w:rPr/>
        <w:t xml:space="preserve">, </w:t>
      </w:r>
      <w:r>
        <w:rPr>
          <w:rStyle w:val="SourceText"/>
          <w:sz w:val="18"/>
          <w:szCs w:val="18"/>
        </w:rPr>
        <w:t>reports/preregistered-2026-10-04-adsb-after-gate.md</w:t>
      </w:r>
      <w:r>
        <w:rPr/>
        <w:t xml:space="preserve">, </w:t>
      </w:r>
      <w:r>
        <w:rPr>
          <w:rStyle w:val="SourceText"/>
          <w:sz w:val="18"/>
          <w:szCs w:val="18"/>
        </w:rPr>
        <w:t>reports/preregistered-2026-10-06-c8-prior.md</w:t>
      </w:r>
      <w:r>
        <w:rPr/>
        <w:t xml:space="preserve">, </w:t>
      </w:r>
      <w:r>
        <w:rPr>
          <w:rStyle w:val="SourceText"/>
          <w:sz w:val="18"/>
          <w:szCs w:val="18"/>
        </w:rPr>
        <w:t>reports/preregistered-2026-10-06-last-week.md</w:t>
      </w:r>
      <w:r>
        <w:rPr/>
        <w:t xml:space="preserve">, </w:t>
      </w:r>
      <w:r>
        <w:rPr>
          <w:rStyle w:val="SourceText"/>
          <w:sz w:val="18"/>
          <w:szCs w:val="18"/>
        </w:rPr>
        <w:t>reports/preregistered-2026-10-06-g1n.md</w:t>
      </w:r>
      <w:r>
        <w:rPr/>
        <w:t xml:space="preserve"> and </w:t>
      </w:r>
      <w:r>
        <w:rPr>
          <w:rStyle w:val="SourceText"/>
          <w:sz w:val="18"/>
          <w:szCs w:val="18"/>
        </w:rPr>
        <w:t>reports/preregistered-2026-10-09-records.md</w:t>
      </w:r>
      <w:r>
        <w:rPr/>
        <w:t xml:space="preserve">, dated records; </w:t>
      </w:r>
      <w:r>
        <w:rPr>
          <w:rStyle w:val="SourceText"/>
          <w:sz w:val="18"/>
          <w:szCs w:val="18"/>
        </w:rPr>
        <w:t>reports/candidates-2026-10-05.md</w:t>
      </w:r>
      <w:r>
        <w:rPr/>
        <w:t xml:space="preserve">, </w:t>
      </w:r>
      <w:r>
        <w:rPr>
          <w:rStyle w:val="Emphasis"/>
        </w:rPr>
        <w:t>What the rule adopts</w:t>
      </w:r>
      <w:r>
        <w:rPr/>
        <w:t xml:space="preserve">; </w:t>
      </w:r>
      <w:r>
        <w:rPr>
          <w:rStyle w:val="SourceText"/>
          <w:sz w:val="18"/>
          <w:szCs w:val="18"/>
        </w:rPr>
        <w:t>reports/candidates-2026-10-07.md</w:t>
      </w:r>
      <w:r>
        <w:rPr/>
        <w:t xml:space="preserve">, </w:t>
      </w:r>
      <w:r>
        <w:rPr>
          <w:rStyle w:val="Emphasis"/>
        </w:rPr>
        <w:t>What the rule adopts</w:t>
      </w:r>
      <w:r>
        <w:rPr/>
        <w:t xml:space="preserve">; </w:t>
      </w:r>
      <w:r>
        <w:rPr>
          <w:rStyle w:val="SourceText"/>
          <w:sz w:val="18"/>
          <w:szCs w:val="18"/>
        </w:rPr>
        <w:t>reports/window.md</w:t>
      </w:r>
      <w:r>
        <w:rPr/>
        <w:t xml:space="preserve">, </w:t>
      </w:r>
      <w:r>
        <w:rPr>
          <w:rStyle w:val="Emphasis"/>
        </w:rPr>
        <w:t>The verdict</w:t>
      </w:r>
      <w:r>
        <w:rPr/>
        <w:t>.</w:t>
      </w:r>
    </w:p>
    <w:p>
      <w:pPr>
        <w:pStyle w:val="Heading3"/>
        <w:numPr>
          <w:ilvl w:val="0"/>
          <w:numId w:val="0"/>
        </w:numPr>
        <w:bidi w:val="0"/>
        <w:spacing w:before="140" w:after="120"/>
        <w:jc w:val="left"/>
        <w:rPr/>
      </w:pPr>
      <w:bookmarkStart w:id="217" w:name="sec_9_4"/>
      <w:bookmarkStart w:id="216" w:name="_Toc000059"/>
      <w:r>
        <w:rPr/>
        <w:t>9.4 A ceiling that measured the wrong thing</w:t>
      </w:r>
      <w:bookmarkEnd w:id="216"/>
      <w:bookmarkEnd w:id="217"/>
    </w:p>
    <w:p>
      <w:pPr>
        <w:pStyle w:val="BodyText"/>
        <w:bidi w:val="0"/>
        <w:spacing w:lineRule="auto" w:line="276" w:before="0" w:after="140"/>
        <w:jc w:val="left"/>
        <w:rPr/>
      </w:pPr>
      <w:r>
        <w:rPr/>
        <w:t xml:space="preserve">The headroom estimate of </w:t>
      </w:r>
      <w:hyperlink w:anchor="sec_7_4" w:history="1">
        <w:r>
          <w:rPr>
            <w:rStyle w:val="InternalRef"/>
          </w:rPr>
          <w:t xml:space="preserve">§7.4</w:t>
        </w:r>
      </w:hyperlink>
      <w:r>
        <w:rPr/>
        <w:t xml:space="preserve"> was wrong twice, and the two errors are worth more than the number they were about.</w:t>
      </w:r>
    </w:p>
    <w:p>
      <w:pPr>
        <w:pStyle w:val="BodyText"/>
        <w:bidi w:val="0"/>
        <w:spacing w:lineRule="auto" w:line="276" w:before="0" w:after="140"/>
        <w:jc w:val="left"/>
        <w:rPr/>
      </w:pPr>
      <w:r>
        <w:rPr/>
        <w:t xml:space="preserve">The first was arithmetic. The estimate scales each pair-frequency bucket's airport-mean error by the ratio the control, the </w:t>
      </w:r>
      <w:r>
        <w:rPr>
          <w:rStyle w:val="SourceText"/>
        </w:rPr>
        <w:t>+ weather</w:t>
      </w:r>
      <w:r>
        <w:rPr/>
        <w:t xml:space="preserve"> rung, achieves on pairs seen more than a hundred times,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but then added its size as if it were positive. That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spacing w:lineRule="auto" w:line="276" w:before="0" w:after="140"/>
        <w:jc w:val="left"/>
        <w:rPr/>
      </w:pPr>
      <w:r>
        <w:rPr/>
        <w:t xml:space="preserve">The second is the one that matters. The ceiling was not wrong about what it measured; it measured the wrong thing. It assumed, by construction, that the bucket carrying 91% of the December split's rows had no headroom at all (the ratio was defined from it), and it looked only at the rarely seen pairs the block was designed for. The block then took 84% of its gain from exactly that bucket. A ceiling that can only see the target of a feature cannot bound a feature whose mechanism is not the one it was named for. The honest reading of "smoothed memorization" in </w:t>
      </w:r>
      <w:hyperlink w:anchor="sec_7_4" w:history="1">
        <w:r>
          <w:rPr>
            <w:rStyle w:val="InternalRef"/>
          </w:rPr>
          <w:t xml:space="preserve">§7.4</w:t>
        </w:r>
      </w:hyperlink>
      <w:r>
        <w:rPr/>
        <w:t xml:space="preserve"> is that the mechanism was never the one the ceiling was built to measure. The lesson is not that the ceiling should have been larger. It is that a bound computed only where a block is meant to help bounds only that intended effect, and the report that carries it should say so before the versions are fitted, not after.</w:t>
      </w:r>
    </w:p>
    <w:p>
      <w:pPr>
        <w:pStyle w:val="SourceNote"/>
        <w:bidi w:val="0"/>
        <w:spacing w:lineRule="auto" w:line="252" w:before="0" w:after="200"/>
        <w:jc w:val="left"/>
        <w:rPr/>
      </w:pPr>
      <w:r>
        <w:rPr/>
        <w:t xml:space="preserve">Source: </w:t>
      </w:r>
      <w:r>
        <w:rPr>
          <w:rStyle w:val="SourceText"/>
          <w:sz w:val="18"/>
          <w:szCs w:val="18"/>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numPr>
          <w:ilvl w:val="0"/>
          <w:numId w:val="0"/>
        </w:numPr>
        <w:bidi w:val="0"/>
        <w:spacing w:before="140" w:after="120"/>
        <w:jc w:val="left"/>
        <w:rPr/>
      </w:pPr>
      <w:bookmarkStart w:id="219" w:name="sec_9_5"/>
      <w:bookmarkStart w:id="218" w:name="_Toc000060"/>
      <w:r>
        <w:rPr/>
        <w:t>9.5 What the residual actually is</w:t>
      </w:r>
      <w:bookmarkEnd w:id="218"/>
      <w:bookmarkEnd w:id="219"/>
    </w:p>
    <w:p>
      <w:pPr>
        <w:pStyle w:val="BodyText"/>
        <w:bidi w:val="0"/>
        <w:spacing w:lineRule="auto" w:line="276" w:before="0" w:after="140"/>
        <w:jc w:val="left"/>
        <w:rPr/>
      </w:pPr>
      <w:r>
        <w:rPr/>
        <w:t xml:space="preserve">The error the model has left is a thin tail of individual holds. Three measurements say so, and none of them is the absence of a queue model. Every figure in this section is computed from the stored validation residuals of the base configuration's rung fitted once, at the ladder's seed; the five-seed average of </w:t>
      </w:r>
      <w:hyperlink w:anchor="sec_8" w:history="1">
        <w:r>
          <w:rPr>
            <w:rStyle w:val="InternalRef"/>
          </w:rPr>
          <w:t xml:space="preserve">§8</w:t>
        </w:r>
      </w:hyperlink>
      <w:r>
        <w:rPr/>
        <w:t xml:space="preserve"> stores no residuals.</w:t>
      </w:r>
    </w:p>
    <w:p>
      <w:pPr>
        <w:pStyle w:val="BodyText"/>
        <w:bidi w:val="0"/>
        <w:spacing w:lineRule="auto" w:line="276" w:before="0" w:after="14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airports (Frankfurt, Heathrow and Schiphol), the same tail is 1.82% of the rows and 48.6% of the squared error, with 55% of those rows under-predicted. The under-predicted rows among those over ten minutes have a median actual taxi-out of 2,221 s against a median prediction of 1,356 s in December, and 2,597 against 1,695 on the July three. Their ninetieth percentile is 3,466 s in December and 4,430 on the July three.</w:t>
      </w:r>
    </w:p>
    <w:p>
      <w:pPr>
        <w:pStyle w:val="BodyText"/>
        <w:keepNext w:val="true"/>
        <w:bidi w:val="0"/>
        <w:spacing w:before="115" w:after="58"/>
        <w:jc w:val="center"/>
        <w:rPr/>
      </w:pPr>
      <w:r>
        <w:rPr/>
        <w:drawing>
          <wp:inline distT="0" distB="0" distL="0" distR="0">
            <wp:extent cx="6332220" cy="4163695"/>
            <wp:effectExtent l="0" t="0" r="0" b="0"/>
            <wp:docPr id="7" name="Image7" descr="The residual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The residual tail"/>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6332220" cy="4163695"/>
                    </a:xfrm>
                    <a:prstGeom prst="rect">
                      <a:avLst/>
                    </a:prstGeom>
                    <a:noFill/>
                  </pic:spPr>
                </pic:pic>
              </a:graphicData>
            </a:graphic>
          </wp:inline>
        </w:drawing>
      </w:r>
    </w:p>
    <w:p>
      <w:pPr>
        <w:pStyle w:val="BodyText"/>
        <w:bidi w:val="0"/>
        <w:spacing w:lineRule="auto" w:line="276" w:before="0" w:after="140"/>
        <w:jc w:val="left"/>
        <w:rPr/>
      </w:pPr>
      <w:r>
        <w:rPr>
          <w:rStyle w:val="Strong"/>
        </w:rPr>
        <w:t>Figure 5.</w:t>
      </w:r>
      <w:r>
        <w:rPr/>
        <w:t xml:space="preserve"> The residual tail. Rows more than twenty minutes off are 0.23% of December's rows and 17.2% of its squared error, and four in five of them are under-predictions. On the three July airports the same rows are 0.33% of the rows, 31.4% of the squared error and two in three under-predictions.</w:t>
      </w:r>
    </w:p>
    <w:p>
      <w:pPr>
        <w:pStyle w:val="BodyText"/>
        <w:bidi w:val="0"/>
        <w:spacing w:lineRule="auto" w:line="276" w:before="0" w:after="140"/>
        <w:jc w:val="left"/>
        <w:rPr/>
      </w:pPr>
      <w:r>
        <w:rPr>
          <w:rStyle w:val="Strong"/>
        </w:rPr>
        <w:t>It is not shared.</w:t>
      </w:r>
      <w:r>
        <w:rPr/>
        <w:t xml:space="preserve"> The oracle of </w:t>
      </w:r>
      <w:hyperlink w:anchor="sec_6_4" w:history="1">
        <w:r>
          <w:rPr>
            <w:rStyle w:val="InternalRef"/>
          </w:rPr>
          <w:t xml:space="preserve">§6.4</w:t>
        </w:r>
      </w:hyperlink>
      <w:r>
        <w:rPr/>
        <w:t xml:space="preserve"> regresses a departure's residual on its same-runway neighbors' mean residual, a quantity no admissible feature may read. On the base configuration it would lower the error by 8.2 s in December and 8.3 in July, and the lag-1 autocorrelation of consecutive residuals under two minutes apart is 0.19 and 0.09. A queue everyone stands in would show in both. These misses belong to one aircraft at a time.</w:t>
      </w:r>
    </w:p>
    <w:p>
      <w:pPr>
        <w:pStyle w:val="BodyText"/>
        <w:bidi w:val="0"/>
        <w:spacing w:lineRule="auto" w:line="276" w:before="0" w:after="140"/>
        <w:jc w:val="left"/>
        <w:rPr/>
      </w:pPr>
      <w:r>
        <w:rPr>
          <w:rStyle w:val="Strong"/>
        </w:rPr>
        <w:t>It is enriched where individual holds live.</w:t>
      </w:r>
      <w:r>
        <w:rPr/>
        <w:t xml:space="preserve"> Heavies are 21.6% of December's rows and 33.3% of its worst one percent of residuals. Departures without a Network Manager record are 0.94% of the rows, 4.8% of the worst one percent and 3.6% of the squared error in December, and 1.99%, 11.0% and 14.8% on the July three, where they run at 641 s RMSE against 235.1 for the three pooled. The missing record is itself a delay signal, since a plan canceled and refiled after a long delay loses its join. Departures whose stand was taken by an aircraft of another type twenty to forty-five minutes before take-off, the rows </w:t>
      </w:r>
      <w:hyperlink w:anchor="sec_6_5" w:history="1">
        <w:r>
          <w:rPr>
            <w:rStyle w:val="InternalRef"/>
          </w:rPr>
          <w:t xml:space="preserve">§6.5</w:t>
        </w:r>
      </w:hyperlink>
      <w:r>
        <w:rPr/>
        <w:t xml:space="preserve">'s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The error also grows with the plan lag, as it must when a long lag can mean either an ordinary gate delay or a long hold and the model can only predict their average.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spacing w:lineRule="auto" w:line="276" w:before="0" w:after="14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spacing w:lineRule="auto" w:line="276" w:before="0" w:after="140"/>
        <w:jc w:val="left"/>
        <w:rPr/>
      </w:pPr>
      <w:r>
        <w:rPr>
          <w:rStyle w:val="Strong"/>
        </w:rPr>
        <w:t>Over the year, the last three blocks of the ladder are mostly a Fiumicino correction.</w:t>
      </w:r>
      <w:r>
        <w:rPr/>
        <w:t xml:space="preserve"> The callsign prefix, the destination block and the plan differences take 86.0%, 58.3% and 35.4% of their year-level reduction in squared error at Fiumicino, every part of it on rows with a flight-plan record. The first block's change at that airport is −22.1 s, against −3.3 pooled over the ten. That is the operator's identity doing at one airport what it does nowhere else, at the airport whose ordinary months run from 275.8 to 386.6 s (</w:t>
      </w:r>
      <w:hyperlink w:anchor="sec_8_3" w:history="1">
        <w:r>
          <w:rPr>
            <w:rStyle w:val="InternalRef"/>
          </w:rPr>
          <w:t xml:space="preserve">§8.3</w:t>
        </w:r>
      </w:hyperlink>
      <w:r>
        <w:rPr/>
        <w:t xml:space="preserve">). For the plan differences the share falls from 35.4% to 26.5% when the one July day-shift row is left out, so part of that block's year-level worth is one departure (</w:t>
      </w:r>
      <w:hyperlink w:anchor="annex_H" w:history="1">
        <w:r>
          <w:rPr>
            <w:rStyle w:val="InternalRef"/>
          </w:rPr>
          <w:t xml:space="preserve">Annex H</w:t>
        </w:r>
      </w:hyperlink>
      <w:r>
        <w:rPr/>
        <w:t xml:space="preserve">). On the forward splits the three blocks are read in </w:t>
      </w:r>
      <w:hyperlink w:anchor="sec_7_2" w:history="1">
        <w:r>
          <w:rPr>
            <w:rStyle w:val="InternalRef"/>
          </w:rPr>
          <w:t xml:space="preserve">§7.2</w:t>
        </w:r>
      </w:hyperlink>
      <w:r>
        <w:rPr/>
        <w:t xml:space="preserve">.</w:t>
      </w:r>
    </w:p>
    <w:p>
      <w:pPr>
        <w:pStyle w:val="BodyText"/>
        <w:bidi w:val="0"/>
        <w:spacing w:lineRule="auto" w:line="276" w:before="0" w:after="140"/>
        <w:jc w:val="left"/>
        <w:rPr/>
      </w:pPr>
      <w:r>
        <w:rPr>
          <w:rStyle w:val="Strong"/>
        </w:rPr>
        <w:t>Neither concentration can become a feature.</w:t>
      </w:r>
      <w:r>
        <w:rPr/>
        <w:t xml:space="preserve"> Heathrow's July afternoons and the rows without a record are both already visible to the model. The hour of take-off, the runway, the plan-lag band and the presence of a record are columns the base configuration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w:t>
      </w:r>
      <w:hyperlink w:anchor="sec_7_3" w:history="1">
        <w:r>
          <w:rPr>
            <w:rStyle w:val="InternalRef"/>
          </w:rPr>
          <w:t xml:space="preserve">§7.3</w:t>
        </w:r>
      </w:hyperlink>
      <w:r>
        <w:rPr/>
        <w:t xml:space="preserve">). The oracle of </w:t>
      </w:r>
      <w:hyperlink w:anchor="sec_6_4" w:history="1">
        <w:r>
          <w:rPr>
            <w:rStyle w:val="InternalRef"/>
          </w:rPr>
          <w:t xml:space="preserve">§6.4</w:t>
        </w:r>
      </w:hyperlink>
      <w:r>
        <w:rPr/>
        <w:t xml:space="preserve">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The individual days are not listed, because picking out days after seeing the errors would be searching for a pattern rather than describing one.</w:t>
      </w:r>
    </w:p>
    <w:p>
      <w:pPr>
        <w:pStyle w:val="BodyText"/>
        <w:bidi w:val="0"/>
        <w:spacing w:lineRule="auto" w:line="276" w:before="0" w:after="140"/>
        <w:jc w:val="left"/>
        <w:rPr/>
      </w:pPr>
      <w:r>
        <w:rPr>
          <w:rStyle w:val="Strong"/>
        </w:rPr>
        <w:t>One row, and which July figure this paper quotes.</w:t>
      </w:r>
      <w:r>
        <w:rPr/>
        <w:t xml:space="preserve"> Over all ten airports the July split's RMSE on the rows the record-quality term does not take, at the ladder's single seed, is 322.4 s. One departure at Fiumicino carries 33.8% of that figure's squared error. It records a taxi-out of 87,002 seconds, a day-shift in a cell the record-quality term does not cover, so no term touches it, and the four-hour exclusion is fit-side only and never reaches the scoring set. While July 2026 held no Fiumicino row, that was the reason to quote the three-airport figure, 235.1 s on the same seed, as the July figure, and this paper did so until the re-issued set was read. July 2026 now holds 15,838 Fiumicino departures (</w:t>
      </w:r>
      <w:hyperlink w:anchor="sec_2_1" w:history="1">
        <w:r>
          <w:rPr>
            <w:rStyle w:val="InternalRef"/>
          </w:rPr>
          <w:t xml:space="preserve">§2.1</w:t>
        </w:r>
      </w:hyperlink>
      <w:r>
        <w:rPr/>
        <w:t xml:space="preserve">), and a row of this kind among them is scored at its recorded value exactly as this one is. The ten-airport figure is therefore the one </w:t>
      </w:r>
      <w:hyperlink w:anchor="sec_8" w:history="1">
        <w:r>
          <w:rPr>
            <w:rStyle w:val="InternalRef"/>
          </w:rPr>
          <w:t xml:space="preserve">§8</w:t>
        </w:r>
      </w:hyperlink>
      <w:r>
        <w:rPr/>
        <w:t xml:space="preserve"> quotes, and the three-airport one is kept beside it. The rule that decided which blocks entered the model was applied to the ten-airport figure as written in advance, and this section does not revisit it.</w:t>
      </w:r>
    </w:p>
    <w:p>
      <w:pPr>
        <w:pStyle w:val="BodyText"/>
        <w:bidi w:val="0"/>
        <w:spacing w:lineRule="auto" w:line="276" w:before="0" w:after="140"/>
        <w:jc w:val="left"/>
        <w:rPr/>
      </w:pPr>
      <w:r>
        <w:rPr/>
        <w:t>What is left is individual and not shared, and no field the base configuration's screen tested predicts it. Every exposed field the model did not yet read was tested for predictive value before any feature was built from it (</w:t>
      </w:r>
      <w:r>
        <w:rPr>
          <w:rStyle w:val="SourceText"/>
        </w:rPr>
        <w:t>docs/review_headroom.md</w:t>
      </w:r>
      <w:r>
        <w:rPr/>
        <w:t xml:space="preserve"> </w:t>
      </w:r>
      <w:hyperlink w:anchor="sec_2" w:history="1">
        <w:r>
          <w:rPr>
            <w:rStyle w:val="InternalRef"/>
          </w:rPr>
          <w:t xml:space="preserve">§2</w:t>
        </w:r>
      </w:hyperlink>
      <w:r>
        <w:rPr/>
        <w:t xml:space="preserve">), and the four that carried anything (stand occupancy, the operator read as its callsign prefix, the destination and the public holidays) are in the model. That is a bound on the base configuration. It does not bound the final configuration, whose feature groups of </w:t>
      </w:r>
      <w:hyperlink w:anchor="sec_8_7_3" w:history="1">
        <w:r>
          <w:rPr>
            <w:rStyle w:val="InternalRef"/>
          </w:rPr>
          <w:t xml:space="preserve">§8.7.3</w:t>
        </w:r>
      </w:hyperlink>
      <w:r>
        <w:rPr/>
        <w:t xml:space="preserve"> read the Network Manager's recorded off-block time, </w:t>
      </w:r>
      <w:r>
        <w:rPr>
          <w:rStyle w:val="SourceText"/>
        </w:rPr>
        <w:t>AOBT_3_flt</w:t>
      </w:r>
      <w:r>
        <w:rPr/>
        <w:t xml:space="preserve">, and each flight number's own history, which the base configuration did not, and lowered the error further. What would move it is information about the hold itself (a regulation, a de-icing queue, a runway inspection), which the challenge data does not carry. The open dataset that might carry it, EUROCONTROL's own daily ATFM delay by airport and cause, was not used, on its portal's notice (</w:t>
      </w:r>
      <w:hyperlink w:anchor="sec_2_2" w:history="1">
        <w:r>
          <w:rPr>
            <w:rStyle w:val="InternalRef"/>
          </w:rPr>
          <w:t xml:space="preserve">§2.2</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base configuration's stored residuals; </w:t>
      </w:r>
      <w:r>
        <w:rPr>
          <w:rStyle w:val="SourceText"/>
          <w:sz w:val="18"/>
          <w:szCs w:val="18"/>
        </w:rPr>
        <w:t>reports/congestion.md</w:t>
      </w:r>
      <w:r>
        <w:rPr/>
        <w:t xml:space="preserve">, </w:t>
      </w:r>
      <w:r>
        <w:rPr>
          <w:rStyle w:val="Emphasis"/>
        </w:rPr>
        <w:t>The ceiling</w:t>
      </w:r>
      <w:r>
        <w:rPr/>
        <w:t xml:space="preserve">, for the oracle and the autocorrelation; </w:t>
      </w:r>
      <w:r>
        <w:rPr>
          <w:rStyle w:val="SourceText"/>
          <w:sz w:val="18"/>
          <w:szCs w:val="18"/>
        </w:rPr>
        <w:t>reports/baseline.md</w:t>
      </w:r>
      <w:r>
        <w:rPr/>
        <w:t xml:space="preserve">, </w:t>
      </w:r>
      <w:r>
        <w:rPr>
          <w:rStyle w:val="Emphasis"/>
        </w:rPr>
        <w:t>Per airport</w:t>
      </w:r>
      <w:r>
        <w:rPr/>
        <w:t xml:space="preserve">; </w:t>
      </w:r>
      <w:r>
        <w:rPr>
          <w:rStyle w:val="SourceText"/>
          <w:sz w:val="18"/>
          <w:szCs w:val="18"/>
        </w:rPr>
        <w:t>reports/occupancy.md</w:t>
      </w:r>
      <w:r>
        <w:rPr/>
        <w:t xml:space="preserve">, </w:t>
      </w:r>
      <w:r>
        <w:rPr>
          <w:rStyle w:val="Emphasis"/>
        </w:rPr>
        <w:t>Where the gain lands</w:t>
      </w:r>
      <w:r>
        <w:rPr/>
        <w:t xml:space="preserve">, for the in-band before and after; </w:t>
      </w:r>
      <w:r>
        <w:rPr>
          <w:rStyle w:val="SourceText"/>
          <w:sz w:val="18"/>
          <w:szCs w:val="18"/>
        </w:rPr>
        <w:t>reports/data_review.md</w:t>
      </w:r>
      <w:r>
        <w:rPr/>
        <w:t xml:space="preserve">, </w:t>
      </w:r>
      <w:r>
        <w:rPr>
          <w:rStyle w:val="Emphasis"/>
        </w:rPr>
        <w:t>Airports and months</w:t>
      </w:r>
      <w:r>
        <w:rPr/>
        <w:t xml:space="preserve">, for the July 2026 census; </w:t>
      </w:r>
      <w:r>
        <w:rPr>
          <w:rStyle w:val="SourceText"/>
          <w:sz w:val="18"/>
          <w:szCs w:val="18"/>
        </w:rPr>
        <w:t>docs/review_headroom.md</w:t>
      </w:r>
      <w:r>
        <w:rPr/>
        <w:t xml:space="preserve"> </w:t>
      </w:r>
      <w:hyperlink w:anchor="sec_1" w:history="1">
        <w:r>
          <w:rPr>
            <w:rStyle w:val="InternalRef"/>
          </w:rPr>
          <w:t xml:space="preserve">§1</w:t>
        </w:r>
      </w:hyperlink>
      <w:r>
        <w:rPr/>
        <w:t xml:space="preserve">–2; </w:t>
      </w:r>
      <w:r>
        <w:rPr>
          <w:rStyle w:val="SourceText"/>
          <w:sz w:val="18"/>
          <w:szCs w:val="18"/>
        </w:rPr>
        <w:t>reports/fiumicino.md</w:t>
      </w:r>
      <w:r>
        <w:rPr/>
        <w:t xml:space="preserve">, </w:t>
      </w:r>
      <w:r>
        <w:rPr>
          <w:rStyle w:val="Emphasis"/>
        </w:rPr>
        <w:t>The held-out-month ladder's year-level changes, recomputed</w:t>
      </w:r>
      <w:r>
        <w:rPr/>
        <w:t xml:space="preserve">, </w:t>
      </w:r>
      <w:r>
        <w:rPr>
          <w:rStyle w:val="SourceText"/>
          <w:sz w:val="18"/>
          <w:szCs w:val="18"/>
        </w:rPr>
        <w:t>+ callsign prefix</w:t>
      </w:r>
      <w:r>
        <w:rPr>
          <w:rStyle w:val="Emphasis"/>
        </w:rPr>
        <w:t xml:space="preserve"> against </w:t>
      </w:r>
      <w:r>
        <w:rPr>
          <w:rStyle w:val="SourceText"/>
          <w:sz w:val="18"/>
          <w:szCs w:val="18"/>
        </w:rPr>
        <w:t>+ stand occupancy</w:t>
      </w:r>
      <w:r>
        <w:rPr/>
        <w:t xml:space="preserve">, </w:t>
      </w:r>
      <w:r>
        <w:rPr>
          <w:rStyle w:val="SourceText"/>
          <w:sz w:val="18"/>
          <w:szCs w:val="18"/>
        </w:rPr>
        <w:t>+ destination and holidays</w:t>
      </w:r>
      <w:r>
        <w:rPr>
          <w:rStyle w:val="Emphasis"/>
        </w:rPr>
        <w:t xml:space="preserve"> against </w:t>
      </w:r>
      <w:r>
        <w:rPr>
          <w:rStyle w:val="SourceText"/>
          <w:sz w:val="18"/>
          <w:szCs w:val="18"/>
        </w:rPr>
        <w:t>+ callsign prefix</w:t>
      </w:r>
      <w:r>
        <w:rPr/>
        <w:t xml:space="preserve"> and </w:t>
      </w:r>
      <w:r>
        <w:rPr>
          <w:rStyle w:val="SourceText"/>
          <w:sz w:val="18"/>
          <w:szCs w:val="18"/>
        </w:rPr>
        <w:t>+ plan differences</w:t>
      </w:r>
      <w:r>
        <w:rPr>
          <w:rStyle w:val="Emphasis"/>
        </w:rPr>
        <w:t xml:space="preserve"> against </w:t>
      </w:r>
      <w:r>
        <w:rPr>
          <w:rStyle w:val="SourceText"/>
          <w:sz w:val="18"/>
          <w:szCs w:val="18"/>
        </w:rPr>
        <w:t>+ destination and holidays</w:t>
      </w:r>
      <w:r>
        <w:rPr/>
        <w:t xml:space="preserve">; </w:t>
      </w:r>
      <w:r>
        <w:rPr>
          <w:rStyle w:val="SourceText"/>
          <w:sz w:val="18"/>
          <w:szCs w:val="18"/>
        </w:rPr>
        <w:t>reports/monthly_seeds.md</w:t>
      </w:r>
      <w:r>
        <w:rPr/>
        <w:t xml:space="preserve">, </w:t>
      </w:r>
      <w:r>
        <w:rPr>
          <w:rStyle w:val="Emphasis"/>
        </w:rPr>
        <w:t>Per airport and month: the five-seed average</w:t>
      </w:r>
      <w:r>
        <w:rPr/>
        <w:t>.</w:t>
      </w:r>
    </w:p>
    <w:p>
      <w:pPr>
        <w:pStyle w:val="Heading3"/>
        <w:numPr>
          <w:ilvl w:val="0"/>
          <w:numId w:val="0"/>
        </w:numPr>
        <w:bidi w:val="0"/>
        <w:spacing w:before="140" w:after="120"/>
        <w:jc w:val="left"/>
        <w:rPr/>
      </w:pPr>
      <w:bookmarkStart w:id="221" w:name="sec_9_6"/>
      <w:bookmarkStart w:id="220" w:name="_Toc000061"/>
      <w:r>
        <w:rPr/>
        <w:t>9.6 What held, and further work</w:t>
      </w:r>
      <w:bookmarkEnd w:id="220"/>
      <w:bookmarkEnd w:id="221"/>
    </w:p>
    <w:p>
      <w:pPr>
        <w:pStyle w:val="BodyText"/>
        <w:bidi w:val="0"/>
        <w:spacing w:lineRule="auto" w:line="276" w:before="0" w:after="140"/>
        <w:jc w:val="left"/>
        <w:rPr/>
      </w:pPr>
      <w:r>
        <w:rPr/>
        <w:t xml:space="preserve">The central hypothesis held where it could be tested. The recovered geometry carries to stand–runway pairs the model has never seen (</w:t>
      </w:r>
      <w:hyperlink w:anchor="sec_8_5" w:history="1">
        <w:r>
          <w:rPr>
            <w:rStyle w:val="InternalRef"/>
          </w:rPr>
          <w:t xml:space="preserve">§8.5</w:t>
        </w:r>
      </w:hyperlink>
      <w:r>
        <w:rPr/>
        <w:t xml:space="preserve">), and that is the part of this work an identifier model cannot reproduce. It did not, and could not, move the test score by much: most test rows sit on pairs the training year saw often, so the forward splits and the challenge scores read the identifiers' strength rather than the geometry's (</w:t>
      </w:r>
      <w:hyperlink w:anchor="sec_9_1" w:history="1">
        <w:r>
          <w:rPr>
            <w:rStyle w:val="InternalRef"/>
          </w:rPr>
          <w:t xml:space="preserve">§9.1</w:t>
        </w:r>
      </w:hyperlink>
      <w:r>
        <w:rPr/>
        <w:t xml:space="preserve">).</w:t>
      </w:r>
    </w:p>
    <w:p>
      <w:pPr>
        <w:pStyle w:val="BodyText"/>
        <w:bidi w:val="0"/>
        <w:spacing w:lineRule="auto" w:line="276" w:before="0" w:after="140"/>
        <w:jc w:val="left"/>
        <w:rPr/>
      </w:pPr>
      <w:r>
        <w:rPr/>
        <w:t xml:space="preserve">The larger gains came from data the geometry does not need: the Network Manager's recorded off-block time, a second learner refitted with it, and aircraft seen on the ground by open receivers (</w:t>
      </w:r>
      <w:hyperlink w:anchor="sec_8_7" w:history="1">
        <w:r>
          <w:rPr>
            <w:rStyle w:val="InternalRef"/>
          </w:rPr>
          <w:t xml:space="preserve">§8.7</w:t>
        </w:r>
      </w:hyperlink>
      <w:r>
        <w:rPr/>
        <w:t xml:space="preserve">). The last of these is constrained by where the receivers listen. Over the training year's fitting days a source covered 0.480 of Heathrow's departures; over the ranking months it covered 0.923. On the rows it did cover in 2025 the ground-movement correction read 237.06 s, worse than the uncorrected prediction's 219.17. The out-of-fold airport gate therefore dropped Heathrow, and the final configuration does not use the correction there. As the coverage in the test months is nearly double that of the training year, the correction was fitted on a regime the test months do not share, and its reading at Heathrow may reflect the sparse coverage of 2025 as much as the airport itself.</w:t>
      </w:r>
    </w:p>
    <w:p>
      <w:pPr>
        <w:pStyle w:val="BodyText"/>
        <w:bidi w:val="0"/>
        <w:spacing w:lineRule="auto" w:line="276" w:before="0" w:after="140"/>
        <w:jc w:val="left"/>
        <w:rPr/>
      </w:pPr>
      <w:r>
        <w:rPr/>
        <w:t xml:space="preserve">Three directions follow from these limits. First, the correction at Heathrow, Paris and Fiumicino should be refitted on a year in which the receivers see those airports as densely as they see the test months, before it is read again. Secondly, the rows at Fiumicino whose recorded block time sits at the schedule remain a source of error the exposed fields do not identify well (</w:t>
      </w:r>
      <w:hyperlink w:anchor="sec_4" w:history="1">
        <w:r>
          <w:rPr>
            <w:rStyle w:val="InternalRef"/>
          </w:rPr>
          <w:t xml:space="preserve">§4</w:t>
        </w:r>
      </w:hyperlink>
      <w:r>
        <w:rPr/>
        <w:t xml:space="preserve">); a source that records the actual pushback there would resolve them directly rather than by a share. Finally, the queueing layer, which this work did not build, was bounded at about eight seconds net of the plan lags (</w:t>
      </w:r>
      <w:hyperlink w:anchor="sec_6_4" w:history="1">
        <w:r>
          <w:rPr>
            <w:rStyle w:val="InternalRef"/>
          </w:rPr>
          <w:t xml:space="preserve">§6.4</w:t>
        </w:r>
      </w:hyperlink>
      <w:r>
        <w:rPr/>
        <w:t xml:space="preserve">). Ground events observe directly what a queue model would have inferred, so that bound should be measured again with the correction in place before a simulation is reconsidered.</w:t>
      </w:r>
    </w:p>
    <w:p>
      <w:pPr>
        <w:pStyle w:val="SourceNote"/>
        <w:bidi w:val="0"/>
        <w:spacing w:lineRule="auto" w:line="252" w:before="0" w:after="200"/>
        <w:jc w:val="left"/>
        <w:rPr/>
      </w:pPr>
      <w:r>
        <w:rPr/>
        <w:t xml:space="preserve">Sources: </w:t>
      </w:r>
      <w:r>
        <w:rPr>
          <w:rStyle w:val="SourceText"/>
          <w:sz w:val="18"/>
          <w:szCs w:val="18"/>
        </w:rPr>
        <w:t>reports/fusion.md</w:t>
      </w:r>
      <w:r>
        <w:rPr/>
        <w:t xml:space="preserve">, </w:t>
      </w:r>
      <w:r>
        <w:rPr>
          <w:rStyle w:val="Emphasis"/>
        </w:rPr>
        <w:t>The rows</w:t>
      </w:r>
      <w:r>
        <w:rPr/>
        <w:t xml:space="preserve"> and </w:t>
      </w:r>
      <w:r>
        <w:rPr>
          <w:rStyle w:val="Emphasis"/>
        </w:rPr>
        <w:t>The gate the ranking rows take</w:t>
      </w:r>
      <w:r>
        <w:rPr/>
        <w:t>.</w:t>
      </w:r>
    </w:p>
    <w:p>
      <w:pPr>
        <w:pStyle w:val="Heading2"/>
        <w:numPr>
          <w:ilvl w:val="0"/>
          <w:numId w:val="0"/>
        </w:numPr>
        <w:bidi w:val="0"/>
        <w:spacing w:before="200" w:after="120"/>
        <w:jc w:val="left"/>
        <w:rPr/>
      </w:pPr>
      <w:bookmarkStart w:id="223" w:name="sec_10"/>
      <w:bookmarkStart w:id="222" w:name="_Toc000062"/>
      <w:r>
        <w:rPr/>
        <w:t>10. Reproducing this</w:t>
      </w:r>
      <w:bookmarkEnd w:id="222"/>
      <w:bookmarkEnd w:id="223"/>
    </w:p>
    <w:p>
      <w:pPr>
        <w:pStyle w:val="BodyText"/>
        <w:bidi w:val="0"/>
        <w:spacing w:lineRule="auto" w:line="276" w:before="0" w:after="140"/>
        <w:jc w:val="left"/>
        <w:rPr/>
      </w:pPr>
      <w:r>
        <w:rPr>
          <w:rStyle w:val="Strong"/>
        </w:rPr>
        <w:t>What a reader brings.</w:t>
      </w:r>
      <w:r>
        <w:rPr/>
        <w:t xml:space="preserve"> A reader brings four things to the repository at release V1.1 (</w:t>
      </w:r>
      <w:hyperlink r:id="rId20">
        <w:r>
          <w:rPr>
            <w:rStyle w:val="Hyperlink"/>
          </w:rPr>
          <w:t>https://github.com/hubell/funny-firefly</w:t>
        </w:r>
      </w:hyperlink>
      <w:r>
        <w:rPr/>
        <w:t xml:space="preserve">; archived at 10.5281/zenodo.23320026, Bell, 2026b): the challenge data, which is not redistributable; the eleven Overpass answers, fetched at their pins as described below or taken from the data deposit (10.5281/zenodo.23133051, Bell, 2026a); and, from the deposit, the METAR observations and the two OurAirports tables this work reads. The deposit's copies are cached fetches recorded with their requests and terms, which a fetch made later would not return because OurAirports is rebuilt nightly. The final configuration reads two caches more: the adsb.lol event tables, from the deposit or fetched again by </w:t>
      </w:r>
      <w:r>
        <w:rPr>
          <w:rStyle w:val="SourceText"/>
        </w:rPr>
        <w:t>scripts/fetch_adsb.py</w:t>
      </w:r>
      <w:r>
        <w:rPr/>
        <w:t xml:space="preserve">, and OPDI's flight events and lists. OPDI is used as an external dataset under the condition of </w:t>
      </w:r>
      <w:hyperlink w:anchor="sec_2_2" w:history="1">
        <w:r>
          <w:rPr>
            <w:rStyle w:val="InternalRef"/>
          </w:rPr>
          <w:t xml:space="preserve">§2.2</w:t>
        </w:r>
      </w:hyperlink>
      <w:r>
        <w:rPr/>
        <w:t xml:space="preserve"> and, its site stating no data license, is not deposited; </w:t>
      </w:r>
      <w:r>
        <w:rPr>
          <w:rStyle w:val="SourceText"/>
        </w:rPr>
        <w:t>scripts/fetch_opdi.py</w:t>
      </w:r>
      <w:r>
        <w:rPr/>
        <w:t xml:space="preserve"> fetches the events again. From those and the committed inputs, every figure in this paper is either regenerated by a named script or quoted from a dated record whose file hash the provenance register (</w:t>
      </w:r>
      <w:r>
        <w:rPr>
          <w:rStyle w:val="SourceText"/>
        </w:rPr>
        <w:t>docs/provenance.md</w:t>
      </w:r>
      <w:r>
        <w:rPr/>
        <w:t xml:space="preserve">) holds,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w:t>
      </w:r>
      <w:hyperlink w:anchor="sec_5_2" w:history="1">
        <w:r>
          <w:rPr>
            <w:rStyle w:val="InternalRef"/>
          </w:rPr>
          <w:t xml:space="preserve">§5.2</w:t>
        </w:r>
      </w:hyperlink>
      <w:r>
        <w:rPr/>
        <w:t xml:space="preserve"> needs none of the four: it regenerates on a bare checkout with no network and no data.</w:t>
      </w:r>
    </w:p>
    <w:p>
      <w:pPr>
        <w:pStyle w:val="BodyText"/>
        <w:bidi w:val="0"/>
        <w:spacing w:lineRule="auto" w:line="276" w:before="0" w:after="140"/>
        <w:jc w:val="left"/>
        <w:rPr/>
      </w:pPr>
      <w:r>
        <w:rPr>
          <w:rStyle w:val="Strong"/>
        </w:rPr>
        <w:t>How the parts rebuild.</w:t>
      </w:r>
    </w:p>
    <w:p>
      <w:pPr>
        <w:pStyle w:val="BodyText"/>
        <w:numPr>
          <w:ilvl w:val="0"/>
          <w:numId w:val="4"/>
        </w:numPr>
        <w:tabs>
          <w:tab w:val="clear" w:pos="709"/>
          <w:tab w:val="left" w:pos="709" w:leader="none"/>
        </w:tabs>
        <w:bidi w:val="0"/>
        <w:spacing w:before="0" w:after="0"/>
        <w:ind w:hanging="283" w:left="709"/>
        <w:jc w:val="left"/>
        <w:rPr/>
      </w:pPr>
      <w:r>
        <w:rPr>
          <w:rStyle w:val="Strong"/>
        </w:rPr>
        <w:t>The geometry</w:t>
      </w:r>
      <w:r>
        <w:rPr/>
        <w:t xml:space="preserve"> is rebuilt from the pinned fetch, as described below. </w:t>
      </w:r>
    </w:p>
    <w:p>
      <w:pPr>
        <w:pStyle w:val="BodyText"/>
        <w:numPr>
          <w:ilvl w:val="0"/>
          <w:numId w:val="4"/>
        </w:numPr>
        <w:tabs>
          <w:tab w:val="clear" w:pos="709"/>
          <w:tab w:val="left" w:pos="709" w:leader="none"/>
        </w:tabs>
        <w:bidi w:val="0"/>
        <w:spacing w:before="0" w:after="0"/>
        <w:ind w:hanging="283" w:left="709"/>
        <w:jc w:val="left"/>
        <w:rPr/>
      </w:pPr>
      <w:r>
        <w:rPr>
          <w:rStyle w:val="Strong"/>
        </w:rPr>
        <w:t>The held-out year.</w:t>
      </w:r>
      <w:r>
        <w:rPr/>
        <w:t xml:space="preserve"> The ladder was refitted on every month of 2025 held out in turn. Its residuals, the five-seed refits of the base configuration on the same splits and the three pair folds refitted for three rungs are stored beside the ladder's own. The seven reports of the held-out year that </w:t>
      </w:r>
      <w:hyperlink w:anchor="sec_8" w:history="1">
        <w:r>
          <w:rPr>
            <w:rStyle w:val="InternalRef"/>
          </w:rPr>
          <w:t xml:space="preserve">§8</w:t>
        </w:r>
      </w:hyperlink>
      <w:r>
        <w:rPr/>
        <w:t xml:space="preserve"> and the annexes quote regenerate from those stored files by their named scripts without a fit, and the fits themselves repeat by the same scripts. </w:t>
      </w:r>
    </w:p>
    <w:p>
      <w:pPr>
        <w:pStyle w:val="BodyText"/>
        <w:numPr>
          <w:ilvl w:val="0"/>
          <w:numId w:val="4"/>
        </w:numPr>
        <w:tabs>
          <w:tab w:val="clear" w:pos="709"/>
          <w:tab w:val="left" w:pos="709" w:leader="none"/>
        </w:tabs>
        <w:bidi w:val="0"/>
        <w:spacing w:before="0" w:after="0"/>
        <w:ind w:hanging="283" w:left="709"/>
        <w:jc w:val="left"/>
        <w:rPr/>
      </w:pPr>
      <w:r>
        <w:rPr>
          <w:rStyle w:val="Strong"/>
        </w:rPr>
        <w:t>The ranking file and template</w:t>
      </w:r>
      <w:r>
        <w:rPr/>
        <w:t xml:space="preserve"> are the versions the challenge later replaced. A reader brings those versions, and </w:t>
      </w:r>
      <w:r>
        <w:rPr>
          <w:rStyle w:val="SourceText"/>
        </w:rPr>
        <w:t>reports/ranking-refresh-2026-09-28.md</w:t>
      </w:r>
      <w:r>
        <w:rPr/>
        <w:t xml:space="preserve"> gives the digests of both versions, so that the copy in hand can be told from the copy first built on. </w:t>
      </w:r>
    </w:p>
    <w:p>
      <w:pPr>
        <w:pStyle w:val="BodyText"/>
        <w:numPr>
          <w:ilvl w:val="0"/>
          <w:numId w:val="4"/>
        </w:numPr>
        <w:tabs>
          <w:tab w:val="clear" w:pos="709"/>
          <w:tab w:val="left" w:pos="709" w:leader="none"/>
        </w:tabs>
        <w:bidi w:val="0"/>
        <w:ind w:hanging="283" w:left="709"/>
        <w:jc w:val="left"/>
        <w:rPr/>
      </w:pPr>
      <w:r>
        <w:rPr>
          <w:rStyle w:val="Strong"/>
        </w:rPr>
        <w:t>The final file.</w:t>
      </w:r>
      <w:r>
        <w:rPr/>
        <w:t xml:space="preserve"> </w:t>
      </w:r>
      <w:r>
        <w:rPr>
          <w:rStyle w:val="SourceText"/>
        </w:rPr>
        <w:t>make final</w:t>
      </w:r>
      <w:r>
        <w:rPr/>
        <w:t xml:space="preserve"> builds the final submission at the commit that carries its code. A fresh clone at that commit, given the inputs above and no network, refitted the sixty models behind the per-airport choice of blend (</w:t>
      </w:r>
      <w:hyperlink w:anchor="sec_8_7_5" w:history="1">
        <w:r>
          <w:rPr>
            <w:rStyle w:val="InternalRef"/>
          </w:rPr>
          <w:t xml:space="preserve">§8.7.5</w:t>
        </w:r>
      </w:hyperlink>
      <w:r>
        <w:rPr/>
        <w:t xml:space="preserve">) with the committed code and built the final file byte for byte, by the route the README sets out under </w:t>
      </w:r>
      <w:r>
        <w:rPr>
          <w:rStyle w:val="Emphasis"/>
        </w:rPr>
        <w:t>v12 from a clean checkout</w:t>
      </w:r>
      <w:r>
        <w:rPr/>
        <w:t xml:space="preserve">. </w:t>
      </w:r>
    </w:p>
    <w:p>
      <w:pPr>
        <w:pStyle w:val="BodyText"/>
        <w:bidi w:val="0"/>
        <w:spacing w:lineRule="auto" w:line="276" w:before="0" w:after="140"/>
        <w:jc w:val="left"/>
        <w:rPr/>
      </w:pPr>
      <w:r>
        <w:rPr>
          <w:rStyle w:val="Strong"/>
        </w:rPr>
        <w:t>What repeats.</w:t>
      </w:r>
      <w:r>
        <w:rPr/>
        <w:t xml:space="preserve"> A fit of the booster repeats to the bit: it is fitted in LightGBM's deterministic mode with column-wise histograms at a pinned thread count.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seed floors measured on October that the parameter search of </w:t>
      </w:r>
      <w:hyperlink w:anchor="sec_7_1_2" w:history="1">
        <w:r>
          <w:rPr>
            <w:rStyle w:val="InternalRef"/>
          </w:rPr>
          <w:t xml:space="preserve">§7.1.2</w:t>
        </w:r>
      </w:hyperlink>
      <w:r>
        <w:rPr/>
        <w:t xml:space="preserve">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A fresh clone, with the challenge data and the two tables brought in and the geometry fetched at its pins, rebuilt the 35 matrix files and the 52 residual files byte for byte and regenerated fourteen reports in which no figure moved. It passed this paper's own check against them and built the submission byte for byte, three times over between the working copy and the clone; </w:t>
      </w:r>
      <w:r>
        <w:rPr>
          <w:rStyle w:val="SourceText"/>
        </w:rPr>
        <w:t>reports/reproduction-2026-09-27.md</w:t>
      </w:r>
      <w:r>
        <w:rPr/>
        <w:t xml:space="preserve"> is the record of that run. A regeneration under the replaced ranking files rebuilt the 52 residual files byte for byte once more and moved no figure of the validation legs.</w:t>
      </w:r>
    </w:p>
    <w:p>
      <w:pPr>
        <w:pStyle w:val="BodyText"/>
        <w:bidi w:val="0"/>
        <w:spacing w:lineRule="auto" w:line="276" w:before="0" w:after="14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reads the pinned fetch. The committed figures were built from a fetch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the two fallback instances it knows answered from databases of May to July and were refused, and every accepted answer came from the primary.</w:t>
      </w:r>
    </w:p>
    <w:p>
      <w:pPr>
        <w:pStyle w:val="BodyText"/>
        <w:bidi w:val="0"/>
        <w:spacing w:lineRule="auto" w:line="276" w:before="0" w:after="14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spacing w:lineRule="auto" w:line="276" w:before="0" w:after="140"/>
        <w:jc w:val="left"/>
        <w:rPr/>
      </w:pPr>
      <w:r>
        <w:rPr/>
        <w:t xml:space="preserve">Figures 2 to 5 are drawn from the same report tables by </w:t>
      </w:r>
      <w:r>
        <w:rPr>
          <w:rStyle w:val="SourceText"/>
        </w:rPr>
        <w:t>scripts/report_paper_figures.py</w:t>
      </w:r>
      <w:r>
        <w:rPr/>
        <w:t xml:space="preserve">, whose </w:t>
      </w:r>
      <w:r>
        <w:rPr>
          <w:rStyle w:val="SourceText"/>
        </w:rPr>
        <w:t>--check</w:t>
      </w:r>
      <w:r>
        <w:rPr/>
        <w:t xml:space="preserve"> compares them with the files in </w:t>
      </w:r>
      <w:r>
        <w:rPr>
          <w:rStyle w:val="SourceText"/>
        </w:rPr>
        <w:t>docs/figures/</w:t>
      </w:r>
      <w:r>
        <w:rPr/>
        <w:t>. Figure 1 is the worked airport's own drawing.</w:t>
      </w:r>
    </w:p>
    <w:p>
      <w:pPr>
        <w:pStyle w:val="SourceNote"/>
        <w:bidi w:val="0"/>
        <w:spacing w:lineRule="auto" w:line="252" w:before="0" w:after="20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sz w:val="18"/>
          <w:szCs w:val="18"/>
        </w:rPr>
        <w:t>reports/reproduction-2026-09-27.md</w:t>
      </w:r>
      <w:r>
        <w:rPr/>
        <w:t xml:space="preserve">, a dated record; </w:t>
      </w:r>
      <w:r>
        <w:rPr>
          <w:rStyle w:val="SourceText"/>
          <w:sz w:val="18"/>
          <w:szCs w:val="18"/>
        </w:rPr>
        <w:t>reports/determinism.md</w:t>
      </w:r>
      <w:r>
        <w:rPr/>
        <w:t xml:space="preserve">, </w:t>
      </w:r>
      <w:r>
        <w:rPr>
          <w:rStyle w:val="Emphasis"/>
        </w:rPr>
        <w:t>The booster</w:t>
      </w:r>
      <w:r>
        <w:rPr/>
        <w:t xml:space="preserve">, a dated record; </w:t>
      </w:r>
      <w:r>
        <w:rPr>
          <w:rStyle w:val="SourceText"/>
          <w:sz w:val="18"/>
          <w:szCs w:val="18"/>
        </w:rPr>
        <w:t>reports/ranking-refresh-2026-09-28.md</w:t>
      </w:r>
      <w:r>
        <w:rPr/>
        <w:t xml:space="preserve">, a dated record; </w:t>
      </w:r>
      <w:r>
        <w:rPr>
          <w:rStyle w:val="SourceText"/>
          <w:sz w:val="18"/>
          <w:szCs w:val="18"/>
        </w:rPr>
        <w:t>scripts/check_paper.py</w:t>
      </w:r>
      <w:r>
        <w:rPr/>
        <w:t>.</w:t>
      </w:r>
    </w:p>
    <w:p>
      <w:pPr>
        <w:pStyle w:val="Heading2"/>
        <w:numPr>
          <w:ilvl w:val="0"/>
          <w:numId w:val="0"/>
        </w:numPr>
        <w:bidi w:val="0"/>
        <w:spacing w:before="200" w:after="120"/>
        <w:jc w:val="left"/>
        <w:rPr/>
      </w:pPr>
      <w:bookmarkStart w:id="225" w:name="annex_A"/>
      <w:bookmarkStart w:id="224" w:name="_Toc000063"/>
      <w:r>
        <w:rPr/>
        <w:t>Annex A: the ladder, every month held out</w:t>
      </w:r>
      <w:bookmarkEnd w:id="224"/>
      <w:bookmarkEnd w:id="225"/>
    </w:p>
    <w:p>
      <w:pPr>
        <w:pStyle w:val="BodyText"/>
        <w:bidi w:val="0"/>
        <w:spacing w:lineRule="auto" w:line="276" w:before="0" w:after="14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w:t>
      </w:r>
      <w:hyperlink w:anchor="sec_3_5" w:history="1">
        <w:r>
          <w:rPr>
            <w:rStyle w:val="InternalRef"/>
          </w:rPr>
          <w:t xml:space="preserve">§3.5</w:t>
        </w:r>
      </w:hyperlink>
      <w:r>
        <w:rPr/>
        <w:t xml:space="preserve">). Rows per month, excluding the term's rows / of which over four hours / covered by the term:</w:t>
      </w:r>
    </w:p>
    <w:tbl>
      <w:tblPr>
        <w:tblW w:w="9972" w:type="dxa"/>
        <w:jc w:val="left"/>
        <w:tblInd w:w="58" w:type="dxa"/>
        <w:tblLayout w:type="fixed"/>
        <w:tblCellMar>
          <w:top w:w="36" w:type="dxa"/>
          <w:left w:w="58" w:type="dxa"/>
          <w:bottom w:w="36" w:type="dxa"/>
          <w:right w:w="58" w:type="dxa"/>
        </w:tblCellMar>
      </w:tblPr>
      <w:tblGrid>
        <w:gridCol w:w="395"/>
        <w:gridCol w:w="718"/>
        <w:gridCol w:w="718"/>
        <w:gridCol w:w="718"/>
        <w:gridCol w:w="718"/>
        <w:gridCol w:w="718"/>
        <w:gridCol w:w="731"/>
        <w:gridCol w:w="731"/>
        <w:gridCol w:w="731"/>
        <w:gridCol w:w="731"/>
        <w:gridCol w:w="731"/>
        <w:gridCol w:w="718"/>
        <w:gridCol w:w="718"/>
        <w:gridCol w:w="896"/>
      </w:tblGrid>
      <w:tr>
        <w:trPr>
          <w:tblHeader w:val="true"/>
          <w:cantSplit/>
        </w:trPr>
        <w:tc>
          <w:tcPr>
            <w:tcW w:w="395"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Jan</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Feb</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Mar</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Apr</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May</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Jun</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Jul</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Aug</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Sep</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Oct</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Nov</w:t>
            </w:r>
          </w:p>
        </w:tc>
        <w:tc>
          <w:tcPr>
            <w:tcW w:w="718"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Dec</w:t>
            </w:r>
          </w:p>
        </w:tc>
        <w:tc>
          <w:tcPr>
            <w:tcW w:w="896"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year</w:t>
            </w:r>
          </w:p>
        </w:tc>
      </w:tr>
      <w:tr>
        <w:trPr>
          <w:cantSplit/>
        </w:trPr>
        <w:tc>
          <w:tcPr>
            <w:tcW w:w="395" w:type="dxa"/>
            <w:tcBorders>
              <w:bottom w:val="single" w:sz="6" w:space="0" w:color="000000"/>
            </w:tcBorders>
          </w:tcPr>
          <w:p>
            <w:pPr>
              <w:pStyle w:val="TableContents"/>
              <w:bidi w:val="0"/>
              <w:spacing w:lineRule="auto" w:line="240" w:before="0" w:after="0"/>
              <w:jc w:val="left"/>
              <w:rPr>
                <w:sz w:val="14"/>
                <w:szCs w:val="14"/>
              </w:rPr>
            </w:pPr>
            <w:r>
              <w:rPr>
                <w:sz w:val="14"/>
                <w:szCs w:val="14"/>
              </w:rPr>
              <w:t>rows</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153,646 / 2 / 60</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143,674 / 1 / 58</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164,390 / 1 / 59</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175,218 / 0 / 70</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185,104 / 1 / 98</w:t>
            </w:r>
          </w:p>
        </w:tc>
        <w:tc>
          <w:tcPr>
            <w:tcW w:w="731" w:type="dxa"/>
            <w:tcBorders>
              <w:bottom w:val="single" w:sz="6" w:space="0" w:color="000000"/>
            </w:tcBorders>
          </w:tcPr>
          <w:p>
            <w:pPr>
              <w:pStyle w:val="TableContents"/>
              <w:bidi w:val="0"/>
              <w:spacing w:lineRule="auto" w:line="240" w:before="0" w:after="0"/>
              <w:jc w:val="left"/>
              <w:rPr>
                <w:sz w:val="14"/>
                <w:szCs w:val="14"/>
              </w:rPr>
            </w:pPr>
            <w:r>
              <w:rPr>
                <w:sz w:val="14"/>
                <w:szCs w:val="14"/>
              </w:rPr>
              <w:t>182,957 / 0 / 185</w:t>
            </w:r>
          </w:p>
        </w:tc>
        <w:tc>
          <w:tcPr>
            <w:tcW w:w="731" w:type="dxa"/>
            <w:tcBorders>
              <w:bottom w:val="single" w:sz="6" w:space="0" w:color="000000"/>
            </w:tcBorders>
          </w:tcPr>
          <w:p>
            <w:pPr>
              <w:pStyle w:val="TableContents"/>
              <w:bidi w:val="0"/>
              <w:spacing w:lineRule="auto" w:line="240" w:before="0" w:after="0"/>
              <w:jc w:val="left"/>
              <w:rPr>
                <w:sz w:val="14"/>
                <w:szCs w:val="14"/>
              </w:rPr>
            </w:pPr>
            <w:r>
              <w:rPr>
                <w:sz w:val="14"/>
                <w:szCs w:val="14"/>
              </w:rPr>
              <w:t>190,378 / 2 / 335</w:t>
            </w:r>
          </w:p>
        </w:tc>
        <w:tc>
          <w:tcPr>
            <w:tcW w:w="731" w:type="dxa"/>
            <w:tcBorders>
              <w:bottom w:val="single" w:sz="6" w:space="0" w:color="000000"/>
            </w:tcBorders>
          </w:tcPr>
          <w:p>
            <w:pPr>
              <w:pStyle w:val="TableContents"/>
              <w:bidi w:val="0"/>
              <w:spacing w:lineRule="auto" w:line="240" w:before="0" w:after="0"/>
              <w:jc w:val="left"/>
              <w:rPr>
                <w:sz w:val="14"/>
                <w:szCs w:val="14"/>
              </w:rPr>
            </w:pPr>
            <w:r>
              <w:rPr>
                <w:sz w:val="14"/>
                <w:szCs w:val="14"/>
              </w:rPr>
              <w:t>190,985 / 0 / 197</w:t>
            </w:r>
          </w:p>
        </w:tc>
        <w:tc>
          <w:tcPr>
            <w:tcW w:w="731" w:type="dxa"/>
            <w:tcBorders>
              <w:bottom w:val="single" w:sz="6" w:space="0" w:color="000000"/>
            </w:tcBorders>
          </w:tcPr>
          <w:p>
            <w:pPr>
              <w:pStyle w:val="TableContents"/>
              <w:bidi w:val="0"/>
              <w:spacing w:lineRule="auto" w:line="240" w:before="0" w:after="0"/>
              <w:jc w:val="left"/>
              <w:rPr>
                <w:sz w:val="14"/>
                <w:szCs w:val="14"/>
              </w:rPr>
            </w:pPr>
            <w:r>
              <w:rPr>
                <w:sz w:val="14"/>
                <w:szCs w:val="14"/>
              </w:rPr>
              <w:t>183,782 / 0 / 168</w:t>
            </w:r>
          </w:p>
        </w:tc>
        <w:tc>
          <w:tcPr>
            <w:tcW w:w="731" w:type="dxa"/>
            <w:tcBorders>
              <w:bottom w:val="single" w:sz="6" w:space="0" w:color="000000"/>
            </w:tcBorders>
          </w:tcPr>
          <w:p>
            <w:pPr>
              <w:pStyle w:val="TableContents"/>
              <w:bidi w:val="0"/>
              <w:spacing w:lineRule="auto" w:line="240" w:before="0" w:after="0"/>
              <w:jc w:val="left"/>
              <w:rPr>
                <w:sz w:val="14"/>
                <w:szCs w:val="14"/>
              </w:rPr>
            </w:pPr>
            <w:r>
              <w:rPr>
                <w:sz w:val="14"/>
                <w:szCs w:val="14"/>
              </w:rPr>
              <w:t>185,559 / 0 / 115</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162,280 / 0 / 52</w:t>
            </w:r>
          </w:p>
        </w:tc>
        <w:tc>
          <w:tcPr>
            <w:tcW w:w="718" w:type="dxa"/>
            <w:tcBorders>
              <w:bottom w:val="single" w:sz="6" w:space="0" w:color="000000"/>
            </w:tcBorders>
          </w:tcPr>
          <w:p>
            <w:pPr>
              <w:pStyle w:val="TableContents"/>
              <w:bidi w:val="0"/>
              <w:spacing w:lineRule="auto" w:line="240" w:before="0" w:after="0"/>
              <w:jc w:val="left"/>
              <w:rPr>
                <w:sz w:val="14"/>
                <w:szCs w:val="14"/>
              </w:rPr>
            </w:pPr>
            <w:r>
              <w:rPr>
                <w:sz w:val="14"/>
                <w:szCs w:val="14"/>
              </w:rPr>
              <w:t>165,589 / 0 / 88</w:t>
            </w:r>
          </w:p>
        </w:tc>
        <w:tc>
          <w:tcPr>
            <w:tcW w:w="896" w:type="dxa"/>
            <w:tcBorders>
              <w:bottom w:val="single" w:sz="6" w:space="0" w:color="000000"/>
            </w:tcBorders>
          </w:tcPr>
          <w:p>
            <w:pPr>
              <w:pStyle w:val="TableContents"/>
              <w:bidi w:val="0"/>
              <w:spacing w:lineRule="auto" w:line="240" w:before="0" w:after="0"/>
              <w:jc w:val="left"/>
              <w:rPr>
                <w:sz w:val="14"/>
                <w:szCs w:val="14"/>
              </w:rPr>
            </w:pPr>
            <w:r>
              <w:rPr>
                <w:sz w:val="14"/>
                <w:szCs w:val="14"/>
              </w:rPr>
              <w:t>2,083,562 / 7 / 1,485</w:t>
            </w:r>
          </w:p>
        </w:tc>
      </w:tr>
    </w:tbl>
    <w:p>
      <w:pPr>
        <w:spacing w:before="0" w:after="0" w:line="160" w:lineRule="exact"/>
      </w:pPr>
    </w:p>
    <w:tbl>
      <w:tblPr>
        <w:tblW w:w="9972" w:type="dxa"/>
        <w:jc w:val="left"/>
        <w:tblInd w:w="58" w:type="dxa"/>
        <w:tblLayout w:type="fixed"/>
        <w:tblCellMar>
          <w:top w:w="36" w:type="dxa"/>
          <w:left w:w="58" w:type="dxa"/>
          <w:bottom w:w="36" w:type="dxa"/>
          <w:right w:w="58" w:type="dxa"/>
        </w:tblCellMar>
      </w:tblPr>
      <w:tblGrid>
        <w:gridCol w:w="1025"/>
        <w:gridCol w:w="688"/>
        <w:gridCol w:w="688"/>
        <w:gridCol w:w="688"/>
        <w:gridCol w:w="688"/>
        <w:gridCol w:w="688"/>
        <w:gridCol w:w="688"/>
        <w:gridCol w:w="688"/>
        <w:gridCol w:w="688"/>
        <w:gridCol w:w="688"/>
        <w:gridCol w:w="688"/>
        <w:gridCol w:w="688"/>
        <w:gridCol w:w="688"/>
        <w:gridCol w:w="691"/>
      </w:tblGrid>
      <w:tr>
        <w:trPr>
          <w:tblHeader w:val="true"/>
          <w:cantSplit/>
        </w:trPr>
        <w:tc>
          <w:tcPr>
            <w:tcW w:w="1025"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rung</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69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airport mean</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491.8 [418.9;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470.9 [468.6;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348.7 [345.1;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334.8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402.2 [348.2;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361.7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465.8 [420.9;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363.0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357.5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374.8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380.0</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394.0 [377.9;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PRU reference</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532.8 [465.8;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514.7 [512.4;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394.0 [390.6;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449.3 [401.1;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416.9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530.8 [491.3;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424.7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424.2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424.5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435.8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447.4 [433.0;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geometric unimpeded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540.8 [474.8;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525.6 [523.5;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402.9 [399.7;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395.2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459.3 [412.4;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429.6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541.3 [502.7;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440.7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437.5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438.5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448.2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459.4 [445.4;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geometric unimpeded + wake class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531.1 [463.8;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516.6 [514.4;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393.3 [389.9;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384.5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449.7 [401.8;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419.3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531.6 [492.2;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429.7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427.0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427.5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427.3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436.5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449.1 [434.9;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455.4 [375.5;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407.9 [405.3;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288.3 [283.8;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340.5 [274.0;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296.2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404.8 [352.0;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295.2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298.4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305.3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324.0</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333.1 [313.8;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 + geometry</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453.6 [373.4;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403.0 [400.3;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285.5 [281.0;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264.1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339.7 [273.1;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296.3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404.6 [351.7;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293.3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297.2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304.2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321.7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331.7 [312.3;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 + geometry + aircraft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448.3 [366.8;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401.9 [399.2;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282.9 [278.3;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259.8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337.4 [270.1;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401.0 [347.6;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293.8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301.8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320.2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328.5 [308.9;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365.6 [259.0;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292.1 [288.4;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222.0 [217.3;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207.7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297.4 [218.0;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338.9 [283.2;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239.6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240.9</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265.7 [242.0;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throughput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364.6 [257.7;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287.0 [283.4;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218.6 [213.6;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296.0 [216.1;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335.3 [278.6;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237.5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229.1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262.9 [238.9;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arrivals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363.8 [256.6;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289.7 [286.0;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217.7 [212.9;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205.0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295.6 [215.5;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334.8 [277.7;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262.6 [238.6;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demand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363.4 [256.0;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289.6 [285.9;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217.0 [212.4;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204.7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295.1 [214.8;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335.0 [277.1;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262.3 [238.2;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configuration</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363.7 [256.3;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290.4 [286.7;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217.1 [212.4;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204.6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295.2 [215.0;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334.3 [276.7;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235.0</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262.2 [238.1;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shared corridor</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363.8 [256.3;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291.8 [288.2;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216.9 [212.1;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204.7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294.8 [214.4;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334.5 [276.8;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235.1</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262.3 [238.2;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weather</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360.6 [252.0;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288.9 [285.3;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216.4 [211.6;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204.3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294.8 [214.6;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335.0 [276.6;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230.9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226.7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233.2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261.5 [237.2;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360.4 [251.7;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288.6 [284.9;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215.4 [210.7;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203.6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294.5 [213.9;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336.8 [276.8;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235.9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226.7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231.4</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261.3 [236.7;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 replacing the stand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358.5 [248.9;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284.1 [280.4;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212.9 [208.1;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200.9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292.2 [210.7;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233.4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333.5 [272.6;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227.6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224.5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228.3</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258.5 [233.6;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 replacing stand and runway</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358.8 [249.1;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286.0 [282.3;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213.5 [208.6;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292.4 [211.1;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233.3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333.2 [272.4;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233.2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224.6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228.0</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258.7 [233.9;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stand occupancy</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351.9 [239.6;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272.0 [268.1;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206.4 [201.9;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194.9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287.6 [204.2;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226.3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325.0 [262.6;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225.8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221.1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221.2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216.8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219.7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251.2 [225.7;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stand occupancy, schedule-anchored</w:t>
            </w:r>
            <w:r>
              <w:rPr>
                <w:sz w:val="14"/>
                <w:szCs w:val="14"/>
              </w:rPr>
              <w:t xml:space="preserve"> (diagnostic)</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356.0 [245.5;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280.5 [276.7;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210.4 [205.7;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197.9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290.5 [208.3;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231.2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330.3 [269.6;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225.4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225.6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221.8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224.7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255.8 [230.8;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callsign prefix</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349.5 [236.0;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272.1 [268.2;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203.9 [199.1;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284.5 [199.9;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319.4 [258.1;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220.9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217.6</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248.0 [222.3;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destination and holidays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349.1 [235.3;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269.1 [265.2;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202.9 [198.5;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189.7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283.6 [198.5;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221.0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318.4 [255.6;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218.7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215.4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215.8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246.6 [220.6;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plan differences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347.5 [233.1;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267.9 [263.9;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201.4 [197.4;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189.1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282.3 [196.7;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218.9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312.5 [252.3;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212.6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212.6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214.7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244.4 [218.7;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saturation</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360.8 [252.3;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288.0 [284.3;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215.9 [211.2;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204.1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294.7 [214.3;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334.1 [276.8;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236.4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230.8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226.9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232.7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261.2 [237.1;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throughput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444.4 [362.2;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400.3 [397.6;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275.8 [271.1;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333.2 [264.7;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396.6 [342.6;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283.6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296.4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316.7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324.0 [304.0;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arrivals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438.7 [354.9;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396.4 [393.7;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271.5 [266.7;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250.9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331.3 [262.4;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284.1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393.7 [339.2;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281.4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276.8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285.1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308.5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320.4 [300.2;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demand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433.2 [348.2;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392.4 [389.6;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268.4 [263.6;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246.9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329.0 [259.4;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389.8 [334.6;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277.6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272.9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301.2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316.3 [295.8;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configuration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435.1 [350.4;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391.4 [388.7;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267.8 [263.0;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246.7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328.6 [259.0;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279.9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389.5 [334.3;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277.4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272.8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281.4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300.4</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316.1 [295.6;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shared corridor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433.9 [349.0;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392.9 [390.2;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267.8 [263.0;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246.8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328.9 [259.4;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389.4 [334.3;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281.1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288.0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300.8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316.2 [295.8;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weather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417.4 [328.8;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378.2 [375.4;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265.9 [261.1;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327.8 [257.9;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278.1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389.3 [334.1;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277.0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292.5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311.7 [290.9; 7 out]</w:t>
            </w:r>
          </w:p>
        </w:tc>
      </w:tr>
      <w:tr>
        <w:trPr>
          <w:cantSplit/>
        </w:trPr>
        <w:tc>
          <w:tcPr>
            <w:tcW w:w="1025" w:type="dxa"/>
            <w:tcBorders>
              <w:bottom w:val="single" w:sz="6" w:space="0" w:color="000000"/>
            </w:tcBorders>
          </w:tcPr>
          <w:p>
            <w:pPr>
              <w:pStyle w:val="TableContents"/>
              <w:bidi w:val="0"/>
              <w:spacing w:lineRule="auto" w:line="240" w:before="0" w:after="0"/>
              <w:jc w:val="left"/>
              <w:rPr>
                <w:sz w:val="14"/>
                <w:szCs w:val="14"/>
              </w:rPr>
            </w:pPr>
            <w:r>
              <w:rPr>
                <w:rStyle w:val="SourceText"/>
                <w:sz w:val="14"/>
                <w:szCs w:val="14"/>
              </w:rPr>
              <w:t>+ runway saturation (without plan lags)</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417.3 [328.7; 2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378.1 [375.2; 1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265.7 [260.9; 1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245.7</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327.9 [258.1; 1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278.6</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389.2 [334.0; 2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277.1</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272.0</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280.1</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282.4</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292.0</w:t>
            </w:r>
          </w:p>
        </w:tc>
        <w:tc>
          <w:tcPr>
            <w:tcW w:w="691" w:type="dxa"/>
            <w:tcBorders>
              <w:bottom w:val="single" w:sz="6" w:space="0" w:color="000000"/>
            </w:tcBorders>
          </w:tcPr>
          <w:p>
            <w:pPr>
              <w:pStyle w:val="TableContents"/>
              <w:bidi w:val="0"/>
              <w:spacing w:lineRule="auto" w:line="240" w:before="0" w:after="0"/>
              <w:jc w:val="right"/>
              <w:rPr>
                <w:sz w:val="14"/>
                <w:szCs w:val="14"/>
              </w:rPr>
            </w:pPr>
            <w:r>
              <w:rPr>
                <w:sz w:val="14"/>
                <w:szCs w:val="14"/>
              </w:rPr>
              <w:t>311.6 [290.8; 7 out]</w:t>
            </w:r>
          </w:p>
        </w:tc>
      </w:tr>
    </w:tbl>
    <w:p>
      <w:pPr>
        <w:pStyle w:val="BodyText"/>
        <w:bidi w:val="0"/>
        <w:spacing w:lineRule="auto" w:line="276" w:before="160" w:after="140"/>
        <w:jc w:val="left"/>
        <w:rPr/>
      </w:pPr>
      <w:r>
        <w:rPr/>
        <w:t xml:space="preserve">The base configuration's rung is </w:t>
      </w:r>
      <w:r>
        <w:rPr>
          <w:rStyle w:val="SourceText"/>
        </w:rPr>
        <w:t>+ plan differences</w:t>
      </w:r>
      <w:r>
        <w:rPr/>
        <w:t xml:space="preserve">; </w:t>
      </w:r>
      <w:r>
        <w:rPr>
          <w:rStyle w:val="SourceText"/>
        </w:rPr>
        <w:t>+ stand occupancy, schedule-anchored</w:t>
      </w:r>
      <w:r>
        <w:rPr/>
        <w:t xml:space="preserve"> is a diagnostic variant, not a step of the ladder (</w:t>
      </w:r>
      <w:hyperlink w:anchor="sec_6_5" w:history="1">
        <w:r>
          <w:rPr>
            <w:rStyle w:val="InternalRef"/>
          </w:rPr>
          <w:t xml:space="preserve">§6.5</w:t>
        </w:r>
      </w:hyperlink>
      <w:r>
        <w:rPr/>
        <w:t xml:space="preserve">), and the rungs marked </w:t>
      </w:r>
      <w:r>
        <w:rPr>
          <w:rStyle w:val="Emphasis"/>
        </w:rPr>
        <w:t>without plan lags</w:t>
      </w:r>
      <w:r>
        <w:rPr/>
        <w:t xml:space="preserve"> repeat the congestion steps with the plan-lag block removed (</w:t>
      </w:r>
      <w:hyperlink w:anchor="sec_6_3" w:history="1">
        <w:r>
          <w:rPr>
            <w:rStyle w:val="InternalRef"/>
          </w:rPr>
          <w:t xml:space="preserve">§6.3</w:t>
        </w:r>
      </w:hyperlink>
      <w:r>
        <w:rPr/>
        <w:t xml:space="preserve">). Each rung's change against the rung it is read against, month by month, is the next annex; the same per airport and month, every rung, is the report's own </w:t>
      </w:r>
      <w:hyperlink w:anchor="annex_A" w:history="1">
        <w:r>
          <w:rPr>
            <w:rStyle w:val="InternalRef"/>
          </w:rPr>
          <w:t xml:space="preserve">Annex A</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numPr>
          <w:ilvl w:val="0"/>
          <w:numId w:val="0"/>
        </w:numPr>
        <w:bidi w:val="0"/>
        <w:spacing w:before="200" w:after="120"/>
        <w:jc w:val="left"/>
        <w:rPr/>
      </w:pPr>
      <w:bookmarkStart w:id="227" w:name="annex_B"/>
      <w:bookmarkStart w:id="226" w:name="_Toc000064"/>
      <w:r>
        <w:rPr/>
        <w:t>Annex B: each block's change, month by month, against the floor</w:t>
      </w:r>
      <w:bookmarkEnd w:id="226"/>
      <w:bookmarkEnd w:id="227"/>
    </w:p>
    <w:p>
      <w:pPr>
        <w:pStyle w:val="BodyText"/>
        <w:bidi w:val="0"/>
        <w:spacing w:lineRule="auto" w:line="276" w:before="0" w:after="140"/>
        <w:jc w:val="left"/>
        <w:rPr/>
      </w:pPr>
      <w:r>
        <w:rPr/>
        <w:t xml:space="preserve">Each block's change against the rung the ladder reads it against, excluding the rows the term covers, in seconds, read against the seed floor measured in that month on the base configuration's rung (</w:t>
      </w:r>
      <w:hyperlink w:anchor="sec_3_6" w:history="1">
        <w:r>
          <w:rPr>
            <w:rStyle w:val="InternalRef"/>
          </w:rPr>
          <w:t xml:space="preserve">§3.6</w:t>
        </w:r>
      </w:hyperlink>
      <w:r>
        <w:rPr/>
        <w:t xml:space="preserve">;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negative change means the block lowered the error. A bracket is the same change over the rows of four hours or less, a diagnostic, with the count it leaves out, read against the floor measured over those rows. The floors first:</w:t>
      </w:r>
    </w:p>
    <w:tbl>
      <w:tblPr>
        <w:tblW w:w="9972" w:type="dxa"/>
        <w:jc w:val="left"/>
        <w:tblInd w:w="58" w:type="dxa"/>
        <w:tblLayout w:type="fixed"/>
        <w:tblCellMar>
          <w:top w:w="36" w:type="dxa"/>
          <w:left w:w="58" w:type="dxa"/>
          <w:bottom w:w="36" w:type="dxa"/>
          <w:right w:w="58" w:type="dxa"/>
        </w:tblCellMar>
      </w:tblPr>
      <w:tblGrid>
        <w:gridCol w:w="465"/>
        <w:gridCol w:w="731"/>
        <w:gridCol w:w="731"/>
        <w:gridCol w:w="731"/>
        <w:gridCol w:w="731"/>
        <w:gridCol w:w="731"/>
        <w:gridCol w:w="731"/>
        <w:gridCol w:w="731"/>
        <w:gridCol w:w="731"/>
        <w:gridCol w:w="731"/>
        <w:gridCol w:w="731"/>
        <w:gridCol w:w="731"/>
        <w:gridCol w:w="731"/>
        <w:gridCol w:w="735"/>
      </w:tblGrid>
      <w:tr>
        <w:trPr>
          <w:tblHeader w:val="true"/>
          <w:cantSplit/>
        </w:trPr>
        <w:tc>
          <w:tcPr>
            <w:tcW w:w="465"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73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465" w:type="dxa"/>
            <w:tcBorders>
              <w:bottom w:val="single" w:sz="6" w:space="0" w:color="000000"/>
            </w:tcBorders>
          </w:tcPr>
          <w:p>
            <w:pPr>
              <w:pStyle w:val="TableContents"/>
              <w:bidi w:val="0"/>
              <w:spacing w:lineRule="auto" w:line="240" w:before="0" w:after="0"/>
              <w:jc w:val="left"/>
              <w:rPr>
                <w:sz w:val="14"/>
                <w:szCs w:val="14"/>
              </w:rPr>
            </w:pPr>
            <w:r>
              <w:rPr>
                <w:sz w:val="14"/>
                <w:szCs w:val="14"/>
              </w:rPr>
              <w:t>floor</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0.33 [0.47]</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1.56 [1.59]</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0.36 [0.29]</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0.07 [0.07]</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0.13 [0.17]</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0.21 [0.21]</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0.58 [0.42]</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0.26 [0.26]</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0.21 [0.21]</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0.29 [0.29]</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0.39 [0.39]</w:t>
            </w:r>
          </w:p>
        </w:tc>
        <w:tc>
          <w:tcPr>
            <w:tcW w:w="731" w:type="dxa"/>
            <w:tcBorders>
              <w:bottom w:val="single" w:sz="6" w:space="0" w:color="000000"/>
            </w:tcBorders>
          </w:tcPr>
          <w:p>
            <w:pPr>
              <w:pStyle w:val="TableContents"/>
              <w:bidi w:val="0"/>
              <w:spacing w:lineRule="auto" w:line="240" w:before="0" w:after="0"/>
              <w:jc w:val="right"/>
              <w:rPr>
                <w:sz w:val="14"/>
                <w:szCs w:val="14"/>
              </w:rPr>
            </w:pPr>
            <w:r>
              <w:rPr>
                <w:sz w:val="14"/>
                <w:szCs w:val="14"/>
              </w:rPr>
              <w:t>0.23 [0.23]</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0.16 [0.15]</w:t>
            </w:r>
          </w:p>
        </w:tc>
      </w:tr>
    </w:tbl>
    <w:p>
      <w:pPr>
        <w:spacing w:before="0" w:after="0" w:line="160" w:lineRule="exact"/>
      </w:pPr>
    </w:p>
    <w:tbl>
      <w:tblPr>
        <w:tblW w:w="9972" w:type="dxa"/>
        <w:jc w:val="left"/>
        <w:tblInd w:w="58" w:type="dxa"/>
        <w:tblLayout w:type="fixed"/>
        <w:tblCellMar>
          <w:top w:w="36" w:type="dxa"/>
          <w:left w:w="58" w:type="dxa"/>
          <w:bottom w:w="36" w:type="dxa"/>
          <w:right w:w="58" w:type="dxa"/>
        </w:tblCellMar>
      </w:tblPr>
      <w:tblGrid>
        <w:gridCol w:w="1025"/>
        <w:gridCol w:w="688"/>
        <w:gridCol w:w="688"/>
        <w:gridCol w:w="688"/>
        <w:gridCol w:w="688"/>
        <w:gridCol w:w="688"/>
        <w:gridCol w:w="688"/>
        <w:gridCol w:w="688"/>
        <w:gridCol w:w="688"/>
        <w:gridCol w:w="688"/>
        <w:gridCol w:w="688"/>
        <w:gridCol w:w="688"/>
        <w:gridCol w:w="688"/>
        <w:gridCol w:w="691"/>
      </w:tblGrid>
      <w:tr>
        <w:trPr>
          <w:tblHeader w:val="true"/>
          <w:cantSplit/>
        </w:trPr>
        <w:tc>
          <w:tcPr>
            <w:tcW w:w="1025"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block</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688"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69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PRU reference</w:t>
            </w:r>
            <w:r>
              <w:rPr>
                <w:sz w:val="14"/>
                <w:szCs w:val="14"/>
              </w:rPr>
              <w:t xml:space="preserve"> against </w:t>
            </w:r>
            <w:r>
              <w:rPr>
                <w:rStyle w:val="SourceText"/>
                <w:sz w:val="14"/>
                <w:szCs w:val="14"/>
              </w:rPr>
              <w:t>airport mean</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+41.1 [+46.9;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+43.8 [+43.8;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+45.2 [+45.4;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+46.5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+47.1 [+52.9;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+55.3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+65.0 [+70.4;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+61.7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+66.8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+55.8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+53.3 [+55.1;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geometric unimpeded</w:t>
            </w:r>
            <w:r>
              <w:rPr>
                <w:sz w:val="14"/>
                <w:szCs w:val="14"/>
              </w:rPr>
              <w:t xml:space="preserve"> against </w:t>
            </w:r>
            <w:r>
              <w:rPr>
                <w:rStyle w:val="SourceText"/>
                <w:sz w:val="14"/>
                <w:szCs w:val="14"/>
              </w:rPr>
              <w:t>PRU reference</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+7.9 [+9.0;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+10.9 [+11.1;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+8.9 [+9.1;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+10.0 [+11.3;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+10.5 [+11.4;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+14.0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+14.0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+12.0 [+12.4;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geometric unimpeded + wake class</w:t>
            </w:r>
            <w:r>
              <w:rPr>
                <w:sz w:val="14"/>
                <w:szCs w:val="14"/>
              </w:rPr>
              <w:t xml:space="preserve"> against </w:t>
            </w:r>
            <w:r>
              <w:rPr>
                <w:rStyle w:val="SourceText"/>
                <w:sz w:val="14"/>
                <w:szCs w:val="14"/>
              </w:rPr>
              <w:t>geometric unimpeded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-9.6 [-11.0;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-9.1 [-9.1;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-9.6 [-9.7;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-9.5 [-10.6;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-9.7 [-10.5;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-11.7</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-10.2 [-10.5;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w:t>
            </w:r>
            <w:r>
              <w:rPr>
                <w:sz w:val="14"/>
                <w:szCs w:val="14"/>
              </w:rPr>
              <w:t xml:space="preserve"> against </w:t>
            </w:r>
            <w:r>
              <w:rPr>
                <w:rStyle w:val="SourceText"/>
                <w:sz w:val="14"/>
                <w:szCs w:val="14"/>
              </w:rPr>
              <w:t>geometric unimpeded + wake class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-75.8 [-88.3;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-108.6 [-109.1;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-105.0 [-106.2;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-120.6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-109.3 [-127.8;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-123.0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-126.8 [-140.3;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-134.5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-139.1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-129.1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-112.6</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-116.0 [-121.1;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 + geometry</w:t>
            </w:r>
            <w:r>
              <w:rPr>
                <w:sz w:val="14"/>
                <w:szCs w:val="14"/>
              </w:rPr>
              <w:t xml:space="preserve"> against </w:t>
            </w:r>
            <w:r>
              <w:rPr>
                <w:rStyle w:val="SourceText"/>
                <w:sz w:val="14"/>
                <w:szCs w:val="14"/>
              </w:rPr>
              <w:t>identifiers + time</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-1.7 [-2.0;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-5.0 [-5.0;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 [-2.8;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 [-1.0;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-0.3</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-1.4 [-1.5;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identifiers + time + geometry + aircraft</w:t>
            </w:r>
            <w:r>
              <w:rPr>
                <w:sz w:val="14"/>
                <w:szCs w:val="14"/>
              </w:rPr>
              <w:t xml:space="preserve"> against </w:t>
            </w:r>
            <w:r>
              <w:rPr>
                <w:rStyle w:val="SourceText"/>
                <w:sz w:val="14"/>
                <w:szCs w:val="14"/>
              </w:rPr>
              <w:t>identifiers + time + geometry</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 [-6.6;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-1.1</w:t>
            </w:r>
            <w:r>
              <w:rPr>
                <w:sz w:val="14"/>
                <w:szCs w:val="14"/>
              </w:rPr>
              <w:t xml:space="preserve"> [</w:t>
            </w:r>
            <w:r>
              <w:rPr>
                <w:rStyle w:val="Strong"/>
                <w:sz w:val="14"/>
                <w:szCs w:val="14"/>
              </w:rPr>
              <w:t>-1.1</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 [-2.6;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 [-2.9;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 [-4.1;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-3.2 [-3.4;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plan lags</w:t>
            </w:r>
            <w:r>
              <w:rPr>
                <w:sz w:val="14"/>
                <w:szCs w:val="14"/>
              </w:rPr>
              <w:t xml:space="preserve"> against </w:t>
            </w:r>
            <w:r>
              <w:rPr>
                <w:rStyle w:val="SourceText"/>
                <w:sz w:val="14"/>
                <w:szCs w:val="14"/>
              </w:rPr>
              <w:t>identifiers + time + geometry + aircraft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-82.7 [-107.8;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-109.8 [-110.7;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-60.9 [-61.0;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-40.0 [-52.1;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-62.1 [-64.5;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-48.2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-57.8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-79.3</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-62.9 [-66.9;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throughput</w:t>
            </w:r>
            <w:r>
              <w:rPr>
                <w:sz w:val="14"/>
                <w:szCs w:val="14"/>
              </w:rPr>
              <w:t xml:space="preserve"> against </w:t>
            </w:r>
            <w:r>
              <w:rPr>
                <w:rStyle w:val="SourceText"/>
                <w:sz w:val="14"/>
                <w:szCs w:val="14"/>
              </w:rPr>
              <w: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 [-1.3;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-5.0 [-5.1;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 [-3.7;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-1.4 [-1.9;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 [-4.5;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-4.1</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-2.7 [-3.0;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arrivals</w:t>
            </w:r>
            <w:r>
              <w:rPr>
                <w:sz w:val="14"/>
                <w:szCs w:val="14"/>
              </w:rPr>
              <w:t xml:space="preserve"> against </w:t>
            </w:r>
            <w:r>
              <w:rPr>
                <w:rStyle w:val="SourceText"/>
                <w:sz w:val="14"/>
                <w:szCs w:val="14"/>
              </w:rPr>
              <w:t>+ runway throughput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 [-1.2;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 [+2.7;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 [-0.8;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 [-0.6;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-0.5</w:t>
            </w:r>
            <w:r>
              <w:rPr>
                <w:sz w:val="14"/>
                <w:szCs w:val="14"/>
              </w:rPr>
              <w:t xml:space="preserve"> [-0.9;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-0.3 [-0.4;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demand</w:t>
            </w:r>
            <w:r>
              <w:rPr>
                <w:sz w:val="14"/>
                <w:szCs w:val="14"/>
              </w:rPr>
              <w:t xml:space="preserve"> against </w:t>
            </w:r>
            <w:r>
              <w:rPr>
                <w:rStyle w:val="SourceText"/>
                <w:sz w:val="14"/>
                <w:szCs w:val="14"/>
              </w:rPr>
              <w:t>+ arrivals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 [-0.6;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 [-0.5;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 [-0.6;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[-0.6;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-0.6</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-0.3 [-0.4;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configuration</w:t>
            </w:r>
            <w:r>
              <w:rPr>
                <w:sz w:val="14"/>
                <w:szCs w:val="14"/>
              </w:rPr>
              <w:t xml:space="preserve"> against </w:t>
            </w:r>
            <w:r>
              <w:rPr>
                <w:rStyle w:val="SourceText"/>
                <w:sz w:val="14"/>
                <w:szCs w:val="14"/>
              </w:rPr>
              <w:t>+ demand</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+0.3</w:t>
            </w:r>
            <w:r>
              <w:rPr>
                <w:sz w:val="14"/>
                <w:szCs w:val="14"/>
              </w:rPr>
              <w:t xml:space="preserve"> [</w:t>
            </w:r>
            <w:r>
              <w:rPr>
                <w:rStyle w:val="Strong"/>
                <w:sz w:val="14"/>
                <w:szCs w:val="14"/>
              </w:rPr>
              <w:t>+0.3</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+0.8</w:t>
            </w:r>
            <w:r>
              <w:rPr>
                <w:sz w:val="14"/>
                <w:szCs w:val="14"/>
              </w:rPr>
              <w:t xml:space="preserve"> [</w:t>
            </w:r>
            <w:r>
              <w:rPr>
                <w:rStyle w:val="Strong"/>
                <w:sz w:val="14"/>
                <w:szCs w:val="14"/>
              </w:rPr>
              <w:t>+0.8</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+0.0</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[+0.2;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-0.6 [</w:t>
            </w:r>
            <w:r>
              <w:rPr>
                <w:rStyle w:val="Strong"/>
                <w:sz w:val="14"/>
                <w:szCs w:val="14"/>
              </w:rPr>
              <w:t>-0.4</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w:t>
            </w:r>
          </w:p>
        </w:tc>
        <w:tc>
          <w:tcPr>
            <w:tcW w:w="69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shared corridor</w:t>
            </w:r>
            <w:r>
              <w:rPr>
                <w:sz w:val="14"/>
                <w:szCs w:val="14"/>
              </w:rPr>
              <w:t xml:space="preserve"> against </w:t>
            </w:r>
            <w:r>
              <w:rPr>
                <w:rStyle w:val="SourceText"/>
                <w:sz w:val="14"/>
                <w:szCs w:val="14"/>
              </w:rPr>
              <w:t>+ configuration</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+1.5</w:t>
            </w:r>
            <w:r>
              <w:rPr>
                <w:sz w:val="14"/>
                <w:szCs w:val="14"/>
              </w:rPr>
              <w:t xml:space="preserve"> [</w:t>
            </w:r>
            <w:r>
              <w:rPr>
                <w:rStyle w:val="Strong"/>
                <w:sz w:val="14"/>
                <w:szCs w:val="14"/>
              </w:rPr>
              <w:t>+1.4</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-0.3</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 [-0.6;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+0.1</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9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weather</w:t>
            </w:r>
            <w:r>
              <w:rPr>
                <w:sz w:val="14"/>
                <w:szCs w:val="14"/>
              </w:rPr>
              <w:t xml:space="preserve"> against </w:t>
            </w:r>
            <w:r>
              <w:rPr>
                <w:rStyle w:val="SourceText"/>
                <w:sz w:val="14"/>
                <w:szCs w:val="14"/>
              </w:rPr>
              <w:t>+ shared corridor</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 [-4.2;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 [-2.9;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 [-0.6;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r>
              <w:rPr>
                <w:sz w:val="14"/>
                <w:szCs w:val="14"/>
              </w:rPr>
              <w:t xml:space="preserve"> [</w:t>
            </w:r>
            <w:r>
              <w:rPr>
                <w:rStyle w:val="Strong"/>
                <w:sz w:val="14"/>
                <w:szCs w:val="14"/>
              </w:rPr>
              <w:t>+0.1</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+0.4</w:t>
            </w:r>
            <w:r>
              <w:rPr>
                <w:sz w:val="14"/>
                <w:szCs w:val="14"/>
              </w:rPr>
              <w:t xml:space="preserve"> [</w:t>
            </w:r>
            <w:r>
              <w:rPr>
                <w:rStyle w:val="Strong"/>
                <w:sz w:val="14"/>
                <w:szCs w:val="14"/>
              </w:rPr>
              <w:t>-0.2</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-0.9 [-1.0;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w:t>
            </w:r>
            <w:r>
              <w:rPr>
                <w:sz w:val="14"/>
                <w:szCs w:val="14"/>
              </w:rPr>
              <w:t xml:space="preserve"> against </w:t>
            </w:r>
            <w:r>
              <w:rPr>
                <w:rStyle w:val="SourceText"/>
                <w:sz w:val="14"/>
                <w:szCs w:val="14"/>
              </w:rPr>
              <w:t>+ weather</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-0.3</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-0.3</w:t>
            </w:r>
            <w:r>
              <w:rPr>
                <w:sz w:val="14"/>
                <w:szCs w:val="14"/>
              </w:rPr>
              <w:t xml:space="preserve"> [</w:t>
            </w:r>
            <w:r>
              <w:rPr>
                <w:rStyle w:val="Strong"/>
                <w:sz w:val="14"/>
                <w:szCs w:val="14"/>
              </w:rPr>
              <w:t>-0.4</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 [-0.9;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 [-0.7;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 [</w:t>
            </w:r>
            <w:r>
              <w:rPr>
                <w:rStyle w:val="Strong"/>
                <w:sz w:val="14"/>
                <w:szCs w:val="14"/>
              </w:rPr>
              <w:t>+0.1</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-0.2 [-0.4;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 replacing the stand</w:t>
            </w:r>
            <w:r>
              <w:rPr>
                <w:sz w:val="14"/>
                <w:szCs w:val="14"/>
              </w:rPr>
              <w:t xml:space="preserve"> against </w:t>
            </w:r>
            <w:r>
              <w:rPr>
                <w:rStyle w:val="SourceText"/>
                <w:sz w:val="14"/>
                <w:szCs w:val="14"/>
              </w:rPr>
              <w:t>+ weather</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 [-3.2;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 [-4.9;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 [-3.5;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 [-3.9;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-1.5 [-4.1;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-3.0 [-3.6;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shrunk encoding, replacing stand and runway</w:t>
            </w:r>
            <w:r>
              <w:rPr>
                <w:sz w:val="14"/>
                <w:szCs w:val="14"/>
              </w:rPr>
              <w:t xml:space="preserve"> against </w:t>
            </w:r>
            <w:r>
              <w:rPr>
                <w:rStyle w:val="SourceText"/>
                <w:sz w:val="14"/>
                <w:szCs w:val="14"/>
              </w:rPr>
              <w:t>+ weather</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 [-2.9;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 [-3.0;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 [-3.0;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 [-3.5;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 [-4.2;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-2.8 [-3.3;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stand occupancy</w:t>
            </w:r>
            <w:r>
              <w:rPr>
                <w:sz w:val="14"/>
                <w:szCs w:val="14"/>
              </w:rPr>
              <w:t xml:space="preserve"> against </w:t>
            </w:r>
            <w:r>
              <w:rPr>
                <w:rStyle w:val="SourceText"/>
                <w:sz w:val="14"/>
                <w:szCs w:val="14"/>
              </w:rPr>
              <w:t>+ shrunk encoding, replacing the stand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-6.7 [-9.3;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-12.1 [-12.3;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-6.5 [-6.3;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-4.6 [-6.5;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-8.4 [-10.0;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-6.5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-8.6</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-7.2 [-7.9;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stand occupancy, schedule-anchored</w:t>
            </w:r>
            <w:r>
              <w:rPr>
                <w:sz w:val="14"/>
                <w:szCs w:val="14"/>
              </w:rPr>
              <w:t xml:space="preserve"> (diagnostic) against </w:t>
            </w:r>
            <w:r>
              <w:rPr>
                <w:rStyle w:val="SourceText"/>
                <w:sz w:val="14"/>
                <w:szCs w:val="14"/>
              </w:rPr>
              <w:t>+ shrunk encoding, replacing the stand</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 [-3.3;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 [-3.7;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-2.5 [-2.4;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-1.7 [-2.4;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 [-2.9;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-2.7 [-2.9;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callsign prefix</w:t>
            </w:r>
            <w:r>
              <w:rPr>
                <w:sz w:val="14"/>
                <w:szCs w:val="14"/>
              </w:rPr>
              <w:t xml:space="preserve"> against </w:t>
            </w:r>
            <w:r>
              <w:rPr>
                <w:rStyle w:val="SourceText"/>
                <w:sz w:val="14"/>
                <w:szCs w:val="14"/>
              </w:rPr>
              <w:t>+ stand occupancy</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-2.3 [-3.6;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-2.6 [-2.8;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 [-4.3;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-5.6 [-4.5;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-2.1</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-3.3 [-3.4;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destination and holidays</w:t>
            </w:r>
            <w:r>
              <w:rPr>
                <w:sz w:val="14"/>
                <w:szCs w:val="14"/>
              </w:rPr>
              <w:t xml:space="preserve"> against </w:t>
            </w:r>
            <w:r>
              <w:rPr>
                <w:rStyle w:val="SourceText"/>
                <w:sz w:val="14"/>
                <w:szCs w:val="14"/>
              </w:rPr>
              <w:t>+ callsign prefix</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 [-0.7;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 [-3.1;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-0.9 [-0.7;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-0.9 [-1.4;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-1.0 [-2.5;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-1.4 [-1.7;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plan differences</w:t>
            </w:r>
            <w:r>
              <w:rPr>
                <w:sz w:val="14"/>
                <w:szCs w:val="14"/>
              </w:rPr>
              <w:t xml:space="preserve"> against </w:t>
            </w:r>
            <w:r>
              <w:rPr>
                <w:rStyle w:val="SourceText"/>
                <w:sz w:val="14"/>
                <w:szCs w:val="14"/>
              </w:rPr>
              <w:t>+ destination and holidays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 [-2.2;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-1.2</w:t>
            </w:r>
            <w:r>
              <w:rPr>
                <w:sz w:val="14"/>
                <w:szCs w:val="14"/>
              </w:rPr>
              <w:t xml:space="preserve"> [</w:t>
            </w:r>
            <w:r>
              <w:rPr>
                <w:rStyle w:val="Strong"/>
                <w:sz w:val="14"/>
                <w:szCs w:val="14"/>
              </w:rPr>
              <w:t>-1.2</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 [-1.1;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 [-1.8;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-5.9 [-3.3;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-1.1</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-2.2 [-2.0;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saturation</w:t>
            </w:r>
            <w:r>
              <w:rPr>
                <w:sz w:val="14"/>
                <w:szCs w:val="14"/>
              </w:rPr>
              <w:t xml:space="preserve"> against </w:t>
            </w:r>
            <w:r>
              <w:rPr>
                <w:rStyle w:val="SourceText"/>
                <w:sz w:val="14"/>
                <w:szCs w:val="14"/>
              </w:rPr>
              <w:t>+ weather</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+0.3</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-1.0</w:t>
            </w:r>
            <w:r>
              <w:rPr>
                <w:sz w:val="14"/>
                <w:szCs w:val="14"/>
              </w:rPr>
              <w:t xml:space="preserve"> [</w:t>
            </w:r>
            <w:r>
              <w:rPr>
                <w:rStyle w:val="Strong"/>
                <w:sz w:val="14"/>
                <w:szCs w:val="14"/>
              </w:rPr>
              <w:t>-1.0</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 [-0.4;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[-0.3;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-0.9 [</w:t>
            </w:r>
            <w:r>
              <w:rPr>
                <w:rStyle w:val="Strong"/>
                <w:sz w:val="14"/>
                <w:szCs w:val="14"/>
              </w:rPr>
              <w:t>+0.2</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-0.2 [</w:t>
            </w:r>
            <w:r>
              <w:rPr>
                <w:rStyle w:val="Strong"/>
                <w:sz w:val="14"/>
                <w:szCs w:val="14"/>
              </w:rPr>
              <w:t>-0.1</w:t>
            </w:r>
            <w:r>
              <w:rPr>
                <w:sz w:val="14"/>
                <w:szCs w:val="14"/>
              </w:rPr>
              <w:t>;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runway throughput (without plan lags)</w:t>
            </w:r>
            <w:r>
              <w:rPr>
                <w:sz w:val="14"/>
                <w:szCs w:val="14"/>
              </w:rPr>
              <w:t xml:space="preserve"> against </w:t>
            </w:r>
            <w:r>
              <w:rPr>
                <w:rStyle w:val="SourceText"/>
                <w:sz w:val="14"/>
                <w:szCs w:val="14"/>
              </w:rPr>
              <w:t>identifiers + time + geometry + aircraft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 [-4.6;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-1.6</w:t>
            </w:r>
            <w:r>
              <w:rPr>
                <w:sz w:val="14"/>
                <w:szCs w:val="14"/>
              </w:rPr>
              <w:t xml:space="preserve"> [</w:t>
            </w:r>
            <w:r>
              <w:rPr>
                <w:rStyle w:val="Strong"/>
                <w:sz w:val="14"/>
                <w:szCs w:val="14"/>
              </w:rPr>
              <w:t>-1.5</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-7.2 [-7.2;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-4.2 [-5.5;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-4.4 [-5.0;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-3.6</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-4.6 [-4.8;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arrivals (without plan lags)</w:t>
            </w:r>
            <w:r>
              <w:rPr>
                <w:sz w:val="14"/>
                <w:szCs w:val="14"/>
              </w:rPr>
              <w:t xml:space="preserve"> against </w:t>
            </w:r>
            <w:r>
              <w:rPr>
                <w:rStyle w:val="SourceText"/>
                <w:sz w:val="14"/>
                <w:szCs w:val="14"/>
              </w:rPr>
              <w:t>+ runway throughput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-5.8 [-7.3;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 [-4.0;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-4.3 [-4.4;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-1.8 [-2.3;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-2.9 [-3.4;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-3.7</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-8.2</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-3.6 [-3.9;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demand (without plan lags)</w:t>
            </w:r>
            <w:r>
              <w:rPr>
                <w:sz w:val="14"/>
                <w:szCs w:val="14"/>
              </w:rPr>
              <w:t xml:space="preserve"> against </w:t>
            </w:r>
            <w:r>
              <w:rPr>
                <w:rStyle w:val="SourceText"/>
                <w:sz w:val="14"/>
                <w:szCs w:val="14"/>
              </w:rPr>
              <w:t>+ arrivals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-5.5 [-6.7;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 [-4.1;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-3.1 [-3.1;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-2.4 [-3.0;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-4.0 [-4.6;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-3.5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-4.5</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-7.3</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-4.1 [-4.4;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configuration (without plan lags)</w:t>
            </w:r>
            <w:r>
              <w:rPr>
                <w:sz w:val="14"/>
                <w:szCs w:val="14"/>
              </w:rPr>
              <w:t xml:space="preserve"> against </w:t>
            </w:r>
            <w:r>
              <w:rPr>
                <w:rStyle w:val="SourceText"/>
                <w:sz w:val="14"/>
                <w:szCs w:val="14"/>
              </w:rPr>
              <w:t>+ demand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 [+2.2;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-1.0</w:t>
            </w:r>
            <w:r>
              <w:rPr>
                <w:sz w:val="14"/>
                <w:szCs w:val="14"/>
              </w:rPr>
              <w:t xml:space="preserve"> [</w:t>
            </w:r>
            <w:r>
              <w:rPr>
                <w:rStyle w:val="Strong"/>
                <w:sz w:val="14"/>
                <w:szCs w:val="14"/>
              </w:rPr>
              <w:t>-1.0</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-0.6 [-0.6;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 [-0.4;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-0.3</w:t>
            </w:r>
            <w:r>
              <w:rPr>
                <w:sz w:val="14"/>
                <w:szCs w:val="14"/>
              </w:rPr>
              <w:t xml:space="preserve"> [</w:t>
            </w:r>
            <w:r>
              <w:rPr>
                <w:rStyle w:val="Strong"/>
                <w:sz w:val="14"/>
                <w:szCs w:val="14"/>
              </w:rPr>
              <w:t>-0.3</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-0.2 [-0.2;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shared corridor (without plan lags)</w:t>
            </w:r>
            <w:r>
              <w:rPr>
                <w:sz w:val="14"/>
                <w:szCs w:val="14"/>
              </w:rPr>
              <w:t xml:space="preserve"> against </w:t>
            </w:r>
            <w:r>
              <w:rPr>
                <w:rStyle w:val="SourceText"/>
                <w:sz w:val="14"/>
                <w:szCs w:val="14"/>
              </w:rPr>
              <w:t>+ configuration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 [-1.4; 2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+1.5</w:t>
            </w:r>
            <w:r>
              <w:rPr>
                <w:sz w:val="14"/>
                <w:szCs w:val="14"/>
              </w:rPr>
              <w:t xml:space="preserve"> [</w:t>
            </w:r>
            <w:r>
              <w:rPr>
                <w:rStyle w:val="Strong"/>
                <w:sz w:val="14"/>
                <w:szCs w:val="14"/>
              </w:rPr>
              <w:t>+1.5</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+0.0</w:t>
            </w:r>
            <w:r>
              <w:rPr>
                <w:sz w:val="14"/>
                <w:szCs w:val="14"/>
              </w:rPr>
              <w:t xml:space="preserve"> [</w:t>
            </w:r>
            <w:r>
              <w:rPr>
                <w:rStyle w:val="Strong"/>
                <w:sz w:val="14"/>
                <w:szCs w:val="14"/>
              </w:rPr>
              <w:t>+0.0</w:t>
            </w:r>
            <w:r>
              <w:rPr>
                <w:sz w:val="14"/>
                <w:szCs w:val="14"/>
              </w:rPr>
              <w:t>;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 [+0.4; 1 out]</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+0.0</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+0.4</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+0.5</w:t>
            </w:r>
          </w:p>
        </w:tc>
        <w:tc>
          <w:tcPr>
            <w:tcW w:w="69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[+0.2; 7 out]</w:t>
            </w:r>
          </w:p>
        </w:tc>
      </w:tr>
      <w:tr>
        <w:trPr>
          <w:cantSplit/>
        </w:trPr>
        <w:tc>
          <w:tcPr>
            <w:tcW w:w="1025" w:type="dxa"/>
            <w:tcBorders>
              <w:bottom w:val="single" w:sz="2" w:space="0" w:color="BBBBBB"/>
            </w:tcBorders>
          </w:tcPr>
          <w:p>
            <w:pPr>
              <w:pStyle w:val="TableContents"/>
              <w:bidi w:val="0"/>
              <w:spacing w:lineRule="auto" w:line="240" w:before="0" w:after="0"/>
              <w:jc w:val="left"/>
              <w:rPr>
                <w:sz w:val="14"/>
                <w:szCs w:val="14"/>
              </w:rPr>
            </w:pPr>
            <w:r>
              <w:rPr>
                <w:rStyle w:val="SourceText"/>
                <w:sz w:val="14"/>
                <w:szCs w:val="14"/>
              </w:rPr>
              <w:t>+ weather (without plan lags)</w:t>
            </w:r>
            <w:r>
              <w:rPr>
                <w:sz w:val="14"/>
                <w:szCs w:val="14"/>
              </w:rPr>
              <w:t xml:space="preserve"> against </w:t>
            </w:r>
            <w:r>
              <w:rPr>
                <w:rStyle w:val="SourceText"/>
                <w:sz w:val="14"/>
                <w:szCs w:val="14"/>
              </w:rPr>
              <w:t>+ shared corridor (without plan lags)</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-16.5 [-20.2;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-14.7 [-14.8;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 [-1.9;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-1.2 [-1.5; 1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-1.9</w:t>
            </w:r>
          </w:p>
        </w:tc>
        <w:tc>
          <w:tcPr>
            <w:tcW w:w="688"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-0.2</w:t>
            </w:r>
            <w:r>
              <w:rPr>
                <w:sz w:val="14"/>
                <w:szCs w:val="14"/>
              </w:rPr>
              <w:t>; 2 out]</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-0.9</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-5.8</w:t>
            </w:r>
          </w:p>
        </w:tc>
        <w:tc>
          <w:tcPr>
            <w:tcW w:w="688" w:type="dxa"/>
            <w:tcBorders>
              <w:bottom w:val="single" w:sz="2" w:space="0" w:color="BBBBBB"/>
            </w:tcBorders>
          </w:tcPr>
          <w:p>
            <w:pPr>
              <w:pStyle w:val="TableContents"/>
              <w:bidi w:val="0"/>
              <w:spacing w:lineRule="auto" w:line="240" w:before="0" w:after="0"/>
              <w:jc w:val="right"/>
              <w:rPr>
                <w:sz w:val="14"/>
                <w:szCs w:val="14"/>
              </w:rPr>
            </w:pPr>
            <w:r>
              <w:rPr>
                <w:sz w:val="14"/>
                <w:szCs w:val="14"/>
              </w:rPr>
              <w:t>-8.3</w:t>
            </w:r>
          </w:p>
        </w:tc>
        <w:tc>
          <w:tcPr>
            <w:tcW w:w="691" w:type="dxa"/>
            <w:tcBorders>
              <w:bottom w:val="single" w:sz="2" w:space="0" w:color="BBBBBB"/>
            </w:tcBorders>
          </w:tcPr>
          <w:p>
            <w:pPr>
              <w:pStyle w:val="TableContents"/>
              <w:bidi w:val="0"/>
              <w:spacing w:lineRule="auto" w:line="240" w:before="0" w:after="0"/>
              <w:jc w:val="right"/>
              <w:rPr>
                <w:sz w:val="14"/>
                <w:szCs w:val="14"/>
              </w:rPr>
            </w:pPr>
            <w:r>
              <w:rPr>
                <w:sz w:val="14"/>
                <w:szCs w:val="14"/>
              </w:rPr>
              <w:t>-4.6 [-4.9; 7 out]</w:t>
            </w:r>
          </w:p>
        </w:tc>
      </w:tr>
      <w:tr>
        <w:trPr>
          <w:cantSplit/>
        </w:trPr>
        <w:tc>
          <w:tcPr>
            <w:tcW w:w="1025" w:type="dxa"/>
            <w:tcBorders>
              <w:bottom w:val="single" w:sz="6" w:space="0" w:color="000000"/>
            </w:tcBorders>
          </w:tcPr>
          <w:p>
            <w:pPr>
              <w:pStyle w:val="TableContents"/>
              <w:bidi w:val="0"/>
              <w:spacing w:lineRule="auto" w:line="240" w:before="0" w:after="0"/>
              <w:jc w:val="left"/>
              <w:rPr>
                <w:sz w:val="14"/>
                <w:szCs w:val="14"/>
              </w:rPr>
            </w:pPr>
            <w:r>
              <w:rPr>
                <w:rStyle w:val="SourceText"/>
                <w:sz w:val="14"/>
                <w:szCs w:val="14"/>
              </w:rPr>
              <w:t>+ runway saturation (without plan lags)</w:t>
            </w:r>
            <w:r>
              <w:rPr>
                <w:sz w:val="14"/>
                <w:szCs w:val="14"/>
              </w:rPr>
              <w:t xml:space="preserve"> against </w:t>
            </w:r>
            <w:r>
              <w:rPr>
                <w:rStyle w:val="SourceText"/>
                <w:sz w:val="14"/>
                <w:szCs w:val="14"/>
              </w:rPr>
              <w:t>+ weather (without plan lags)</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+0.0</w:t>
            </w:r>
            <w:r>
              <w:rPr>
                <w:sz w:val="14"/>
                <w:szCs w:val="14"/>
              </w:rPr>
              <w:t xml:space="preserve"> [</w:t>
            </w:r>
            <w:r>
              <w:rPr>
                <w:rStyle w:val="Strong"/>
                <w:sz w:val="14"/>
                <w:szCs w:val="14"/>
              </w:rPr>
              <w:t>-0.1</w:t>
            </w:r>
            <w:r>
              <w:rPr>
                <w:sz w:val="14"/>
                <w:szCs w:val="14"/>
              </w:rPr>
              <w:t>; 2 out]</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-0.2</w:t>
            </w:r>
            <w:r>
              <w:rPr>
                <w:sz w:val="14"/>
                <w:szCs w:val="14"/>
              </w:rPr>
              <w:t>; 1 out]</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-0.2</w:t>
            </w:r>
            <w:r>
              <w:rPr>
                <w:sz w:val="14"/>
                <w:szCs w:val="14"/>
              </w:rPr>
              <w:t xml:space="preserve"> [</w:t>
            </w:r>
            <w:r>
              <w:rPr>
                <w:rStyle w:val="Strong"/>
                <w:sz w:val="14"/>
                <w:szCs w:val="14"/>
              </w:rPr>
              <w:t>-0.3</w:t>
            </w:r>
            <w:r>
              <w:rPr>
                <w:sz w:val="14"/>
                <w:szCs w:val="14"/>
              </w:rPr>
              <w:t>; 1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+0.2 [</w:t>
            </w:r>
            <w:r>
              <w:rPr>
                <w:rStyle w:val="Strong"/>
                <w:sz w:val="14"/>
                <w:szCs w:val="14"/>
              </w:rPr>
              <w:t>+0.2</w:t>
            </w:r>
            <w:r>
              <w:rPr>
                <w:sz w:val="14"/>
                <w:szCs w:val="14"/>
              </w:rPr>
              <w:t>; 1 out]</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+0.5</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2 out]</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-0.3</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-0.1</w:t>
            </w:r>
          </w:p>
        </w:tc>
        <w:tc>
          <w:tcPr>
            <w:tcW w:w="688"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+0.2</w:t>
            </w:r>
          </w:p>
        </w:tc>
        <w:tc>
          <w:tcPr>
            <w:tcW w:w="688" w:type="dxa"/>
            <w:tcBorders>
              <w:bottom w:val="single" w:sz="6" w:space="0" w:color="000000"/>
            </w:tcBorders>
          </w:tcPr>
          <w:p>
            <w:pPr>
              <w:pStyle w:val="TableContents"/>
              <w:bidi w:val="0"/>
              <w:spacing w:lineRule="auto" w:line="240" w:before="0" w:after="0"/>
              <w:jc w:val="right"/>
              <w:rPr>
                <w:sz w:val="14"/>
                <w:szCs w:val="14"/>
              </w:rPr>
            </w:pPr>
            <w:r>
              <w:rPr>
                <w:sz w:val="14"/>
                <w:szCs w:val="14"/>
              </w:rPr>
              <w:t>-0.5</w:t>
            </w:r>
          </w:p>
        </w:tc>
        <w:tc>
          <w:tcPr>
            <w:tcW w:w="691"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-0.1</w:t>
            </w:r>
            <w:r>
              <w:rPr>
                <w:sz w:val="14"/>
                <w:szCs w:val="14"/>
              </w:rPr>
              <w:t xml:space="preserve"> [</w:t>
            </w:r>
            <w:r>
              <w:rPr>
                <w:rStyle w:val="Strong"/>
                <w:sz w:val="14"/>
                <w:szCs w:val="14"/>
              </w:rPr>
              <w:t>-0.1</w:t>
            </w:r>
            <w:r>
              <w:rPr>
                <w:sz w:val="14"/>
                <w:szCs w:val="14"/>
              </w:rPr>
              <w:t>; 7 out]</w:t>
            </w:r>
          </w:p>
        </w:tc>
      </w:tr>
    </w:tbl>
    <w:p>
      <w:pPr>
        <w:pStyle w:val="BodyText"/>
        <w:bidi w:val="0"/>
        <w:spacing w:lineRule="auto" w:line="276" w:before="160" w:after="140"/>
        <w:jc w:val="left"/>
        <w:rPr/>
      </w:pPr>
      <w:r>
        <w:rPr/>
        <w:t>Per block, the months it helps by more than the floor, hurts by more than it, or sits inside it; the last column is the same count over the rows of four hours or less, a diagnostic:</w:t>
      </w:r>
    </w:p>
    <w:tbl>
      <w:tblPr>
        <w:tblW w:w="9972" w:type="dxa"/>
        <w:jc w:val="left"/>
        <w:tblInd w:w="58" w:type="dxa"/>
        <w:tblLayout w:type="fixed"/>
        <w:tblCellMar>
          <w:top w:w="36" w:type="dxa"/>
          <w:left w:w="58" w:type="dxa"/>
          <w:bottom w:w="36" w:type="dxa"/>
          <w:right w:w="58" w:type="dxa"/>
        </w:tblCellMar>
      </w:tblPr>
      <w:tblGrid>
        <w:gridCol w:w="2128"/>
        <w:gridCol w:w="991"/>
        <w:gridCol w:w="991"/>
        <w:gridCol w:w="1671"/>
        <w:gridCol w:w="802"/>
        <w:gridCol w:w="1568"/>
        <w:gridCol w:w="1821"/>
      </w:tblGrid>
      <w:tr>
        <w:trPr>
          <w:tblHeader w:val="true"/>
          <w:cantSplit/>
        </w:trPr>
        <w:tc>
          <w:tcPr>
            <w:tcW w:w="212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block</w:t>
            </w:r>
          </w:p>
        </w:tc>
        <w:tc>
          <w:tcPr>
            <w:tcW w:w="99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helps by more than the floor</w:t>
            </w:r>
          </w:p>
        </w:tc>
        <w:tc>
          <w:tcPr>
            <w:tcW w:w="99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hurts by more than the floor</w:t>
            </w:r>
          </w:p>
        </w:tc>
        <w:tc>
          <w:tcPr>
            <w:tcW w:w="167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months</w:t>
            </w:r>
          </w:p>
        </w:tc>
        <w:tc>
          <w:tcPr>
            <w:tcW w:w="802"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inside the floor</w:t>
            </w:r>
          </w:p>
        </w:tc>
        <w:tc>
          <w:tcPr>
            <w:tcW w:w="156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months</w:t>
            </w:r>
          </w:p>
        </w:tc>
        <w:tc>
          <w:tcPr>
            <w:tcW w:w="182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4 h or less: helps / hurts / inside (diagnostic)</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PRU reference</w:t>
            </w:r>
            <w:r>
              <w:rPr>
                <w:sz w:val="16"/>
                <w:szCs w:val="16"/>
              </w:rPr>
              <w:t xml:space="preserve"> against </w:t>
            </w:r>
            <w:r>
              <w:rPr>
                <w:rStyle w:val="SourceText"/>
                <w:sz w:val="16"/>
                <w:szCs w:val="16"/>
              </w:rPr>
              <w:t>airport mean</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0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Jan, Feb, Mar, Apr, May, Jun, Jul, Aug, Sep, Oct, Nov, Dec</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0 / 12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geometric unimpeded</w:t>
            </w:r>
            <w:r>
              <w:rPr>
                <w:sz w:val="16"/>
                <w:szCs w:val="16"/>
              </w:rPr>
              <w:t xml:space="preserve"> against </w:t>
            </w:r>
            <w:r>
              <w:rPr>
                <w:rStyle w:val="SourceText"/>
                <w:sz w:val="16"/>
                <w:szCs w:val="16"/>
              </w:rPr>
              <w:t>PRU reference</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0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12</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Jan, Feb, Mar, Apr, May, Jun, Jul, Aug, Sep, Oct, Nov, Dec</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0 / 12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geometric unimpeded + wake class</w:t>
            </w:r>
            <w:r>
              <w:rPr>
                <w:sz w:val="16"/>
                <w:szCs w:val="16"/>
              </w:rPr>
              <w:t xml:space="preserve"> against </w:t>
            </w:r>
            <w:r>
              <w:rPr>
                <w:rStyle w:val="SourceText"/>
                <w:sz w:val="16"/>
                <w:szCs w:val="16"/>
              </w:rPr>
              <w:t>geometric unimpeded</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identifiers + time</w:t>
            </w:r>
            <w:r>
              <w:rPr>
                <w:sz w:val="16"/>
                <w:szCs w:val="16"/>
              </w:rPr>
              <w:t xml:space="preserve"> against </w:t>
            </w:r>
            <w:r>
              <w:rPr>
                <w:rStyle w:val="SourceText"/>
                <w:sz w:val="16"/>
                <w:szCs w:val="16"/>
              </w:rPr>
              <w:t>geometric unimpeded + wake class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identifiers + time + geometry</w:t>
            </w:r>
            <w:r>
              <w:rPr>
                <w:sz w:val="16"/>
                <w:szCs w:val="16"/>
              </w:rPr>
              <w:t xml:space="preserve"> against </w:t>
            </w:r>
            <w:r>
              <w:rPr>
                <w:rStyle w:val="SourceText"/>
                <w:sz w:val="16"/>
                <w:szCs w:val="16"/>
              </w:rPr>
              <w:t>identifiers + time</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9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Apr</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2</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Jun, Jul</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9 / 1 / 2</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identifiers + time + geometry + aircraft</w:t>
            </w:r>
            <w:r>
              <w:rPr>
                <w:sz w:val="16"/>
                <w:szCs w:val="16"/>
              </w:rPr>
              <w:t xml:space="preserve"> against </w:t>
            </w:r>
            <w:r>
              <w:rPr>
                <w:rStyle w:val="SourceText"/>
                <w:sz w:val="16"/>
                <w:szCs w:val="16"/>
              </w:rPr>
              <w:t>identifiers + time + geometry</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11 / 0 / 1</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plan lags</w:t>
            </w:r>
            <w:r>
              <w:rPr>
                <w:sz w:val="16"/>
                <w:szCs w:val="16"/>
              </w:rPr>
              <w:t xml:space="preserve"> against </w:t>
            </w:r>
            <w:r>
              <w:rPr>
                <w:rStyle w:val="SourceText"/>
                <w:sz w:val="16"/>
                <w:szCs w:val="16"/>
              </w:rPr>
              <w:t>identifiers + time + geometry + aircraft</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runway throughput</w:t>
            </w:r>
            <w:r>
              <w:rPr>
                <w:sz w:val="16"/>
                <w:szCs w:val="16"/>
              </w:rPr>
              <w:t xml:space="preserve"> against </w:t>
            </w:r>
            <w:r>
              <w:rPr>
                <w:rStyle w:val="SourceText"/>
                <w:sz w:val="16"/>
                <w:szCs w:val="16"/>
              </w:rPr>
              <w: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arrivals</w:t>
            </w:r>
            <w:r>
              <w:rPr>
                <w:sz w:val="16"/>
                <w:szCs w:val="16"/>
              </w:rPr>
              <w:t xml:space="preserve"> against </w:t>
            </w:r>
            <w:r>
              <w:rPr>
                <w:rStyle w:val="SourceText"/>
                <w:sz w:val="16"/>
                <w:szCs w:val="16"/>
              </w:rPr>
              <w:t>+ runway throughput</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8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Jul, Sep, Oct</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9 / 1 / 2</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demand</w:t>
            </w:r>
            <w:r>
              <w:rPr>
                <w:sz w:val="16"/>
                <w:szCs w:val="16"/>
              </w:rPr>
              <w:t xml:space="preserve"> against </w:t>
            </w:r>
            <w:r>
              <w:rPr>
                <w:rStyle w:val="SourceText"/>
                <w:sz w:val="16"/>
                <w:szCs w:val="16"/>
              </w:rPr>
              <w:t>+ arrivals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7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 Jul, Sep, Oct, Nov</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8 / 0 / 4</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configuration</w:t>
            </w:r>
            <w:r>
              <w:rPr>
                <w:sz w:val="16"/>
                <w:szCs w:val="16"/>
              </w:rPr>
              <w:t xml:space="preserve"> against </w:t>
            </w:r>
            <w:r>
              <w:rPr>
                <w:rStyle w:val="SourceText"/>
                <w:sz w:val="16"/>
                <w:szCs w:val="16"/>
              </w:rPr>
              <w:t>+ demand</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5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7</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Jan, Feb, Mar, May, Jun, Aug, Nov</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4 / 1 / 7</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shared corridor</w:t>
            </w:r>
            <w:r>
              <w:rPr>
                <w:sz w:val="16"/>
                <w:szCs w:val="16"/>
              </w:rPr>
              <w:t xml:space="preserve"> against </w:t>
            </w:r>
            <w:r>
              <w:rPr>
                <w:rStyle w:val="SourceText"/>
                <w:sz w:val="16"/>
                <w:szCs w:val="16"/>
              </w:rPr>
              <w:t>+ configuration</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Jan, Feb, Mar, Apr, Jun, Jul, Aug, Sep, Oct, Nov, Dec</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 / 0 / 11</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weather</w:t>
            </w:r>
            <w:r>
              <w:rPr>
                <w:sz w:val="16"/>
                <w:szCs w:val="16"/>
              </w:rPr>
              <w:t xml:space="preserve"> against </w:t>
            </w:r>
            <w:r>
              <w:rPr>
                <w:rStyle w:val="SourceText"/>
                <w:sz w:val="16"/>
                <w:szCs w:val="16"/>
              </w:rPr>
              <w:t>+ shared corridor</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9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3</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May, Jul, Oct</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9 / 0 / 3</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shrunk encoding</w:t>
            </w:r>
            <w:r>
              <w:rPr>
                <w:sz w:val="16"/>
                <w:szCs w:val="16"/>
              </w:rPr>
              <w:t xml:space="preserve"> against </w:t>
            </w:r>
            <w:r>
              <w:rPr>
                <w:rStyle w:val="SourceText"/>
                <w:sz w:val="16"/>
                <w:szCs w:val="16"/>
              </w:rPr>
              <w:t>+ weather</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7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Jul</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4</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Jan, Feb, Sep, Nov</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7 / 0 / 5</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shrunk encoding, replacing the stand</w:t>
            </w:r>
            <w:r>
              <w:rPr>
                <w:sz w:val="16"/>
                <w:szCs w:val="16"/>
              </w:rPr>
              <w:t xml:space="preserve"> against </w:t>
            </w:r>
            <w:r>
              <w:rPr>
                <w:rStyle w:val="SourceText"/>
                <w:sz w:val="16"/>
                <w:szCs w:val="16"/>
              </w:rPr>
              <w:t>+ weather</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shrunk encoding, replacing stand and runway</w:t>
            </w:r>
            <w:r>
              <w:rPr>
                <w:sz w:val="16"/>
                <w:szCs w:val="16"/>
              </w:rPr>
              <w:t xml:space="preserve"> against </w:t>
            </w:r>
            <w:r>
              <w:rPr>
                <w:rStyle w:val="SourceText"/>
                <w:sz w:val="16"/>
                <w:szCs w:val="16"/>
              </w:rPr>
              <w:t>+ weather</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stand occupancy</w:t>
            </w:r>
            <w:r>
              <w:rPr>
                <w:sz w:val="16"/>
                <w:szCs w:val="16"/>
              </w:rPr>
              <w:t xml:space="preserve"> against </w:t>
            </w:r>
            <w:r>
              <w:rPr>
                <w:rStyle w:val="SourceText"/>
                <w:sz w:val="16"/>
                <w:szCs w:val="16"/>
              </w:rPr>
              <w:t>+ shrunk encoding, replacing the stand</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stand occupancy, schedule-anchored</w:t>
            </w:r>
            <w:r>
              <w:rPr>
                <w:sz w:val="16"/>
                <w:szCs w:val="16"/>
              </w:rPr>
              <w:t xml:space="preserve"> (diagnostic) against </w:t>
            </w:r>
            <w:r>
              <w:rPr>
                <w:rStyle w:val="SourceText"/>
                <w:sz w:val="16"/>
                <w:szCs w:val="16"/>
              </w:rPr>
              <w:t>+ shrunk encoding, replacing the stand</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callsign prefix</w:t>
            </w:r>
            <w:r>
              <w:rPr>
                <w:sz w:val="16"/>
                <w:szCs w:val="16"/>
              </w:rPr>
              <w:t xml:space="preserve"> against </w:t>
            </w:r>
            <w:r>
              <w:rPr>
                <w:rStyle w:val="SourceText"/>
                <w:sz w:val="16"/>
                <w:szCs w:val="16"/>
              </w:rPr>
              <w:t>+ stand occupancy</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11 / 0 / 1</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destination and holidays</w:t>
            </w:r>
            <w:r>
              <w:rPr>
                <w:sz w:val="16"/>
                <w:szCs w:val="16"/>
              </w:rPr>
              <w:t xml:space="preserve"> against </w:t>
            </w:r>
            <w:r>
              <w:rPr>
                <w:rStyle w:val="SourceText"/>
                <w:sz w:val="16"/>
                <w:szCs w:val="16"/>
              </w:rPr>
              <w:t>+ callsign prefix</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plan differences</w:t>
            </w:r>
            <w:r>
              <w:rPr>
                <w:sz w:val="16"/>
                <w:szCs w:val="16"/>
              </w:rPr>
              <w:t xml:space="preserve"> against </w:t>
            </w:r>
            <w:r>
              <w:rPr>
                <w:rStyle w:val="SourceText"/>
                <w:sz w:val="16"/>
                <w:szCs w:val="16"/>
              </w:rPr>
              <w:t>+ destination and holidays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11 / 0 / 1</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runway saturation</w:t>
            </w:r>
            <w:r>
              <w:rPr>
                <w:sz w:val="16"/>
                <w:szCs w:val="16"/>
              </w:rPr>
              <w:t xml:space="preserve"> against </w:t>
            </w:r>
            <w:r>
              <w:rPr>
                <w:rStyle w:val="SourceText"/>
                <w:sz w:val="16"/>
                <w:szCs w:val="16"/>
              </w:rPr>
              <w:t>+ weather</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4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8</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Jan, Feb, May, Jun, Aug, Sep, Oct, Nov</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4 / 0 / 8</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runway throughput (without plan lags)</w:t>
            </w:r>
            <w:r>
              <w:rPr>
                <w:sz w:val="16"/>
                <w:szCs w:val="16"/>
              </w:rPr>
              <w:t xml:space="preserve"> against </w:t>
            </w:r>
            <w:r>
              <w:rPr>
                <w:rStyle w:val="SourceText"/>
                <w:sz w:val="16"/>
                <w:szCs w:val="16"/>
              </w:rPr>
              <w:t>identifiers + time + geometry + aircraft</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11 / 0 / 1</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arrivals (without plan lags)</w:t>
            </w:r>
            <w:r>
              <w:rPr>
                <w:sz w:val="16"/>
                <w:szCs w:val="16"/>
              </w:rPr>
              <w:t xml:space="preserve"> against </w:t>
            </w:r>
            <w:r>
              <w:rPr>
                <w:rStyle w:val="SourceText"/>
                <w:sz w:val="16"/>
                <w:szCs w:val="16"/>
              </w:rPr>
              <w:t>+ runway throughput (without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demand (without plan lags)</w:t>
            </w:r>
            <w:r>
              <w:rPr>
                <w:sz w:val="16"/>
                <w:szCs w:val="16"/>
              </w:rPr>
              <w:t xml:space="preserve"> against </w:t>
            </w:r>
            <w:r>
              <w:rPr>
                <w:rStyle w:val="SourceText"/>
                <w:sz w:val="16"/>
                <w:szCs w:val="16"/>
              </w:rPr>
              <w:t>+ arrivals (without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12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12 / 0 / 0</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configuration (without plan lags)</w:t>
            </w:r>
            <w:r>
              <w:rPr>
                <w:sz w:val="16"/>
                <w:szCs w:val="16"/>
              </w:rPr>
              <w:t xml:space="preserve"> against </w:t>
            </w:r>
            <w:r>
              <w:rPr>
                <w:rStyle w:val="SourceText"/>
                <w:sz w:val="16"/>
                <w:szCs w:val="16"/>
              </w:rPr>
              <w:t>+ demand (without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6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Jan</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 Jul, Aug, Sep, Oct</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6 / 1 / 5</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shared corridor (without plan lags)</w:t>
            </w:r>
            <w:r>
              <w:rPr>
                <w:sz w:val="16"/>
                <w:szCs w:val="16"/>
              </w:rPr>
              <w:t xml:space="preserve"> against </w:t>
            </w:r>
            <w:r>
              <w:rPr>
                <w:rStyle w:val="SourceText"/>
                <w:sz w:val="16"/>
                <w:szCs w:val="16"/>
              </w:rPr>
              <w:t>+ configuration (without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5</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Apr, May, Aug, Sep, Dec</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6</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Feb, Mar, Jun, Jul, Oct, Nov</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 / 5 / 6</w:t>
            </w:r>
          </w:p>
        </w:tc>
      </w:tr>
      <w:tr>
        <w:trPr>
          <w:cantSplit/>
        </w:trPr>
        <w:tc>
          <w:tcPr>
            <w:tcW w:w="2128"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 weather (without plan lags)</w:t>
            </w:r>
            <w:r>
              <w:rPr>
                <w:sz w:val="16"/>
                <w:szCs w:val="16"/>
              </w:rPr>
              <w:t xml:space="preserve"> against </w:t>
            </w:r>
            <w:r>
              <w:rPr>
                <w:rStyle w:val="SourceText"/>
                <w:sz w:val="16"/>
                <w:szCs w:val="16"/>
              </w:rPr>
              <w:t>+ shared corridor (without plan lags)</w:t>
            </w:r>
          </w:p>
        </w:tc>
        <w:tc>
          <w:tcPr>
            <w:tcW w:w="991" w:type="dxa"/>
            <w:tcBorders>
              <w:bottom w:val="single" w:sz="2" w:space="0" w:color="BBBBBB"/>
            </w:tcBorders>
          </w:tcPr>
          <w:p>
            <w:pPr>
              <w:pStyle w:val="TableContents"/>
              <w:bidi w:val="0"/>
              <w:spacing w:lineRule="auto" w:line="240" w:before="0" w:after="0"/>
              <w:jc w:val="left"/>
              <w:rPr>
                <w:sz w:val="16"/>
                <w:szCs w:val="16"/>
              </w:rPr>
            </w:pPr>
            <w:r>
              <w:rPr>
                <w:sz w:val="16"/>
                <w:szCs w:val="16"/>
              </w:rPr>
              <w:t>11 of 12</w:t>
            </w:r>
          </w:p>
        </w:tc>
        <w:tc>
          <w:tcPr>
            <w:tcW w:w="991" w:type="dxa"/>
            <w:tcBorders>
              <w:bottom w:val="single" w:sz="2" w:space="0" w:color="BBBBBB"/>
            </w:tcBorders>
          </w:tcPr>
          <w:p>
            <w:pPr>
              <w:pStyle w:val="TableContents"/>
              <w:bidi w:val="0"/>
              <w:spacing w:lineRule="auto" w:line="240" w:before="0" w:after="0"/>
              <w:jc w:val="right"/>
              <w:rPr>
                <w:sz w:val="16"/>
                <w:szCs w:val="16"/>
              </w:rPr>
            </w:pPr>
            <w:r>
              <w:rPr>
                <w:sz w:val="16"/>
                <w:szCs w:val="16"/>
              </w:rPr>
              <w:t>0</w:t>
            </w:r>
          </w:p>
        </w:tc>
        <w:tc>
          <w:tcPr>
            <w:tcW w:w="1671"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802" w:type="dxa"/>
            <w:tcBorders>
              <w:bottom w:val="single" w:sz="2" w:space="0" w:color="BBBBBB"/>
            </w:tcBorders>
          </w:tcPr>
          <w:p>
            <w:pPr>
              <w:pStyle w:val="TableContents"/>
              <w:bidi w:val="0"/>
              <w:spacing w:lineRule="auto" w:line="240" w:before="0" w:after="0"/>
              <w:jc w:val="right"/>
              <w:rPr>
                <w:sz w:val="16"/>
                <w:szCs w:val="16"/>
              </w:rPr>
            </w:pPr>
            <w:r>
              <w:rPr>
                <w:sz w:val="16"/>
                <w:szCs w:val="16"/>
              </w:rPr>
              <w:t>1</w:t>
            </w:r>
          </w:p>
        </w:tc>
        <w:tc>
          <w:tcPr>
            <w:tcW w:w="1568" w:type="dxa"/>
            <w:tcBorders>
              <w:bottom w:val="single" w:sz="2" w:space="0" w:color="BBBBBB"/>
            </w:tcBorders>
          </w:tcPr>
          <w:p>
            <w:pPr>
              <w:pStyle w:val="TableContents"/>
              <w:bidi w:val="0"/>
              <w:spacing w:lineRule="auto" w:line="240" w:before="0" w:after="0"/>
              <w:jc w:val="left"/>
              <w:rPr>
                <w:sz w:val="16"/>
                <w:szCs w:val="16"/>
              </w:rPr>
            </w:pPr>
            <w:r>
              <w:rPr>
                <w:sz w:val="16"/>
                <w:szCs w:val="16"/>
              </w:rPr>
              <w:t>Jul</w:t>
            </w:r>
          </w:p>
        </w:tc>
        <w:tc>
          <w:tcPr>
            <w:tcW w:w="1821" w:type="dxa"/>
            <w:tcBorders>
              <w:bottom w:val="single" w:sz="2" w:space="0" w:color="BBBBBB"/>
            </w:tcBorders>
          </w:tcPr>
          <w:p>
            <w:pPr>
              <w:pStyle w:val="TableContents"/>
              <w:bidi w:val="0"/>
              <w:spacing w:lineRule="auto" w:line="240" w:before="0" w:after="0"/>
              <w:jc w:val="left"/>
              <w:rPr>
                <w:sz w:val="16"/>
                <w:szCs w:val="16"/>
              </w:rPr>
            </w:pPr>
            <w:r>
              <w:rPr>
                <w:sz w:val="16"/>
                <w:szCs w:val="16"/>
              </w:rPr>
              <w:t>11 / 0 / 1</w:t>
            </w:r>
          </w:p>
        </w:tc>
      </w:tr>
      <w:tr>
        <w:trPr>
          <w:cantSplit/>
        </w:trPr>
        <w:tc>
          <w:tcPr>
            <w:tcW w:w="2128" w:type="dxa"/>
            <w:tcBorders>
              <w:bottom w:val="single" w:sz="6" w:space="0" w:color="000000"/>
            </w:tcBorders>
          </w:tcPr>
          <w:p>
            <w:pPr>
              <w:pStyle w:val="TableContents"/>
              <w:bidi w:val="0"/>
              <w:spacing w:lineRule="auto" w:line="240" w:before="0" w:after="0"/>
              <w:jc w:val="left"/>
              <w:rPr>
                <w:sz w:val="16"/>
                <w:szCs w:val="16"/>
              </w:rPr>
            </w:pPr>
            <w:r>
              <w:rPr>
                <w:rStyle w:val="SourceText"/>
                <w:sz w:val="16"/>
                <w:szCs w:val="16"/>
              </w:rPr>
              <w:t>+ runway saturation (without plan lags)</w:t>
            </w:r>
            <w:r>
              <w:rPr>
                <w:sz w:val="16"/>
                <w:szCs w:val="16"/>
              </w:rPr>
              <w:t xml:space="preserve"> against </w:t>
            </w:r>
            <w:r>
              <w:rPr>
                <w:rStyle w:val="SourceText"/>
                <w:sz w:val="16"/>
                <w:szCs w:val="16"/>
              </w:rPr>
              <w:t>+ weather (without plan lags)</w:t>
            </w:r>
          </w:p>
        </w:tc>
        <w:tc>
          <w:tcPr>
            <w:tcW w:w="991" w:type="dxa"/>
            <w:tcBorders>
              <w:bottom w:val="single" w:sz="6" w:space="0" w:color="000000"/>
            </w:tcBorders>
          </w:tcPr>
          <w:p>
            <w:pPr>
              <w:pStyle w:val="TableContents"/>
              <w:bidi w:val="0"/>
              <w:spacing w:lineRule="auto" w:line="240" w:before="0" w:after="0"/>
              <w:jc w:val="left"/>
              <w:rPr>
                <w:sz w:val="16"/>
                <w:szCs w:val="16"/>
              </w:rPr>
            </w:pPr>
            <w:r>
              <w:rPr>
                <w:sz w:val="16"/>
                <w:szCs w:val="16"/>
              </w:rPr>
              <w:t>3 of 12</w:t>
            </w:r>
          </w:p>
        </w:tc>
        <w:tc>
          <w:tcPr>
            <w:tcW w:w="991" w:type="dxa"/>
            <w:tcBorders>
              <w:bottom w:val="single" w:sz="6" w:space="0" w:color="000000"/>
            </w:tcBorders>
          </w:tcPr>
          <w:p>
            <w:pPr>
              <w:pStyle w:val="TableContents"/>
              <w:bidi w:val="0"/>
              <w:spacing w:lineRule="auto" w:line="240" w:before="0" w:after="0"/>
              <w:jc w:val="right"/>
              <w:rPr>
                <w:sz w:val="16"/>
                <w:szCs w:val="16"/>
              </w:rPr>
            </w:pPr>
            <w:r>
              <w:rPr>
                <w:sz w:val="16"/>
                <w:szCs w:val="16"/>
              </w:rPr>
              <w:t>2</w:t>
            </w:r>
          </w:p>
        </w:tc>
        <w:tc>
          <w:tcPr>
            <w:tcW w:w="1671" w:type="dxa"/>
            <w:tcBorders>
              <w:bottom w:val="single" w:sz="6" w:space="0" w:color="000000"/>
            </w:tcBorders>
          </w:tcPr>
          <w:p>
            <w:pPr>
              <w:pStyle w:val="TableContents"/>
              <w:bidi w:val="0"/>
              <w:spacing w:lineRule="auto" w:line="240" w:before="0" w:after="0"/>
              <w:jc w:val="left"/>
              <w:rPr>
                <w:sz w:val="16"/>
                <w:szCs w:val="16"/>
              </w:rPr>
            </w:pPr>
            <w:r>
              <w:rPr>
                <w:sz w:val="16"/>
                <w:szCs w:val="16"/>
              </w:rPr>
              <w:t>May, Jun</w:t>
            </w:r>
          </w:p>
        </w:tc>
        <w:tc>
          <w:tcPr>
            <w:tcW w:w="802" w:type="dxa"/>
            <w:tcBorders>
              <w:bottom w:val="single" w:sz="6" w:space="0" w:color="000000"/>
            </w:tcBorders>
          </w:tcPr>
          <w:p>
            <w:pPr>
              <w:pStyle w:val="TableContents"/>
              <w:bidi w:val="0"/>
              <w:spacing w:lineRule="auto" w:line="240" w:before="0" w:after="0"/>
              <w:jc w:val="right"/>
              <w:rPr>
                <w:sz w:val="16"/>
                <w:szCs w:val="16"/>
              </w:rPr>
            </w:pPr>
            <w:r>
              <w:rPr>
                <w:sz w:val="16"/>
                <w:szCs w:val="16"/>
              </w:rPr>
              <w:t>7</w:t>
            </w:r>
          </w:p>
        </w:tc>
        <w:tc>
          <w:tcPr>
            <w:tcW w:w="1568" w:type="dxa"/>
            <w:tcBorders>
              <w:bottom w:val="single" w:sz="6" w:space="0" w:color="000000"/>
            </w:tcBorders>
          </w:tcPr>
          <w:p>
            <w:pPr>
              <w:pStyle w:val="TableContents"/>
              <w:bidi w:val="0"/>
              <w:spacing w:lineRule="auto" w:line="240" w:before="0" w:after="0"/>
              <w:jc w:val="left"/>
              <w:rPr>
                <w:sz w:val="16"/>
                <w:szCs w:val="16"/>
              </w:rPr>
            </w:pPr>
            <w:r>
              <w:rPr>
                <w:sz w:val="16"/>
                <w:szCs w:val="16"/>
              </w:rPr>
              <w:t>Jan, Feb, Mar, Jul, Aug, Oct, Nov</w:t>
            </w:r>
          </w:p>
        </w:tc>
        <w:tc>
          <w:tcPr>
            <w:tcW w:w="1821" w:type="dxa"/>
            <w:tcBorders>
              <w:bottom w:val="single" w:sz="6" w:space="0" w:color="000000"/>
            </w:tcBorders>
          </w:tcPr>
          <w:p>
            <w:pPr>
              <w:pStyle w:val="TableContents"/>
              <w:bidi w:val="0"/>
              <w:spacing w:lineRule="auto" w:line="240" w:before="0" w:after="0"/>
              <w:jc w:val="left"/>
              <w:rPr>
                <w:sz w:val="16"/>
                <w:szCs w:val="16"/>
              </w:rPr>
            </w:pPr>
            <w:r>
              <w:rPr>
                <w:sz w:val="16"/>
                <w:szCs w:val="16"/>
              </w:rPr>
              <w:t>3 / 1 / 8</w:t>
            </w:r>
          </w:p>
        </w:tc>
      </w:tr>
    </w:tbl>
    <w:p>
      <w:pPr>
        <w:pStyle w:val="SourceNote"/>
        <w:bidi w:val="0"/>
        <w:spacing w:lineRule="auto" w:line="252" w:before="160" w:after="200"/>
        <w:jc w:val="left"/>
        <w:rPr/>
      </w:pPr>
      <w:r>
        <w:rPr/>
        <w:t xml:space="preserve">Sources: </w:t>
      </w:r>
      <w:r>
        <w:rPr>
          <w:rStyle w:val="SourceText"/>
          <w:sz w:val="18"/>
          <w:szCs w:val="18"/>
        </w:rPr>
        <w:t>reports/monthly_seeds.md</w:t>
      </w:r>
      <w:r>
        <w:rPr/>
        <w:t xml:space="preserve">, </w:t>
      </w:r>
      <w:r>
        <w:rPr>
          <w:rStyle w:val="Emphasis"/>
        </w:rPr>
        <w:t>Each block's months, against each month's floor</w:t>
      </w:r>
      <w:r>
        <w:rPr/>
        <w:t>.</w:t>
      </w:r>
    </w:p>
    <w:p>
      <w:pPr>
        <w:pStyle w:val="Heading2"/>
        <w:numPr>
          <w:ilvl w:val="0"/>
          <w:numId w:val="0"/>
        </w:numPr>
        <w:bidi w:val="0"/>
        <w:spacing w:before="200" w:after="120"/>
        <w:jc w:val="left"/>
        <w:rPr/>
      </w:pPr>
      <w:bookmarkStart w:id="229" w:name="annex_C"/>
      <w:bookmarkStart w:id="228" w:name="_Toc000065"/>
      <w:r>
        <w:rPr/>
        <w:t>Annex C: the base configuration per airport and month, the bias</w:t>
      </w:r>
      <w:bookmarkEnd w:id="228"/>
      <w:bookmarkEnd w:id="229"/>
    </w:p>
    <w:p>
      <w:pPr>
        <w:pStyle w:val="BodyText"/>
        <w:bidi w:val="0"/>
        <w:spacing w:lineRule="auto" w:line="276" w:before="0" w:after="140"/>
        <w:jc w:val="left"/>
        <w:rPr/>
      </w:pPr>
      <w:r>
        <w:rPr/>
        <w:t xml:space="preserve">The five-seed average's bias per airport and month, prediction minus recorded taxi-out over the rows the term leaves to the model, in seconds; positive means the model predicts too long. The RMSE of the same cells is the table of </w:t>
      </w:r>
      <w:hyperlink w:anchor="sec_8_3" w:history="1">
        <w:r>
          <w:rPr>
            <w:rStyle w:val="InternalRef"/>
          </w:rPr>
          <w:t xml:space="preserve">§8.3</w:t>
        </w:r>
      </w:hyperlink>
      <w:r>
        <w:rPr/>
        <w:t xml:space="preserve">. A bracket is the diagnostic over the rows of four hours or less, with the count it leaves out.</w:t>
      </w:r>
    </w:p>
    <w:tbl>
      <w:tblPr>
        <w:tblW w:w="9972" w:type="dxa"/>
        <w:jc w:val="left"/>
        <w:tblInd w:w="58" w:type="dxa"/>
        <w:tblLayout w:type="fixed"/>
        <w:tblCellMar>
          <w:top w:w="36" w:type="dxa"/>
          <w:left w:w="58" w:type="dxa"/>
          <w:bottom w:w="36" w:type="dxa"/>
          <w:right w:w="58" w:type="dxa"/>
        </w:tblCellMar>
      </w:tblPr>
      <w:tblGrid>
        <w:gridCol w:w="405"/>
        <w:gridCol w:w="735"/>
        <w:gridCol w:w="735"/>
        <w:gridCol w:w="735"/>
        <w:gridCol w:w="735"/>
        <w:gridCol w:w="735"/>
        <w:gridCol w:w="735"/>
        <w:gridCol w:w="735"/>
        <w:gridCol w:w="735"/>
        <w:gridCol w:w="735"/>
        <w:gridCol w:w="735"/>
        <w:gridCol w:w="735"/>
        <w:gridCol w:w="735"/>
        <w:gridCol w:w="747"/>
      </w:tblGrid>
      <w:tr>
        <w:trPr>
          <w:tblHeader w:val="true"/>
          <w:cantSplit/>
        </w:trPr>
        <w:tc>
          <w:tcPr>
            <w:tcW w:w="405"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ICAO</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735"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747"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EDDF</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EDDM</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EGLL</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+20</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EHAM</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+14</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LEBL</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LEMD</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+4</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LFPG</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+21 [+28; 2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-11 [-10; 1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 [+6; 1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+2 [+3; 4 out]</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LIRF</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 [+3; 1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+6</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-7</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-3 [-2; 1 out]</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LSZH</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-4</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+7 [+9; 1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-19 [-12; 1 out]</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-17</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+16</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+0 [+1; 2 out]</w:t>
            </w:r>
          </w:p>
        </w:tc>
      </w:tr>
      <w:tr>
        <w:trPr>
          <w:cantSplit/>
        </w:trPr>
        <w:tc>
          <w:tcPr>
            <w:tcW w:w="405" w:type="dxa"/>
            <w:tcBorders>
              <w:bottom w:val="single" w:sz="2" w:space="0" w:color="BBBBBB"/>
            </w:tcBorders>
          </w:tcPr>
          <w:p>
            <w:pPr>
              <w:pStyle w:val="TableContents"/>
              <w:bidi w:val="0"/>
              <w:spacing w:lineRule="auto" w:line="240" w:before="0" w:after="0"/>
              <w:jc w:val="left"/>
              <w:rPr>
                <w:sz w:val="14"/>
                <w:szCs w:val="14"/>
              </w:rPr>
            </w:pPr>
            <w:r>
              <w:rPr>
                <w:sz w:val="14"/>
                <w:szCs w:val="14"/>
              </w:rPr>
              <w:t>LTFM</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-92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-29</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+10</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+2</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-8</w:t>
            </w:r>
          </w:p>
        </w:tc>
        <w:tc>
          <w:tcPr>
            <w:tcW w:w="735" w:type="dxa"/>
            <w:tcBorders>
              <w:bottom w:val="single" w:sz="2" w:space="0" w:color="BBBBBB"/>
            </w:tcBorders>
          </w:tcPr>
          <w:p>
            <w:pPr>
              <w:pStyle w:val="TableContents"/>
              <w:bidi w:val="0"/>
              <w:spacing w:lineRule="auto" w:line="240" w:before="0" w:after="0"/>
              <w:jc w:val="right"/>
              <w:rPr>
                <w:sz w:val="14"/>
                <w:szCs w:val="14"/>
              </w:rPr>
            </w:pPr>
            <w:r>
              <w:rPr>
                <w:sz w:val="14"/>
                <w:szCs w:val="14"/>
              </w:rPr>
              <w:t>+12</w:t>
            </w:r>
          </w:p>
        </w:tc>
        <w:tc>
          <w:tcPr>
            <w:tcW w:w="747" w:type="dxa"/>
            <w:tcBorders>
              <w:bottom w:val="single" w:sz="2" w:space="0" w:color="BBBBBB"/>
            </w:tcBorders>
          </w:tcPr>
          <w:p>
            <w:pPr>
              <w:pStyle w:val="TableContents"/>
              <w:bidi w:val="0"/>
              <w:spacing w:lineRule="auto" w:line="240" w:before="0" w:after="0"/>
              <w:jc w:val="right"/>
              <w:rPr>
                <w:sz w:val="14"/>
                <w:szCs w:val="14"/>
              </w:rPr>
            </w:pPr>
            <w:r>
              <w:rPr>
                <w:sz w:val="14"/>
                <w:szCs w:val="14"/>
              </w:rPr>
              <w:t>-5</w:t>
            </w:r>
          </w:p>
        </w:tc>
      </w:tr>
      <w:tr>
        <w:trPr>
          <w:cantSplit/>
        </w:trPr>
        <w:tc>
          <w:tcPr>
            <w:tcW w:w="405" w:type="dxa"/>
            <w:tcBorders>
              <w:bottom w:val="single" w:sz="6" w:space="0" w:color="000000"/>
            </w:tcBorders>
          </w:tcPr>
          <w:p>
            <w:pPr>
              <w:pStyle w:val="TableContents"/>
              <w:bidi w:val="0"/>
              <w:spacing w:lineRule="auto" w:line="240" w:before="0" w:after="0"/>
              <w:jc w:val="left"/>
              <w:rPr>
                <w:sz w:val="14"/>
                <w:szCs w:val="14"/>
              </w:rPr>
            </w:pPr>
            <w:r>
              <w:rPr>
                <w:sz w:val="14"/>
                <w:szCs w:val="14"/>
              </w:rPr>
              <w:t>all 10</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+5 [+6; 2 out]</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-10 [-9; 1 out]</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-10 [-10; 1 out]</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+3</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-10 [-9; 1 out]</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+2 [+3; 2 out]</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+7</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+5</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-11</w:t>
            </w:r>
          </w:p>
        </w:tc>
        <w:tc>
          <w:tcPr>
            <w:tcW w:w="735" w:type="dxa"/>
            <w:tcBorders>
              <w:bottom w:val="single" w:sz="6" w:space="0" w:color="000000"/>
            </w:tcBorders>
          </w:tcPr>
          <w:p>
            <w:pPr>
              <w:pStyle w:val="TableContents"/>
              <w:bidi w:val="0"/>
              <w:spacing w:lineRule="auto" w:line="240" w:before="0" w:after="0"/>
              <w:jc w:val="right"/>
              <w:rPr>
                <w:sz w:val="14"/>
                <w:szCs w:val="14"/>
              </w:rPr>
            </w:pPr>
            <w:r>
              <w:rPr>
                <w:sz w:val="14"/>
                <w:szCs w:val="14"/>
              </w:rPr>
              <w:t>+10</w:t>
            </w:r>
          </w:p>
        </w:tc>
        <w:tc>
          <w:tcPr>
            <w:tcW w:w="747" w:type="dxa"/>
            <w:tcBorders>
              <w:bottom w:val="single" w:sz="6" w:space="0" w:color="000000"/>
            </w:tcBorders>
          </w:tcPr>
          <w:p>
            <w:pPr>
              <w:pStyle w:val="TableContents"/>
              <w:bidi w:val="0"/>
              <w:spacing w:lineRule="auto" w:line="240" w:before="0" w:after="0"/>
              <w:jc w:val="right"/>
              <w:rPr>
                <w:sz w:val="14"/>
                <w:szCs w:val="14"/>
              </w:rPr>
            </w:pPr>
            <w:r>
              <w:rPr>
                <w:sz w:val="14"/>
                <w:szCs w:val="14"/>
              </w:rPr>
              <w:t>+0 [+0; 7 out]</w:t>
            </w:r>
          </w:p>
        </w:tc>
      </w:tr>
    </w:tbl>
    <w:p>
      <w:pPr>
        <w:pStyle w:val="SourceNote"/>
        <w:bidi w:val="0"/>
        <w:spacing w:lineRule="auto" w:line="252" w:before="160" w:after="200"/>
        <w:jc w:val="left"/>
        <w:rPr/>
      </w:pPr>
      <w:r>
        <w:rPr/>
        <w:t xml:space="preserve">Sources: </w:t>
      </w:r>
      <w:r>
        <w:rPr>
          <w:rStyle w:val="SourceText"/>
          <w:sz w:val="18"/>
          <w:szCs w:val="18"/>
        </w:rPr>
        <w:t>reports/monthly_seeds.md</w:t>
      </w:r>
      <w:r>
        <w:rPr/>
        <w:t xml:space="preserve">, </w:t>
      </w:r>
      <w:r>
        <w:rPr>
          <w:rStyle w:val="Emphasis"/>
        </w:rPr>
        <w:t>Per airport and month: the five-seed average</w:t>
      </w:r>
      <w:r>
        <w:rPr/>
        <w:t>.</w:t>
      </w:r>
    </w:p>
    <w:p>
      <w:pPr>
        <w:pStyle w:val="Heading2"/>
        <w:numPr>
          <w:ilvl w:val="0"/>
          <w:numId w:val="0"/>
        </w:numPr>
        <w:bidi w:val="0"/>
        <w:spacing w:before="200" w:after="120"/>
        <w:jc w:val="left"/>
        <w:rPr/>
      </w:pPr>
      <w:bookmarkStart w:id="231" w:name="annex_D"/>
      <w:bookmarkStart w:id="230" w:name="_Toc000066"/>
      <w:r>
        <w:rPr/>
        <w:t>Annex D: the geometry claim per airport and month, and the base configuration's gap on unseen pairs</w:t>
      </w:r>
      <w:bookmarkEnd w:id="230"/>
      <w:bookmarkEnd w:id="231"/>
    </w:p>
    <w:p>
      <w:pPr>
        <w:pStyle w:val="BodyText"/>
        <w:bidi w:val="0"/>
        <w:spacing w:lineRule="auto" w:line="276" w:before="0" w:after="140"/>
        <w:jc w:val="left"/>
        <w:rPr/>
      </w:pPr>
      <w:r>
        <w:rPr/>
        <w:t xml:space="preserve">The claim of </w:t>
      </w:r>
      <w:hyperlink w:anchor="sec_7_2" w:history="1">
        <w:r>
          <w:rPr>
            <w:rStyle w:val="InternalRef"/>
          </w:rPr>
          <w:t xml:space="preserve">§7.2</w:t>
        </w:r>
      </w:hyperlink>
      <w:r>
        <w:rPr/>
        <w:t xml:space="preserve"> and </w:t>
      </w:r>
      <w:hyperlink w:anchor="sec_8_5" w:history="1">
        <w:r>
          <w:rPr>
            <w:rStyle w:val="InternalRef"/>
          </w:rPr>
          <w:t xml:space="preserve">§8.5</w:t>
        </w:r>
      </w:hyperlink>
      <w:r>
        <w:rPr/>
        <w:t xml:space="preserve">,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A positive figure means the geometry helps more on unseen pairs than on seen ones. The intervals, the rows and the seen and held-out figures of every cell are in the report's own per-airport tables.</w:t>
      </w:r>
    </w:p>
    <w:tbl>
      <w:tblPr>
        <w:tblW w:w="9972" w:type="dxa"/>
        <w:jc w:val="left"/>
        <w:tblInd w:w="58" w:type="dxa"/>
        <w:tblLayout w:type="fixed"/>
        <w:tblCellMar>
          <w:top w:w="36" w:type="dxa"/>
          <w:left w:w="58" w:type="dxa"/>
          <w:bottom w:w="36" w:type="dxa"/>
          <w:right w:w="58" w:type="dxa"/>
        </w:tblCellMar>
      </w:tblPr>
      <w:tblGrid>
        <w:gridCol w:w="743"/>
        <w:gridCol w:w="709"/>
        <w:gridCol w:w="709"/>
        <w:gridCol w:w="709"/>
        <w:gridCol w:w="709"/>
        <w:gridCol w:w="709"/>
        <w:gridCol w:w="709"/>
        <w:gridCol w:w="709"/>
        <w:gridCol w:w="709"/>
        <w:gridCol w:w="709"/>
        <w:gridCol w:w="709"/>
        <w:gridCol w:w="709"/>
        <w:gridCol w:w="709"/>
        <w:gridCol w:w="721"/>
      </w:tblGrid>
      <w:tr>
        <w:trPr>
          <w:tblHeader w:val="true"/>
          <w:cantSplit/>
        </w:trPr>
        <w:tc>
          <w:tcPr>
            <w:tcW w:w="743" w:type="dxa"/>
            <w:tcBorders>
              <w:top w:val="single" w:sz="6" w:space="0" w:color="000000"/>
              <w:bottom w:val="single" w:sz="6" w:space="0" w:color="000000"/>
            </w:tcBorders>
            <w:shd w:fill="EEEEEE" w:val="clear"/>
          </w:tcPr>
          <w:p>
            <w:pPr>
              <w:pStyle w:val="TableHeading"/>
              <w:bidi w:val="0"/>
              <w:spacing w:lineRule="auto" w:line="240" w:before="0" w:after="0"/>
              <w:jc w:val="left"/>
              <w:rPr>
                <w:b/>
                <w:sz w:val="14"/>
                <w:szCs w:val="14"/>
              </w:rPr>
            </w:pPr>
            <w:r>
              <w:rPr>
                <w:b/>
                <w:sz w:val="14"/>
                <w:szCs w:val="14"/>
              </w:rPr>
              <w:t>airport</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Jan</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Feb</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Mar</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Apr</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May</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Jun</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Jul</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Aug</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Sep</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Oct</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Nov</w:t>
            </w:r>
          </w:p>
        </w:tc>
        <w:tc>
          <w:tcPr>
            <w:tcW w:w="709"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Dec</w:t>
            </w:r>
          </w:p>
        </w:tc>
        <w:tc>
          <w:tcPr>
            <w:tcW w:w="721" w:type="dxa"/>
            <w:tcBorders>
              <w:top w:val="single" w:sz="6" w:space="0" w:color="000000"/>
              <w:bottom w:val="single" w:sz="6" w:space="0" w:color="000000"/>
            </w:tcBorders>
            <w:shd w:fill="EEEEEE" w:val="clear"/>
          </w:tcPr>
          <w:p>
            <w:pPr>
              <w:pStyle w:val="TableHeading"/>
              <w:bidi w:val="0"/>
              <w:spacing w:lineRule="auto" w:line="240" w:before="0" w:after="0"/>
              <w:jc w:val="right"/>
              <w:rPr>
                <w:b/>
                <w:sz w:val="14"/>
                <w:szCs w:val="14"/>
              </w:rPr>
            </w:pPr>
            <w:r>
              <w:rPr>
                <w:b/>
                <w:sz w:val="14"/>
                <w:szCs w:val="14"/>
              </w:rPr>
              <w:t>year</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Frankfurt</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+32.8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+34.6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+33.5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+34.1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+24.4</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+30.7</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Munich</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+8.2</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+10.8</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Heathrow</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+12.5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+19.8</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+16.4</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Schiphol</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+5.3 (not clear of zero)</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+6.0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+6.0</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+9.0</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Barcelona</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+5.8 (not clear of zero)</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+12.9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+10.2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+8.8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+12.2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+6.4 (not clear of zero)</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+9.3</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Madrid</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+16.2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+14.9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+26.0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+15.4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+19.5</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+19.2</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Paris</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+17.9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+18.8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+41.4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+31.9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+28.4</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+24.2</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Fiumicino</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+29.4</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+36.9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+29.6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+26.3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+13.0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+20.7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+23.5</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+26.0</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+27.1</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+22.5</w:t>
            </w:r>
          </w:p>
        </w:tc>
      </w:tr>
      <w:tr>
        <w:trPr>
          <w:cantSplit/>
        </w:trPr>
        <w:tc>
          <w:tcPr>
            <w:tcW w:w="743" w:type="dxa"/>
            <w:tcBorders>
              <w:bottom w:val="single" w:sz="2" w:space="0" w:color="BBBBBB"/>
            </w:tcBorders>
          </w:tcPr>
          <w:p>
            <w:pPr>
              <w:pStyle w:val="TableContents"/>
              <w:bidi w:val="0"/>
              <w:spacing w:lineRule="auto" w:line="240" w:before="0" w:after="0"/>
              <w:jc w:val="left"/>
              <w:rPr>
                <w:sz w:val="14"/>
                <w:szCs w:val="14"/>
              </w:rPr>
            </w:pPr>
            <w:r>
              <w:rPr>
                <w:sz w:val="14"/>
                <w:szCs w:val="14"/>
              </w:rPr>
              <w:t>Zurich</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+23.1</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+9.3</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+21.7</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+19.8</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+22.6</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+24.9</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+23.2</w:t>
            </w:r>
          </w:p>
        </w:tc>
        <w:tc>
          <w:tcPr>
            <w:tcW w:w="709" w:type="dxa"/>
            <w:tcBorders>
              <w:bottom w:val="single" w:sz="2" w:space="0" w:color="BBBBBB"/>
            </w:tcBorders>
          </w:tcPr>
          <w:p>
            <w:pPr>
              <w:pStyle w:val="TableContents"/>
              <w:bidi w:val="0"/>
              <w:spacing w:lineRule="auto" w:line="240" w:before="0" w:after="0"/>
              <w:jc w:val="right"/>
              <w:rPr>
                <w:sz w:val="14"/>
                <w:szCs w:val="14"/>
              </w:rPr>
            </w:pPr>
            <w:r>
              <w:rPr>
                <w:sz w:val="14"/>
                <w:szCs w:val="14"/>
              </w:rPr>
              <w:t>+25.7</w:t>
            </w:r>
          </w:p>
        </w:tc>
        <w:tc>
          <w:tcPr>
            <w:tcW w:w="721" w:type="dxa"/>
            <w:tcBorders>
              <w:bottom w:val="single" w:sz="2" w:space="0" w:color="BBBBBB"/>
            </w:tcBorders>
          </w:tcPr>
          <w:p>
            <w:pPr>
              <w:pStyle w:val="TableContents"/>
              <w:bidi w:val="0"/>
              <w:spacing w:lineRule="auto" w:line="240" w:before="0" w:after="0"/>
              <w:jc w:val="right"/>
              <w:rPr>
                <w:sz w:val="14"/>
                <w:szCs w:val="14"/>
              </w:rPr>
            </w:pPr>
            <w:r>
              <w:rPr>
                <w:rStyle w:val="Strong"/>
                <w:sz w:val="14"/>
                <w:szCs w:val="14"/>
              </w:rPr>
              <w:t>+15.8</w:t>
            </w:r>
          </w:p>
        </w:tc>
      </w:tr>
      <w:tr>
        <w:trPr>
          <w:cantSplit/>
        </w:trPr>
        <w:tc>
          <w:tcPr>
            <w:tcW w:w="743" w:type="dxa"/>
            <w:tcBorders>
              <w:bottom w:val="single" w:sz="6" w:space="0" w:color="000000"/>
            </w:tcBorders>
          </w:tcPr>
          <w:p>
            <w:pPr>
              <w:pStyle w:val="TableContents"/>
              <w:bidi w:val="0"/>
              <w:spacing w:lineRule="auto" w:line="240" w:before="0" w:after="0"/>
              <w:jc w:val="left"/>
              <w:rPr>
                <w:sz w:val="14"/>
                <w:szCs w:val="14"/>
              </w:rPr>
            </w:pPr>
            <w:r>
              <w:rPr>
                <w:sz w:val="14"/>
                <w:szCs w:val="14"/>
              </w:rPr>
              <w:t>Istanbul</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+31.5</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+20.7</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+22.0</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+24.6</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+21.8</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+28.1</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+19.6</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+26.8</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+30.2</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+23.8</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+25.2</w:t>
            </w:r>
          </w:p>
        </w:tc>
        <w:tc>
          <w:tcPr>
            <w:tcW w:w="709" w:type="dxa"/>
            <w:tcBorders>
              <w:bottom w:val="single" w:sz="6" w:space="0" w:color="000000"/>
            </w:tcBorders>
          </w:tcPr>
          <w:p>
            <w:pPr>
              <w:pStyle w:val="TableContents"/>
              <w:bidi w:val="0"/>
              <w:spacing w:lineRule="auto" w:line="240" w:before="0" w:after="0"/>
              <w:jc w:val="right"/>
              <w:rPr>
                <w:sz w:val="14"/>
                <w:szCs w:val="14"/>
              </w:rPr>
            </w:pPr>
            <w:r>
              <w:rPr>
                <w:sz w:val="14"/>
                <w:szCs w:val="14"/>
              </w:rPr>
              <w:t>+30.9</w:t>
            </w:r>
          </w:p>
        </w:tc>
        <w:tc>
          <w:tcPr>
            <w:tcW w:w="721" w:type="dxa"/>
            <w:tcBorders>
              <w:bottom w:val="single" w:sz="6" w:space="0" w:color="000000"/>
            </w:tcBorders>
          </w:tcPr>
          <w:p>
            <w:pPr>
              <w:pStyle w:val="TableContents"/>
              <w:bidi w:val="0"/>
              <w:spacing w:lineRule="auto" w:line="240" w:before="0" w:after="0"/>
              <w:jc w:val="right"/>
              <w:rPr>
                <w:sz w:val="14"/>
                <w:szCs w:val="14"/>
              </w:rPr>
            </w:pPr>
            <w:r>
              <w:rPr>
                <w:rStyle w:val="Strong"/>
                <w:sz w:val="14"/>
                <w:szCs w:val="14"/>
              </w:rPr>
              <w:t>+24.9</w:t>
            </w:r>
          </w:p>
        </w:tc>
      </w:tr>
    </w:tbl>
    <w:p>
      <w:pPr>
        <w:pStyle w:val="BodyText"/>
        <w:bidi w:val="0"/>
        <w:spacing w:lineRule="auto" w:line="276" w:before="160" w:after="140"/>
        <w:jc w:val="left"/>
        <w:rPr/>
      </w:pPr>
      <w:r>
        <w:rPr/>
        <w:t>Zurich's year figure, +15.8 s, lies below eleven of its twelve months. The year is the claim computed over the year's rows, not an average of the months. Two Zurich rows with recorded taxi-outs above four hours, one in February and one in May, enter both rungs' errors alike and so shrink the difference between them. In May that row alone brings the held-out error with the geometry block to 604.6 s, against 224.6 s on the rows of four hours or less. Over the rows of four hours or less the year reads +22.1 s [+13.9, +29.0], in line with the months. The claim clears zero on both readings.</w:t>
      </w:r>
    </w:p>
    <w:p>
      <w:pPr>
        <w:pStyle w:val="BodyText"/>
        <w:bidi w:val="0"/>
        <w:spacing w:lineRule="auto" w:line="276" w:before="0" w:after="140"/>
        <w:jc w:val="left"/>
        <w:rPr/>
      </w:pPr>
      <w:r>
        <w:rPr/>
        <w:t>Per airport, the months whose claim clears zero:</w:t>
      </w:r>
    </w:p>
    <w:tbl>
      <w:tblPr>
        <w:tblW w:w="9972" w:type="dxa"/>
        <w:jc w:val="left"/>
        <w:tblInd w:w="58" w:type="dxa"/>
        <w:tblLayout w:type="fixed"/>
        <w:tblCellMar>
          <w:top w:w="36" w:type="dxa"/>
          <w:left w:w="58" w:type="dxa"/>
          <w:bottom w:w="36" w:type="dxa"/>
          <w:right w:w="58" w:type="dxa"/>
        </w:tblCellMar>
      </w:tblPr>
      <w:tblGrid>
        <w:gridCol w:w="1473"/>
        <w:gridCol w:w="2833"/>
        <w:gridCol w:w="2493"/>
        <w:gridCol w:w="3173"/>
      </w:tblGrid>
      <w:tr>
        <w:trPr>
          <w:tblHeader w:val="true"/>
          <w:cantSplit/>
        </w:trPr>
        <w:tc>
          <w:tcPr>
            <w:tcW w:w="147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ICAO</w:t>
            </w:r>
          </w:p>
        </w:tc>
        <w:tc>
          <w:tcPr>
            <w:tcW w:w="2833"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months clear of zero</w:t>
            </w:r>
          </w:p>
        </w:tc>
        <w:tc>
          <w:tcPr>
            <w:tcW w:w="249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months not clear</w:t>
            </w:r>
          </w:p>
        </w:tc>
        <w:tc>
          <w:tcPr>
            <w:tcW w:w="317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months printed as counts</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EDDF</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EDDM</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EGLL</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EHAM</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11</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Jan</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LEBL</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10</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Jan, Dec</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LEMD</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LFPG</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LIRF</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2" w:space="0" w:color="BBBBBB"/>
            </w:tcBorders>
          </w:tcPr>
          <w:p>
            <w:pPr>
              <w:pStyle w:val="TableContents"/>
              <w:bidi w:val="0"/>
              <w:spacing w:lineRule="auto" w:line="240" w:before="0" w:after="0"/>
              <w:jc w:val="left"/>
              <w:rPr>
                <w:sz w:val="17"/>
                <w:szCs w:val="17"/>
              </w:rPr>
            </w:pPr>
            <w:r>
              <w:rPr>
                <w:sz w:val="17"/>
                <w:szCs w:val="17"/>
              </w:rPr>
              <w:t>LSZH</w:t>
            </w:r>
          </w:p>
        </w:tc>
        <w:tc>
          <w:tcPr>
            <w:tcW w:w="2833" w:type="dxa"/>
            <w:tcBorders>
              <w:bottom w:val="single" w:sz="2" w:space="0" w:color="BBBBBB"/>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473" w:type="dxa"/>
            <w:tcBorders>
              <w:bottom w:val="single" w:sz="6" w:space="0" w:color="000000"/>
            </w:tcBorders>
          </w:tcPr>
          <w:p>
            <w:pPr>
              <w:pStyle w:val="TableContents"/>
              <w:bidi w:val="0"/>
              <w:spacing w:lineRule="auto" w:line="240" w:before="0" w:after="0"/>
              <w:jc w:val="left"/>
              <w:rPr>
                <w:sz w:val="17"/>
                <w:szCs w:val="17"/>
              </w:rPr>
            </w:pPr>
            <w:r>
              <w:rPr>
                <w:sz w:val="17"/>
                <w:szCs w:val="17"/>
              </w:rPr>
              <w:t>LTFM</w:t>
            </w:r>
          </w:p>
        </w:tc>
        <w:tc>
          <w:tcPr>
            <w:tcW w:w="2833" w:type="dxa"/>
            <w:tcBorders>
              <w:bottom w:val="single" w:sz="6" w:space="0" w:color="000000"/>
            </w:tcBorders>
          </w:tcPr>
          <w:p>
            <w:pPr>
              <w:pStyle w:val="TableContents"/>
              <w:bidi w:val="0"/>
              <w:spacing w:lineRule="auto" w:line="240" w:before="0" w:after="0"/>
              <w:jc w:val="right"/>
              <w:rPr>
                <w:sz w:val="17"/>
                <w:szCs w:val="17"/>
              </w:rPr>
            </w:pPr>
            <w:r>
              <w:rPr>
                <w:sz w:val="17"/>
                <w:szCs w:val="17"/>
              </w:rPr>
              <w:t>12</w:t>
            </w:r>
          </w:p>
        </w:tc>
        <w:tc>
          <w:tcPr>
            <w:tcW w:w="2493" w:type="dxa"/>
            <w:tcBorders>
              <w:bottom w:val="single" w:sz="6" w:space="0" w:color="000000"/>
            </w:tcBorders>
          </w:tcPr>
          <w:p>
            <w:pPr>
              <w:pStyle w:val="TableContents"/>
              <w:bidi w:val="0"/>
              <w:spacing w:lineRule="auto" w:line="240" w:before="0" w:after="0"/>
              <w:jc w:val="left"/>
              <w:rPr>
                <w:sz w:val="17"/>
                <w:szCs w:val="17"/>
              </w:rPr>
            </w:pPr>
            <w:r>
              <w:rPr>
                <w:sz w:val="17"/>
                <w:szCs w:val="17"/>
              </w:rPr>
              <w:t>none</w:t>
            </w:r>
          </w:p>
        </w:tc>
        <w:tc>
          <w:tcPr>
            <w:tcW w:w="3173" w:type="dxa"/>
            <w:tcBorders>
              <w:bottom w:val="single" w:sz="6" w:space="0" w:color="000000"/>
            </w:tcBorders>
          </w:tcPr>
          <w:p>
            <w:pPr>
              <w:pStyle w:val="TableContents"/>
              <w:bidi w:val="0"/>
              <w:spacing w:lineRule="auto" w:line="240" w:before="0" w:after="0"/>
              <w:jc w:val="left"/>
              <w:rPr>
                <w:sz w:val="17"/>
                <w:szCs w:val="17"/>
              </w:rPr>
            </w:pPr>
            <w:r>
              <w:rPr>
                <w:sz w:val="17"/>
                <w:szCs w:val="17"/>
              </w:rPr>
              <w:t>none</w:t>
            </w:r>
          </w:p>
        </w:tc>
      </w:tr>
    </w:tbl>
    <w:p>
      <w:pPr>
        <w:pStyle w:val="BodyText"/>
        <w:bidi w:val="0"/>
        <w:spacing w:lineRule="auto" w:line="276" w:before="160" w:after="140"/>
        <w:jc w:val="left"/>
        <w:rPr/>
      </w:pPr>
      <w:r>
        <w:rPr/>
        <w:t xml:space="preserve">The shipped rung, </w:t>
      </w:r>
      <w:r>
        <w:rPr>
          <w:rStyle w:val="SourceText"/>
        </w:rPr>
        <w:t>+ plan differences</w:t>
      </w:r>
      <w:r>
        <w:rPr/>
        <w:t>, held out minus seen, per month with its interval: how much worse the base configuration reads on a pair it has never seen than on one it has. Context, not a claim; the bracketed figures are over the rows of four hours or less, a diagnostic.</w:t>
      </w:r>
    </w:p>
    <w:tbl>
      <w:tblPr>
        <w:tblW w:w="9972" w:type="dxa"/>
        <w:jc w:val="left"/>
        <w:tblInd w:w="58" w:type="dxa"/>
        <w:tblLayout w:type="fixed"/>
        <w:tblCellMar>
          <w:top w:w="36" w:type="dxa"/>
          <w:left w:w="58" w:type="dxa"/>
          <w:bottom w:w="36" w:type="dxa"/>
          <w:right w:w="58" w:type="dxa"/>
        </w:tblCellMar>
      </w:tblPr>
      <w:tblGrid>
        <w:gridCol w:w="739"/>
        <w:gridCol w:w="1705"/>
        <w:gridCol w:w="1970"/>
        <w:gridCol w:w="1837"/>
        <w:gridCol w:w="3721"/>
      </w:tblGrid>
      <w:tr>
        <w:trPr>
          <w:tblHeader w:val="true"/>
          <w:cantSplit/>
        </w:trPr>
        <w:tc>
          <w:tcPr>
            <w:tcW w:w="73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month</w:t>
            </w:r>
          </w:p>
        </w:tc>
        <w:tc>
          <w:tcPr>
            <w:tcW w:w="1705"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seen (s) [4 h or less]</w:t>
            </w:r>
          </w:p>
        </w:tc>
        <w:tc>
          <w:tcPr>
            <w:tcW w:w="1970"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held out (s) [4 h or less]</w:t>
            </w:r>
          </w:p>
        </w:tc>
        <w:tc>
          <w:tcPr>
            <w:tcW w:w="1837"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gap [95%]</w:t>
            </w:r>
          </w:p>
        </w:tc>
        <w:tc>
          <w:tcPr>
            <w:tcW w:w="3721"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gap over the rows of 4 h or less [95%] (diagnostic)</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Jan</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221.3 [221.3]</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327.6 [237.4]</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+106.3 s [+13.2, +199.9]</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+16.1 s [+7.1, +25.3]</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Feb</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213.5 [213.5]</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245.1 [240.7]</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+31.6 s [+18.3, +46.4]</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+27.2 s [+16.1, +38.9]</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Mar</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186.0 [186.0]</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209.6 [205.8]</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+23.6 s [+14.5, +34.2]</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+19.7 s [+12.3, +26.8]</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Apr</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186.5 [186.5]</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202.9 [202.9]</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+16.4 s [+3.0, +27.2]</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+16.4 s [+3.0, +27.2]</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May</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187.0 [187.0]</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275.2 [210.1]</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+88.3 s [+16.6, +168.8]</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+23.1 s [+15.3, +29.5]</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Jun</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224.3 [224.3]</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231.1 [231.1]</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+6.8 s [-8.1, +19.5]</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+6.8 s [-8.1, +19.5]</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Jul</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237.9 [237.9]</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309.4 [259.8]</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+71.5 s [+13.5, +143.8]</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+21.8 s [+10.3, +32.9]</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Aug</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239.8 [239.8]</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231.1 [231.1]</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-8.7 s [-27.9, +10.4]</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-8.7 s [-27.9, +10.4]</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Sep</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216.6 [216.6]</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225.9 [225.9]</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+9.3 s [-1.3, +19.5]</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+9.3 s [-1.3, +19.5]</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Oct</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234.9 [234.9]</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223.8 [223.8]</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-11.1 s [-36.1, +12.3]</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-11.1 s [-36.1, +12.3]</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Nov</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212.9 [212.9]</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220.1 [220.1]</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+7.2 s [-4.2, +17.7]</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+7.2 s [-4.2, +17.7]</w:t>
            </w:r>
          </w:p>
        </w:tc>
      </w:tr>
      <w:tr>
        <w:trPr>
          <w:cantSplit/>
        </w:trPr>
        <w:tc>
          <w:tcPr>
            <w:tcW w:w="739" w:type="dxa"/>
            <w:tcBorders>
              <w:bottom w:val="single" w:sz="2" w:space="0" w:color="BBBBBB"/>
            </w:tcBorders>
          </w:tcPr>
          <w:p>
            <w:pPr>
              <w:pStyle w:val="TableContents"/>
              <w:bidi w:val="0"/>
              <w:spacing w:lineRule="auto" w:line="240" w:before="0" w:after="0"/>
              <w:jc w:val="left"/>
              <w:rPr>
                <w:sz w:val="17"/>
                <w:szCs w:val="17"/>
              </w:rPr>
            </w:pPr>
            <w:r>
              <w:rPr>
                <w:sz w:val="17"/>
                <w:szCs w:val="17"/>
              </w:rPr>
              <w:t>Dec</w:t>
            </w:r>
          </w:p>
        </w:tc>
        <w:tc>
          <w:tcPr>
            <w:tcW w:w="1705" w:type="dxa"/>
            <w:tcBorders>
              <w:bottom w:val="single" w:sz="2" w:space="0" w:color="BBBBBB"/>
            </w:tcBorders>
          </w:tcPr>
          <w:p>
            <w:pPr>
              <w:pStyle w:val="TableContents"/>
              <w:bidi w:val="0"/>
              <w:spacing w:lineRule="auto" w:line="240" w:before="0" w:after="0"/>
              <w:jc w:val="right"/>
              <w:rPr>
                <w:sz w:val="17"/>
                <w:szCs w:val="17"/>
              </w:rPr>
            </w:pPr>
            <w:r>
              <w:rPr>
                <w:sz w:val="17"/>
                <w:szCs w:val="17"/>
              </w:rPr>
              <w:t>208.2 [208.2]</w:t>
            </w:r>
          </w:p>
        </w:tc>
        <w:tc>
          <w:tcPr>
            <w:tcW w:w="1970" w:type="dxa"/>
            <w:tcBorders>
              <w:bottom w:val="single" w:sz="2" w:space="0" w:color="BBBBBB"/>
            </w:tcBorders>
          </w:tcPr>
          <w:p>
            <w:pPr>
              <w:pStyle w:val="TableContents"/>
              <w:bidi w:val="0"/>
              <w:spacing w:lineRule="auto" w:line="240" w:before="0" w:after="0"/>
              <w:jc w:val="right"/>
              <w:rPr>
                <w:sz w:val="17"/>
                <w:szCs w:val="17"/>
              </w:rPr>
            </w:pPr>
            <w:r>
              <w:rPr>
                <w:sz w:val="17"/>
                <w:szCs w:val="17"/>
              </w:rPr>
              <w:t>223.3 [223.3]</w:t>
            </w:r>
          </w:p>
        </w:tc>
        <w:tc>
          <w:tcPr>
            <w:tcW w:w="1837" w:type="dxa"/>
            <w:tcBorders>
              <w:bottom w:val="single" w:sz="2" w:space="0" w:color="BBBBBB"/>
            </w:tcBorders>
          </w:tcPr>
          <w:p>
            <w:pPr>
              <w:pStyle w:val="TableContents"/>
              <w:bidi w:val="0"/>
              <w:spacing w:lineRule="auto" w:line="240" w:before="0" w:after="0"/>
              <w:jc w:val="right"/>
              <w:rPr>
                <w:sz w:val="17"/>
                <w:szCs w:val="17"/>
              </w:rPr>
            </w:pPr>
            <w:r>
              <w:rPr>
                <w:sz w:val="17"/>
                <w:szCs w:val="17"/>
              </w:rPr>
              <w:t>+15.0 s [+6.5, +23.4]</w:t>
            </w:r>
          </w:p>
        </w:tc>
        <w:tc>
          <w:tcPr>
            <w:tcW w:w="3721" w:type="dxa"/>
            <w:tcBorders>
              <w:bottom w:val="single" w:sz="2" w:space="0" w:color="BBBBBB"/>
            </w:tcBorders>
          </w:tcPr>
          <w:p>
            <w:pPr>
              <w:pStyle w:val="TableContents"/>
              <w:bidi w:val="0"/>
              <w:spacing w:lineRule="auto" w:line="240" w:before="0" w:after="0"/>
              <w:jc w:val="right"/>
              <w:rPr>
                <w:sz w:val="17"/>
                <w:szCs w:val="17"/>
              </w:rPr>
            </w:pPr>
            <w:r>
              <w:rPr>
                <w:sz w:val="17"/>
                <w:szCs w:val="17"/>
              </w:rPr>
              <w:t>+15.0 s [+6.5, +23.4]</w:t>
            </w:r>
          </w:p>
        </w:tc>
      </w:tr>
      <w:tr>
        <w:trPr>
          <w:cantSplit/>
        </w:trPr>
        <w:tc>
          <w:tcPr>
            <w:tcW w:w="739" w:type="dxa"/>
            <w:tcBorders>
              <w:bottom w:val="single" w:sz="6" w:space="0" w:color="000000"/>
            </w:tcBorders>
          </w:tcPr>
          <w:p>
            <w:pPr>
              <w:pStyle w:val="TableContents"/>
              <w:bidi w:val="0"/>
              <w:spacing w:lineRule="auto" w:line="240" w:before="0" w:after="0"/>
              <w:jc w:val="left"/>
              <w:rPr>
                <w:sz w:val="17"/>
                <w:szCs w:val="17"/>
              </w:rPr>
            </w:pPr>
            <w:r>
              <w:rPr>
                <w:rStyle w:val="Strong"/>
                <w:sz w:val="17"/>
                <w:szCs w:val="17"/>
              </w:rPr>
              <w:t>the year</w:t>
            </w:r>
          </w:p>
        </w:tc>
        <w:tc>
          <w:tcPr>
            <w:tcW w:w="1705" w:type="dxa"/>
            <w:tcBorders>
              <w:bottom w:val="single" w:sz="6" w:space="0" w:color="000000"/>
            </w:tcBorders>
          </w:tcPr>
          <w:p>
            <w:pPr>
              <w:pStyle w:val="TableContents"/>
              <w:bidi w:val="0"/>
              <w:spacing w:lineRule="auto" w:line="240" w:before="0" w:after="0"/>
              <w:jc w:val="right"/>
              <w:rPr>
                <w:sz w:val="17"/>
                <w:szCs w:val="17"/>
              </w:rPr>
            </w:pPr>
            <w:r>
              <w:rPr>
                <w:sz w:val="17"/>
                <w:szCs w:val="17"/>
              </w:rPr>
              <w:t>215.5 [215.5]</w:t>
            </w:r>
          </w:p>
        </w:tc>
        <w:tc>
          <w:tcPr>
            <w:tcW w:w="1970" w:type="dxa"/>
            <w:tcBorders>
              <w:bottom w:val="single" w:sz="6" w:space="0" w:color="000000"/>
            </w:tcBorders>
          </w:tcPr>
          <w:p>
            <w:pPr>
              <w:pStyle w:val="TableContents"/>
              <w:bidi w:val="0"/>
              <w:spacing w:lineRule="auto" w:line="240" w:before="0" w:after="0"/>
              <w:jc w:val="right"/>
              <w:rPr>
                <w:sz w:val="17"/>
                <w:szCs w:val="17"/>
              </w:rPr>
            </w:pPr>
            <w:r>
              <w:rPr>
                <w:sz w:val="17"/>
                <w:szCs w:val="17"/>
              </w:rPr>
              <w:t>250.7 [226.6]</w:t>
            </w:r>
          </w:p>
        </w:tc>
        <w:tc>
          <w:tcPr>
            <w:tcW w:w="1837" w:type="dxa"/>
            <w:tcBorders>
              <w:bottom w:val="single" w:sz="6" w:space="0" w:color="000000"/>
            </w:tcBorders>
          </w:tcPr>
          <w:p>
            <w:pPr>
              <w:pStyle w:val="TableContents"/>
              <w:bidi w:val="0"/>
              <w:spacing w:lineRule="auto" w:line="240" w:before="0" w:after="0"/>
              <w:jc w:val="right"/>
              <w:rPr>
                <w:sz w:val="17"/>
                <w:szCs w:val="17"/>
              </w:rPr>
            </w:pPr>
            <w:r>
              <w:rPr>
                <w:sz w:val="17"/>
                <w:szCs w:val="17"/>
              </w:rPr>
              <w:t>+35.1 s [+13.8, +57.0]</w:t>
            </w:r>
          </w:p>
        </w:tc>
        <w:tc>
          <w:tcPr>
            <w:tcW w:w="3721" w:type="dxa"/>
            <w:tcBorders>
              <w:bottom w:val="single" w:sz="6" w:space="0" w:color="000000"/>
            </w:tcBorders>
          </w:tcPr>
          <w:p>
            <w:pPr>
              <w:pStyle w:val="TableContents"/>
              <w:bidi w:val="0"/>
              <w:spacing w:lineRule="auto" w:line="240" w:before="0" w:after="0"/>
              <w:jc w:val="right"/>
              <w:rPr>
                <w:sz w:val="17"/>
                <w:szCs w:val="17"/>
              </w:rPr>
            </w:pPr>
            <w:r>
              <w:rPr>
                <w:sz w:val="17"/>
                <w:szCs w:val="17"/>
              </w:rPr>
              <w:t>+11.0 s [+5.9, +16.3]</w:t>
            </w:r>
          </w:p>
        </w:tc>
      </w:tr>
    </w:tbl>
    <w:p>
      <w:pPr>
        <w:pStyle w:val="SourceNote"/>
        <w:bidi w:val="0"/>
        <w:spacing w:lineRule="auto" w:line="252" w:before="160" w:after="200"/>
        <w:jc w:val="left"/>
        <w:rPr/>
      </w:pPr>
      <w:r>
        <w:rPr/>
        <w:t xml:space="preserve">Sources: </w:t>
      </w:r>
      <w:r>
        <w:rPr>
          <w:rStyle w:val="SourceText"/>
          <w:sz w:val="18"/>
          <w:szCs w:val="18"/>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numPr>
          <w:ilvl w:val="0"/>
          <w:numId w:val="0"/>
        </w:numPr>
        <w:bidi w:val="0"/>
        <w:spacing w:before="200" w:after="120"/>
        <w:jc w:val="left"/>
        <w:rPr/>
      </w:pPr>
      <w:bookmarkStart w:id="233" w:name="annex_E"/>
      <w:bookmarkStart w:id="232" w:name="_Toc000067"/>
      <w:r>
        <w:rPr/>
        <w:t>Annex E: the year's weather against its ten-year norm</w:t>
      </w:r>
      <w:bookmarkEnd w:id="232"/>
      <w:bookmarkEnd w:id="233"/>
    </w:p>
    <w:p>
      <w:pPr>
        <w:pStyle w:val="BodyText"/>
        <w:bidi w:val="0"/>
        <w:spacing w:lineRule="auto" w:line="276" w:before="0" w:after="14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9972" w:type="dxa"/>
        <w:jc w:val="left"/>
        <w:tblInd w:w="58" w:type="dxa"/>
        <w:tblLayout w:type="fixed"/>
        <w:tblCellMar>
          <w:top w:w="36" w:type="dxa"/>
          <w:left w:w="58" w:type="dxa"/>
          <w:bottom w:w="36" w:type="dxa"/>
          <w:right w:w="58" w:type="dxa"/>
        </w:tblCellMar>
      </w:tblPr>
      <w:tblGrid>
        <w:gridCol w:w="2691"/>
        <w:gridCol w:w="7281"/>
      </w:tblGrid>
      <w:tr>
        <w:trPr>
          <w:tblHeader w:val="true"/>
          <w:cantSplit/>
        </w:trPr>
        <w:tc>
          <w:tcPr>
            <w:tcW w:w="2691"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airport</w:t>
            </w:r>
          </w:p>
        </w:tc>
        <w:tc>
          <w:tcPr>
            <w:tcW w:w="7281"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2025 months outside the 2015 to 2024 range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Frankfurt</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April (freezing below); July (precipitation above); September (precipitation above); November (freezing above); December (precipitation below)</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Munich</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February (precipitation below); July (precipitation above); December (precipitation below)</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Heathrow</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March (precipitation below)</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Schiphol</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January (low visibility above); March (precipitation below); October (precipitation above)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Barcelona</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March (low visibility above, precipitation above); May (freezing above, low visibility above); June (precipitation below); July (precipitation above); December (precipitation above)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Madrid</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January (precipitation above); March (precipitation above); May (low visibility above)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Paris</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February (low visibility above); March (precipitation below); November (freezing above)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Fiumicino</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June (precipitation below); December (low visibility above)</w:t>
            </w:r>
          </w:p>
        </w:tc>
      </w:tr>
      <w:tr>
        <w:trPr>
          <w:cantSplit/>
        </w:trPr>
        <w:tc>
          <w:tcPr>
            <w:tcW w:w="2691" w:type="dxa"/>
            <w:tcBorders>
              <w:bottom w:val="single" w:sz="2" w:space="0" w:color="BBBBBB"/>
            </w:tcBorders>
          </w:tcPr>
          <w:p>
            <w:pPr>
              <w:pStyle w:val="TableContents"/>
              <w:bidi w:val="0"/>
              <w:spacing w:lineRule="auto" w:line="240" w:before="0" w:after="0"/>
              <w:jc w:val="left"/>
              <w:rPr>
                <w:sz w:val="18"/>
                <w:szCs w:val="18"/>
              </w:rPr>
            </w:pPr>
            <w:r>
              <w:rPr>
                <w:sz w:val="18"/>
                <w:szCs w:val="18"/>
              </w:rPr>
              <w:t>Zurich</w:t>
            </w:r>
          </w:p>
        </w:tc>
        <w:tc>
          <w:tcPr>
            <w:tcW w:w="7281" w:type="dxa"/>
            <w:tcBorders>
              <w:bottom w:val="single" w:sz="2" w:space="0" w:color="BBBBBB"/>
            </w:tcBorders>
          </w:tcPr>
          <w:p>
            <w:pPr>
              <w:pStyle w:val="TableContents"/>
              <w:bidi w:val="0"/>
              <w:spacing w:lineRule="auto" w:line="240" w:before="0" w:after="0"/>
              <w:jc w:val="left"/>
              <w:rPr>
                <w:sz w:val="18"/>
                <w:szCs w:val="18"/>
              </w:rPr>
            </w:pPr>
            <w:r>
              <w:rPr>
                <w:sz w:val="18"/>
                <w:szCs w:val="18"/>
              </w:rPr>
              <w:t>November (freezing above)</w:t>
            </w:r>
          </w:p>
        </w:tc>
      </w:tr>
      <w:tr>
        <w:trPr>
          <w:cantSplit/>
        </w:trPr>
        <w:tc>
          <w:tcPr>
            <w:tcW w:w="2691" w:type="dxa"/>
            <w:tcBorders>
              <w:bottom w:val="single" w:sz="6" w:space="0" w:color="000000"/>
            </w:tcBorders>
          </w:tcPr>
          <w:p>
            <w:pPr>
              <w:pStyle w:val="TableContents"/>
              <w:bidi w:val="0"/>
              <w:spacing w:lineRule="auto" w:line="240" w:before="0" w:after="0"/>
              <w:jc w:val="left"/>
              <w:rPr>
                <w:sz w:val="18"/>
                <w:szCs w:val="18"/>
              </w:rPr>
            </w:pPr>
            <w:r>
              <w:rPr>
                <w:sz w:val="18"/>
                <w:szCs w:val="18"/>
              </w:rPr>
              <w:t>Istanbul</w:t>
            </w:r>
          </w:p>
        </w:tc>
        <w:tc>
          <w:tcPr>
            <w:tcW w:w="7281" w:type="dxa"/>
            <w:tcBorders>
              <w:bottom w:val="single" w:sz="6" w:space="0" w:color="000000"/>
            </w:tcBorders>
          </w:tcPr>
          <w:p>
            <w:pPr>
              <w:pStyle w:val="TableContents"/>
              <w:bidi w:val="0"/>
              <w:spacing w:lineRule="auto" w:line="240" w:before="0" w:after="0"/>
              <w:jc w:val="left"/>
              <w:rPr>
                <w:sz w:val="18"/>
                <w:szCs w:val="18"/>
              </w:rPr>
            </w:pPr>
            <w:r>
              <w:rPr>
                <w:sz w:val="18"/>
                <w:szCs w:val="18"/>
              </w:rPr>
              <w:t>January (freezing below); February (freezing above, precipitation above); March (low visibility above); April (freezing above, low visibility above); June (precipitation below); July (low visibility above, precipitation below)</w:t>
            </w:r>
          </w:p>
        </w:tc>
      </w:tr>
    </w:tbl>
    <w:p>
      <w:pPr>
        <w:pStyle w:val="BodyText"/>
        <w:bidi w:val="0"/>
        <w:spacing w:lineRule="auto" w:line="276" w:before="160" w:after="140"/>
        <w:jc w:val="left"/>
        <w:rPr/>
      </w:pPr>
      <w:r>
        <w:rPr/>
        <w:t xml:space="preserve">The full tables, one per airport with the 2025 share, the ten-year mean and the range for every month, are the report's </w:t>
      </w:r>
      <w:hyperlink w:anchor="annex_E" w:history="1">
        <w:r>
          <w:rPr>
            <w:rStyle w:val="InternalRef"/>
          </w:rPr>
          <w:t xml:space="preserve">Annex E</w:t>
        </w:r>
      </w:hyperlink>
      <w:r>
        <w:rPr/>
        <w:t xml:space="preserve">. Istanbul's February, the one airport-month of </w:t>
      </w:r>
      <w:hyperlink w:anchor="sec_8_3" w:history="1">
        <w:r>
          <w:rPr>
            <w:rStyle w:val="InternalRef"/>
          </w:rPr>
          <w:t xml:space="preserve">§8.3</w:t>
        </w:r>
      </w:hyperlink>
      <w:r>
        <w:rPr/>
        <w:t xml:space="preserve"> above 500 s that no single row explains, is above its range on freezing and on precipitation; </w:t>
      </w:r>
      <w:hyperlink w:anchor="annex_G" w:history="1">
        <w:r>
          <w:rPr>
            <w:rStyle w:val="InternalRef"/>
          </w:rPr>
          <w:t xml:space="preserve">Annex G</w:t>
        </w:r>
      </w:hyperlink>
      <w:r>
        <w:rPr/>
        <w:t xml:space="preserve"> reads it day by day. The two test months are not in these tables, but </w:t>
      </w:r>
      <w:hyperlink w:anchor="sec_7_3" w:history="1">
        <w:r>
          <w:rPr>
            <w:rStyle w:val="InternalRef"/>
          </w:rPr>
          <w:t xml:space="preserve">§7.3</w:t>
        </w:r>
      </w:hyperlink>
      <w:r>
        <w:rPr/>
        <w:t xml:space="preserve"> gives their regime shares against 2025.</w:t>
      </w:r>
    </w:p>
    <w:p>
      <w:pPr>
        <w:pStyle w:val="SourceNote"/>
        <w:bidi w:val="0"/>
        <w:spacing w:lineRule="auto" w:line="252" w:before="0" w:after="200"/>
        <w:jc w:val="left"/>
        <w:rPr/>
      </w:pPr>
      <w:r>
        <w:rPr/>
        <w:t xml:space="preserve">Sources: </w:t>
      </w:r>
      <w:r>
        <w:rPr>
          <w:rStyle w:val="SourceText"/>
          <w:sz w:val="18"/>
          <w:szCs w:val="18"/>
        </w:rPr>
        <w:t>reports/monthly_ladder.md</w:t>
      </w:r>
      <w:r>
        <w:rPr/>
        <w:t xml:space="preserve">, </w:t>
      </w:r>
      <w:r>
        <w:rPr>
          <w:rStyle w:val="Emphasis"/>
        </w:rPr>
        <w:t>Annex E: the historic weather context</w:t>
      </w:r>
      <w:r>
        <w:rPr/>
        <w:t>.</w:t>
      </w:r>
    </w:p>
    <w:p>
      <w:pPr>
        <w:pStyle w:val="Heading2"/>
        <w:numPr>
          <w:ilvl w:val="0"/>
          <w:numId w:val="0"/>
        </w:numPr>
        <w:bidi w:val="0"/>
        <w:spacing w:before="200" w:after="120"/>
        <w:jc w:val="left"/>
        <w:rPr/>
      </w:pPr>
      <w:bookmarkStart w:id="235" w:name="annex_F"/>
      <w:bookmarkStart w:id="234" w:name="_Toc000068"/>
      <w:r>
        <w:rPr/>
        <w:t>Annex F: the rows over four hours</w:t>
      </w:r>
      <w:bookmarkEnd w:id="234"/>
      <w:bookmarkEnd w:id="235"/>
    </w:p>
    <w:p>
      <w:pPr>
        <w:pStyle w:val="BodyText"/>
        <w:bidi w:val="0"/>
        <w:spacing w:lineRule="auto" w:line="276" w:before="0" w:after="140"/>
        <w:jc w:val="left"/>
        <w:rPr/>
      </w:pPr>
      <w:r>
        <w:rPr/>
        <w:t xml:space="preserve">Every validation row of the held-out year whose recorded taxi-out exceeds four hours and which the record-quality term does not cover: out of every fit, counted by the scorer. For each, the recorded value, the base configuration's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each figure of </w:t>
      </w:r>
      <w:hyperlink w:anchor="sec_8" w:history="1">
        <w:r>
          <w:rPr>
            <w:rStyle w:val="InternalRef"/>
          </w:rPr>
          <w:t xml:space="preserve">§8</w:t>
        </w:r>
      </w:hyperlink>
      <w:r>
        <w:rPr/>
        <w:t xml:space="preserve"> and its bracketed reading over rows of four hours or less.</w:t>
      </w:r>
    </w:p>
    <w:tbl>
      <w:tblPr>
        <w:tblW w:w="9972" w:type="dxa"/>
        <w:jc w:val="left"/>
        <w:tblInd w:w="58" w:type="dxa"/>
        <w:tblLayout w:type="fixed"/>
        <w:tblCellMar>
          <w:top w:w="36" w:type="dxa"/>
          <w:left w:w="58" w:type="dxa"/>
          <w:bottom w:w="36" w:type="dxa"/>
          <w:right w:w="58" w:type="dxa"/>
        </w:tblCellMar>
      </w:tblPr>
      <w:tblGrid>
        <w:gridCol w:w="423"/>
        <w:gridCol w:w="501"/>
        <w:gridCol w:w="1623"/>
        <w:gridCol w:w="1623"/>
        <w:gridCol w:w="1623"/>
        <w:gridCol w:w="1623"/>
        <w:gridCol w:w="1623"/>
        <w:gridCol w:w="933"/>
      </w:tblGrid>
      <w:tr>
        <w:trPr>
          <w:tblHeader w:val="true"/>
          <w:cantSplit/>
        </w:trPr>
        <w:tc>
          <w:tcPr>
            <w:tcW w:w="423"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ICAO</w:t>
            </w:r>
          </w:p>
        </w:tc>
        <w:tc>
          <w:tcPr>
            <w:tcW w:w="50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w:t>
            </w:r>
          </w:p>
        </w:tc>
        <w:tc>
          <w:tcPr>
            <w:tcW w:w="16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recorded (s)</w:t>
            </w:r>
          </w:p>
        </w:tc>
        <w:tc>
          <w:tcPr>
            <w:tcW w:w="16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predicted (s)</w:t>
            </w:r>
          </w:p>
        </w:tc>
        <w:tc>
          <w:tcPr>
            <w:tcW w:w="16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residual (s)</w:t>
            </w:r>
          </w:p>
        </w:tc>
        <w:tc>
          <w:tcPr>
            <w:tcW w:w="16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share of the cell's squared error</w:t>
            </w:r>
          </w:p>
        </w:tc>
        <w:tc>
          <w:tcPr>
            <w:tcW w:w="1623"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share of the month's</w:t>
            </w:r>
          </w:p>
        </w:tc>
        <w:tc>
          <w:tcPr>
            <w:tcW w:w="933"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flight-plan record</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LFPG</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Jan</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58,206</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1,128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+57,078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27.7%</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17.6%</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no</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LFPG</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Jan</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84,240</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901</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+83,339</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59.1%</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37.4%</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no</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LFPG</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Mar</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21,308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5,038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+16,270</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24.6%</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4.0%</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LFPG</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Jul</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15,059</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8,918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+6,141</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2.7%</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0.2%</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LIRF</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Jul</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87,002</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6,743</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+80,259</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69.3%</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34.6%</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r>
      <w:tr>
        <w:trPr>
          <w:cantSplit/>
        </w:trPr>
        <w:tc>
          <w:tcPr>
            <w:tcW w:w="423" w:type="dxa"/>
            <w:tcBorders>
              <w:bottom w:val="single" w:sz="2" w:space="0" w:color="BBBBBB"/>
            </w:tcBorders>
          </w:tcPr>
          <w:p>
            <w:pPr>
              <w:pStyle w:val="TableContents"/>
              <w:bidi w:val="0"/>
              <w:spacing w:lineRule="auto" w:line="240" w:before="0" w:after="0"/>
              <w:jc w:val="left"/>
              <w:rPr>
                <w:sz w:val="16"/>
                <w:szCs w:val="16"/>
              </w:rPr>
            </w:pPr>
            <w:r>
              <w:rPr>
                <w:sz w:val="16"/>
                <w:szCs w:val="16"/>
              </w:rPr>
              <w:t>LSZH</w:t>
            </w:r>
          </w:p>
        </w:tc>
        <w:tc>
          <w:tcPr>
            <w:tcW w:w="501" w:type="dxa"/>
            <w:tcBorders>
              <w:bottom w:val="single" w:sz="2" w:space="0" w:color="BBBBBB"/>
            </w:tcBorders>
          </w:tcPr>
          <w:p>
            <w:pPr>
              <w:pStyle w:val="TableContents"/>
              <w:bidi w:val="0"/>
              <w:spacing w:lineRule="auto" w:line="240" w:before="0" w:after="0"/>
              <w:jc w:val="left"/>
              <w:rPr>
                <w:sz w:val="16"/>
                <w:szCs w:val="16"/>
              </w:rPr>
            </w:pPr>
            <w:r>
              <w:rPr>
                <w:sz w:val="16"/>
                <w:szCs w:val="16"/>
              </w:rPr>
              <w:t>Feb</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18,409</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1,008</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+17,401</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50.7%</w:t>
            </w:r>
          </w:p>
        </w:tc>
        <w:tc>
          <w:tcPr>
            <w:tcW w:w="1623" w:type="dxa"/>
            <w:tcBorders>
              <w:bottom w:val="single" w:sz="2" w:space="0" w:color="BBBBBB"/>
            </w:tcBorders>
          </w:tcPr>
          <w:p>
            <w:pPr>
              <w:pStyle w:val="TableContents"/>
              <w:bidi w:val="0"/>
              <w:spacing w:lineRule="auto" w:line="240" w:before="0" w:after="0"/>
              <w:jc w:val="right"/>
              <w:rPr>
                <w:sz w:val="16"/>
                <w:szCs w:val="16"/>
              </w:rPr>
            </w:pPr>
            <w:r>
              <w:rPr>
                <w:sz w:val="16"/>
                <w:szCs w:val="16"/>
              </w:rPr>
              <w:t>2.9%</w:t>
            </w:r>
          </w:p>
        </w:tc>
        <w:tc>
          <w:tcPr>
            <w:tcW w:w="933" w:type="dxa"/>
            <w:tcBorders>
              <w:bottom w:val="single" w:sz="2" w:space="0" w:color="BBBBBB"/>
            </w:tcBorders>
          </w:tcPr>
          <w:p>
            <w:pPr>
              <w:pStyle w:val="TableContents"/>
              <w:bidi w:val="0"/>
              <w:spacing w:lineRule="auto" w:line="240" w:before="0" w:after="0"/>
              <w:jc w:val="left"/>
              <w:rPr>
                <w:sz w:val="16"/>
                <w:szCs w:val="16"/>
              </w:rPr>
            </w:pPr>
            <w:r>
              <w:rPr>
                <w:sz w:val="16"/>
                <w:szCs w:val="16"/>
              </w:rPr>
              <w:t>no</w:t>
            </w:r>
          </w:p>
        </w:tc>
      </w:tr>
      <w:tr>
        <w:trPr>
          <w:cantSplit/>
        </w:trPr>
        <w:tc>
          <w:tcPr>
            <w:tcW w:w="423" w:type="dxa"/>
            <w:tcBorders>
              <w:bottom w:val="single" w:sz="6" w:space="0" w:color="000000"/>
            </w:tcBorders>
          </w:tcPr>
          <w:p>
            <w:pPr>
              <w:pStyle w:val="TableContents"/>
              <w:bidi w:val="0"/>
              <w:spacing w:lineRule="auto" w:line="240" w:before="0" w:after="0"/>
              <w:jc w:val="left"/>
              <w:rPr>
                <w:sz w:val="16"/>
                <w:szCs w:val="16"/>
              </w:rPr>
            </w:pPr>
            <w:r>
              <w:rPr>
                <w:sz w:val="16"/>
                <w:szCs w:val="16"/>
              </w:rPr>
              <w:t>LSZH</w:t>
            </w:r>
          </w:p>
        </w:tc>
        <w:tc>
          <w:tcPr>
            <w:tcW w:w="501" w:type="dxa"/>
            <w:tcBorders>
              <w:bottom w:val="single" w:sz="6" w:space="0" w:color="000000"/>
            </w:tcBorders>
          </w:tcPr>
          <w:p>
            <w:pPr>
              <w:pStyle w:val="TableContents"/>
              <w:bidi w:val="0"/>
              <w:spacing w:lineRule="auto" w:line="240" w:before="0" w:after="0"/>
              <w:jc w:val="left"/>
              <w:rPr>
                <w:sz w:val="16"/>
                <w:szCs w:val="16"/>
              </w:rPr>
            </w:pPr>
            <w:r>
              <w:rPr>
                <w:sz w:val="16"/>
                <w:szCs w:val="16"/>
              </w:rPr>
              <w:t>May</w:t>
            </w:r>
          </w:p>
        </w:tc>
        <w:tc>
          <w:tcPr>
            <w:tcW w:w="1623" w:type="dxa"/>
            <w:tcBorders>
              <w:bottom w:val="single" w:sz="6" w:space="0" w:color="000000"/>
            </w:tcBorders>
          </w:tcPr>
          <w:p>
            <w:pPr>
              <w:pStyle w:val="TableContents"/>
              <w:bidi w:val="0"/>
              <w:spacing w:lineRule="auto" w:line="240" w:before="0" w:after="0"/>
              <w:jc w:val="right"/>
              <w:rPr>
                <w:sz w:val="16"/>
                <w:szCs w:val="16"/>
              </w:rPr>
            </w:pPr>
            <w:r>
              <w:rPr>
                <w:sz w:val="16"/>
                <w:szCs w:val="16"/>
              </w:rPr>
              <w:t>87,341</w:t>
            </w:r>
          </w:p>
        </w:tc>
        <w:tc>
          <w:tcPr>
            <w:tcW w:w="1623" w:type="dxa"/>
            <w:tcBorders>
              <w:bottom w:val="single" w:sz="6" w:space="0" w:color="000000"/>
            </w:tcBorders>
          </w:tcPr>
          <w:p>
            <w:pPr>
              <w:pStyle w:val="TableContents"/>
              <w:bidi w:val="0"/>
              <w:spacing w:lineRule="auto" w:line="240" w:before="0" w:after="0"/>
              <w:jc w:val="right"/>
              <w:rPr>
                <w:sz w:val="16"/>
                <w:szCs w:val="16"/>
              </w:rPr>
            </w:pPr>
            <w:r>
              <w:rPr>
                <w:sz w:val="16"/>
                <w:szCs w:val="16"/>
              </w:rPr>
              <w:t>208</w:t>
            </w:r>
          </w:p>
        </w:tc>
        <w:tc>
          <w:tcPr>
            <w:tcW w:w="1623" w:type="dxa"/>
            <w:tcBorders>
              <w:bottom w:val="single" w:sz="6" w:space="0" w:color="000000"/>
            </w:tcBorders>
          </w:tcPr>
          <w:p>
            <w:pPr>
              <w:pStyle w:val="TableContents"/>
              <w:bidi w:val="0"/>
              <w:spacing w:lineRule="auto" w:line="240" w:before="0" w:after="0"/>
              <w:jc w:val="right"/>
              <w:rPr>
                <w:sz w:val="16"/>
                <w:szCs w:val="16"/>
              </w:rPr>
            </w:pPr>
            <w:r>
              <w:rPr>
                <w:sz w:val="16"/>
                <w:szCs w:val="16"/>
              </w:rPr>
              <w:t>+87,133</w:t>
            </w:r>
          </w:p>
        </w:tc>
        <w:tc>
          <w:tcPr>
            <w:tcW w:w="1623" w:type="dxa"/>
            <w:tcBorders>
              <w:bottom w:val="single" w:sz="6" w:space="0" w:color="000000"/>
            </w:tcBorders>
          </w:tcPr>
          <w:p>
            <w:pPr>
              <w:pStyle w:val="TableContents"/>
              <w:bidi w:val="0"/>
              <w:spacing w:lineRule="auto" w:line="240" w:before="0" w:after="0"/>
              <w:jc w:val="right"/>
              <w:rPr>
                <w:sz w:val="16"/>
                <w:szCs w:val="16"/>
              </w:rPr>
            </w:pPr>
            <w:r>
              <w:rPr>
                <w:sz w:val="16"/>
                <w:szCs w:val="16"/>
              </w:rPr>
              <w:t>96.1%</w:t>
            </w:r>
          </w:p>
        </w:tc>
        <w:tc>
          <w:tcPr>
            <w:tcW w:w="1623" w:type="dxa"/>
            <w:tcBorders>
              <w:bottom w:val="single" w:sz="6" w:space="0" w:color="000000"/>
            </w:tcBorders>
          </w:tcPr>
          <w:p>
            <w:pPr>
              <w:pStyle w:val="TableContents"/>
              <w:bidi w:val="0"/>
              <w:spacing w:lineRule="auto" w:line="240" w:before="0" w:after="0"/>
              <w:jc w:val="right"/>
              <w:rPr>
                <w:sz w:val="16"/>
                <w:szCs w:val="16"/>
              </w:rPr>
            </w:pPr>
            <w:r>
              <w:rPr>
                <w:sz w:val="16"/>
                <w:szCs w:val="16"/>
              </w:rPr>
              <w:t>51.5%</w:t>
            </w:r>
          </w:p>
        </w:tc>
        <w:tc>
          <w:tcPr>
            <w:tcW w:w="933" w:type="dxa"/>
            <w:tcBorders>
              <w:bottom w:val="single" w:sz="6" w:space="0" w:color="000000"/>
            </w:tcBorders>
          </w:tcPr>
          <w:p>
            <w:pPr>
              <w:pStyle w:val="TableContents"/>
              <w:bidi w:val="0"/>
              <w:spacing w:lineRule="auto" w:line="240" w:before="0" w:after="0"/>
              <w:jc w:val="left"/>
              <w:rPr>
                <w:sz w:val="16"/>
                <w:szCs w:val="16"/>
              </w:rPr>
            </w:pPr>
            <w:r>
              <w:rPr>
                <w:sz w:val="16"/>
                <w:szCs w:val="16"/>
              </w:rPr>
              <w:t>no</w:t>
            </w:r>
          </w:p>
        </w:tc>
      </w:tr>
    </w:tbl>
    <w:p>
      <w:pPr>
        <w:pStyle w:val="BodyText"/>
        <w:bidi w:val="0"/>
        <w:spacing w:lineRule="auto" w:line="276" w:before="160" w:after="140"/>
        <w:jc w:val="left"/>
        <w:rPr/>
      </w:pPr>
      <w:r>
        <w:rPr/>
        <w:t>Per airport over the year:</w:t>
      </w:r>
    </w:p>
    <w:tbl>
      <w:tblPr>
        <w:tblW w:w="9972" w:type="dxa"/>
        <w:jc w:val="left"/>
        <w:tblInd w:w="58" w:type="dxa"/>
        <w:tblLayout w:type="fixed"/>
        <w:tblCellMar>
          <w:top w:w="36" w:type="dxa"/>
          <w:left w:w="58" w:type="dxa"/>
          <w:bottom w:w="36" w:type="dxa"/>
          <w:right w:w="58" w:type="dxa"/>
        </w:tblCellMar>
      </w:tblPr>
      <w:tblGrid>
        <w:gridCol w:w="4131"/>
        <w:gridCol w:w="5841"/>
      </w:tblGrid>
      <w:tr>
        <w:trPr>
          <w:tblHeader w:val="true"/>
          <w:cantSplit/>
        </w:trPr>
        <w:tc>
          <w:tcPr>
            <w:tcW w:w="4131"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ICAO</w:t>
            </w:r>
          </w:p>
        </w:tc>
        <w:tc>
          <w:tcPr>
            <w:tcW w:w="5841" w:type="dxa"/>
            <w:tcBorders>
              <w:top w:val="single" w:sz="6" w:space="0" w:color="000000"/>
              <w:bottom w:val="single" w:sz="6" w:space="0" w:color="000000"/>
            </w:tcBorders>
            <w:shd w:fill="EEEEEE" w:val="clear"/>
          </w:tcPr>
          <w:p>
            <w:pPr>
              <w:pStyle w:val="TableHeading"/>
              <w:bidi w:val="0"/>
              <w:spacing w:lineRule="auto" w:line="240" w:before="0" w:after="0"/>
              <w:jc w:val="right"/>
              <w:rPr>
                <w:b/>
                <w:sz w:val="18"/>
                <w:szCs w:val="18"/>
              </w:rPr>
            </w:pPr>
            <w:r>
              <w:rPr>
                <w:b/>
                <w:sz w:val="18"/>
                <w:szCs w:val="18"/>
              </w:rPr>
              <w:t>rows over 4 h, the year</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EDDF</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EDDM</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EGLL</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EHAM</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LEBL</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LEMD</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LFPG</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4</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LIRF</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1</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LSZH</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2</w:t>
            </w:r>
          </w:p>
        </w:tc>
      </w:tr>
      <w:tr>
        <w:trPr>
          <w:cantSplit/>
        </w:trPr>
        <w:tc>
          <w:tcPr>
            <w:tcW w:w="4131" w:type="dxa"/>
            <w:tcBorders>
              <w:bottom w:val="single" w:sz="2" w:space="0" w:color="BBBBBB"/>
            </w:tcBorders>
          </w:tcPr>
          <w:p>
            <w:pPr>
              <w:pStyle w:val="TableContents"/>
              <w:bidi w:val="0"/>
              <w:spacing w:lineRule="auto" w:line="240" w:before="0" w:after="0"/>
              <w:jc w:val="left"/>
              <w:rPr>
                <w:sz w:val="18"/>
                <w:szCs w:val="18"/>
              </w:rPr>
            </w:pPr>
            <w:r>
              <w:rPr>
                <w:sz w:val="18"/>
                <w:szCs w:val="18"/>
              </w:rPr>
              <w:t>LTFM</w:t>
            </w:r>
          </w:p>
        </w:tc>
        <w:tc>
          <w:tcPr>
            <w:tcW w:w="5841" w:type="dxa"/>
            <w:tcBorders>
              <w:bottom w:val="single" w:sz="2" w:space="0" w:color="BBBBBB"/>
            </w:tcBorders>
          </w:tcPr>
          <w:p>
            <w:pPr>
              <w:pStyle w:val="TableContents"/>
              <w:bidi w:val="0"/>
              <w:spacing w:lineRule="auto" w:line="240" w:before="0" w:after="0"/>
              <w:jc w:val="right"/>
              <w:rPr>
                <w:sz w:val="18"/>
                <w:szCs w:val="18"/>
              </w:rPr>
            </w:pPr>
            <w:r>
              <w:rPr>
                <w:sz w:val="18"/>
                <w:szCs w:val="18"/>
              </w:rPr>
              <w:t>0</w:t>
            </w:r>
          </w:p>
        </w:tc>
      </w:tr>
      <w:tr>
        <w:trPr>
          <w:cantSplit/>
        </w:trPr>
        <w:tc>
          <w:tcPr>
            <w:tcW w:w="4131" w:type="dxa"/>
            <w:tcBorders>
              <w:bottom w:val="single" w:sz="6" w:space="0" w:color="000000"/>
            </w:tcBorders>
          </w:tcPr>
          <w:p>
            <w:pPr>
              <w:pStyle w:val="TableContents"/>
              <w:bidi w:val="0"/>
              <w:spacing w:lineRule="auto" w:line="240" w:before="0" w:after="0"/>
              <w:jc w:val="left"/>
              <w:rPr>
                <w:sz w:val="18"/>
                <w:szCs w:val="18"/>
              </w:rPr>
            </w:pPr>
            <w:r>
              <w:rPr>
                <w:sz w:val="18"/>
                <w:szCs w:val="18"/>
              </w:rPr>
              <w:t>all</w:t>
            </w:r>
          </w:p>
        </w:tc>
        <w:tc>
          <w:tcPr>
            <w:tcW w:w="5841" w:type="dxa"/>
            <w:tcBorders>
              <w:bottom w:val="single" w:sz="6" w:space="0" w:color="000000"/>
            </w:tcBorders>
          </w:tcPr>
          <w:p>
            <w:pPr>
              <w:pStyle w:val="TableContents"/>
              <w:bidi w:val="0"/>
              <w:spacing w:lineRule="auto" w:line="240" w:before="0" w:after="0"/>
              <w:jc w:val="right"/>
              <w:rPr>
                <w:sz w:val="18"/>
                <w:szCs w:val="18"/>
              </w:rPr>
            </w:pPr>
            <w:r>
              <w:rPr>
                <w:sz w:val="18"/>
                <w:szCs w:val="18"/>
              </w:rPr>
              <w:t>7</w:t>
            </w:r>
          </w:p>
        </w:tc>
      </w:tr>
    </w:tbl>
    <w:p>
      <w:pPr>
        <w:pStyle w:val="BodyText"/>
        <w:bidi w:val="0"/>
        <w:spacing w:lineRule="auto" w:line="276" w:before="160" w:after="140"/>
        <w:jc w:val="left"/>
        <w:rPr/>
      </w:pPr>
      <w:r>
        <w:rPr/>
        <w:t xml:space="preserve">Three of the seven have a flight-plan record. Two of those are the long departures the rule of </w:t>
      </w:r>
      <w:hyperlink w:anchor="sec_4" w:history="1">
        <w:r>
          <w:rPr>
            <w:rStyle w:val="InternalRef"/>
          </w:rPr>
          <w:t xml:space="preserve">§4</w:t>
        </w:r>
      </w:hyperlink>
      <w:r>
        <w:rPr/>
        <w:t xml:space="preserve"> was written on, the Paris row of March and the Fiumicino row of July, and that rule covers them. The other five are the rows over four hours that neither the record-quality term nor the rule covers, the five of the core rows in </w:t>
      </w:r>
      <w:hyperlink w:anchor="sec_8_8" w:history="1">
        <w:r>
          <w:rPr>
            <w:rStyle w:val="InternalRef"/>
          </w:rPr>
          <w:t xml:space="preserve">§8.8</w:t>
        </w:r>
      </w:hyperlink>
      <w:r>
        <w:rPr/>
        <w:t xml:space="preserve">. Four of the five have no flight-plan record: they take off within minutes of schedule with a recorded block time about a day earlier, and nothing the ranking set exposes marks them.</w:t>
      </w:r>
    </w:p>
    <w:p>
      <w:pPr>
        <w:pStyle w:val="SourceNote"/>
        <w:bidi w:val="0"/>
        <w:spacing w:lineRule="auto" w:line="252" w:before="0" w:after="200"/>
        <w:jc w:val="left"/>
        <w:rPr/>
      </w:pPr>
      <w:r>
        <w:rPr/>
        <w:t xml:space="preserve">Sources: </w:t>
      </w:r>
      <w:r>
        <w:rPr>
          <w:rStyle w:val="SourceText"/>
          <w:sz w:val="18"/>
          <w:szCs w:val="18"/>
        </w:rPr>
        <w:t>reports/monthly_ladder.md</w:t>
      </w:r>
      <w:r>
        <w:rPr/>
        <w:t xml:space="preserve">, </w:t>
      </w:r>
      <w:r>
        <w:rPr>
          <w:rStyle w:val="Emphasis"/>
        </w:rPr>
        <w:t>Annex F: the rows over four hours</w:t>
      </w:r>
      <w:r>
        <w:rPr/>
        <w:t xml:space="preserve">; </w:t>
      </w:r>
      <w:r>
        <w:rPr>
          <w:rStyle w:val="SourceText"/>
          <w:sz w:val="18"/>
          <w:szCs w:val="18"/>
        </w:rPr>
        <w:t>reports/planshift.md</w:t>
      </w:r>
      <w:r>
        <w:rPr/>
        <w:t xml:space="preserve">, </w:t>
      </w:r>
      <w:r>
        <w:rPr>
          <w:rStyle w:val="Emphasis"/>
        </w:rPr>
        <w:t>The class in the training year</w:t>
      </w:r>
      <w:r>
        <w:rPr/>
        <w:t>.</w:t>
      </w:r>
    </w:p>
    <w:p>
      <w:pPr>
        <w:pStyle w:val="Heading2"/>
        <w:numPr>
          <w:ilvl w:val="0"/>
          <w:numId w:val="0"/>
        </w:numPr>
        <w:bidi w:val="0"/>
        <w:spacing w:before="200" w:after="120"/>
        <w:jc w:val="left"/>
        <w:rPr/>
      </w:pPr>
      <w:bookmarkStart w:id="237" w:name="annex_G"/>
      <w:bookmarkStart w:id="236" w:name="_Toc000069"/>
      <w:r>
        <w:rPr/>
        <w:t>Annex G: Istanbul's February 2025, and its January 2026</w:t>
      </w:r>
      <w:bookmarkEnd w:id="236"/>
      <w:bookmarkEnd w:id="237"/>
    </w:p>
    <w:p>
      <w:pPr>
        <w:pStyle w:val="BodyText"/>
        <w:bidi w:val="0"/>
        <w:spacing w:lineRule="auto" w:line="276" w:before="0" w:after="140"/>
        <w:jc w:val="left"/>
        <w:rPr/>
      </w:pPr>
      <w:r>
        <w:rPr/>
        <w:t xml:space="preserve">The one airport-month of the held-out year above 500 s that no single row explains (</w:t>
      </w:r>
      <w:hyperlink w:anchor="sec_8_3" w:history="1">
        <w:r>
          <w:rPr>
            <w:rStyle w:val="InternalRef"/>
          </w:rPr>
          <w:t xml:space="preserve">§8.3</w:t>
        </w:r>
      </w:hyperlink>
      <w:r>
        <w:rPr/>
        <w:t xml:space="preserve">),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What follows is what the report concludes.</w:t>
      </w:r>
    </w:p>
    <w:p>
      <w:pPr>
        <w:pStyle w:val="BodyText"/>
        <w:bidi w:val="0"/>
        <w:spacing w:lineRule="auto" w:line="276" w:before="0" w:after="140"/>
        <w:jc w:val="left"/>
        <w:rPr/>
      </w:pPr>
      <w:r>
        <w:rPr/>
        <w:t>February at LTFM pools to 520.8 s over 18,328 departures. Of its 28 days, 7 read above that figure (6, 11, 19, 20, 22, 23, 24) and 21 at or below it. Rows over 4 h among them: 0, so the second reading over the rows of 4 h or less is the same figure.</w:t>
      </w:r>
    </w:p>
    <w:p>
      <w:pPr>
        <w:pStyle w:val="BodyText"/>
        <w:bidi w:val="0"/>
        <w:spacing w:lineRule="auto" w:line="276" w:before="0" w:after="140"/>
        <w:jc w:val="left"/>
        <w:rPr/>
      </w:pPr>
      <w:r>
        <w:rPr/>
        <w:t xml:space="preserve">The regime shares of the two calendar months at the airport, against the history fetched for </w:t>
      </w:r>
      <w:hyperlink w:anchor="annex_E" w:history="1">
        <w:r>
          <w:rPr>
            <w:rStyle w:val="InternalRef"/>
          </w:rPr>
          <w:t xml:space="preserve">Annex E</w:t>
        </w:r>
      </w:hyperlink>
      <w:r>
        <w:rPr/>
        <w:t xml:space="preserve"> (no reports before 2018 at this airport):</w:t>
      </w:r>
    </w:p>
    <w:tbl>
      <w:tblPr>
        <w:tblW w:w="9972" w:type="dxa"/>
        <w:jc w:val="left"/>
        <w:tblInd w:w="58" w:type="dxa"/>
        <w:tblLayout w:type="fixed"/>
        <w:tblCellMar>
          <w:top w:w="36" w:type="dxa"/>
          <w:left w:w="58" w:type="dxa"/>
          <w:bottom w:w="36" w:type="dxa"/>
          <w:right w:w="58" w:type="dxa"/>
        </w:tblCellMar>
      </w:tblPr>
      <w:tblGrid>
        <w:gridCol w:w="763"/>
        <w:gridCol w:w="1474"/>
        <w:gridCol w:w="1046"/>
        <w:gridCol w:w="1147"/>
        <w:gridCol w:w="1304"/>
        <w:gridCol w:w="1330"/>
        <w:gridCol w:w="1439"/>
        <w:gridCol w:w="1469"/>
      </w:tblGrid>
      <w:tr>
        <w:trPr>
          <w:tblHeader w:val="true"/>
          <w:cantSplit/>
        </w:trPr>
        <w:tc>
          <w:tcPr>
            <w:tcW w:w="763"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w:t>
            </w:r>
          </w:p>
        </w:tc>
        <w:tc>
          <w:tcPr>
            <w:tcW w:w="1474"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history years</w:t>
            </w:r>
          </w:p>
        </w:tc>
        <w:tc>
          <w:tcPr>
            <w:tcW w:w="1046"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freezing, history</w:t>
            </w:r>
          </w:p>
        </w:tc>
        <w:tc>
          <w:tcPr>
            <w:tcW w:w="1147"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freezing, observed</w:t>
            </w:r>
          </w:p>
        </w:tc>
        <w:tc>
          <w:tcPr>
            <w:tcW w:w="1304"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low visibility, history</w:t>
            </w:r>
          </w:p>
        </w:tc>
        <w:tc>
          <w:tcPr>
            <w:tcW w:w="1330"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low visibility, observed</w:t>
            </w:r>
          </w:p>
        </w:tc>
        <w:tc>
          <w:tcPr>
            <w:tcW w:w="1439"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precipitation, history</w:t>
            </w:r>
          </w:p>
        </w:tc>
        <w:tc>
          <w:tcPr>
            <w:tcW w:w="1469"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precipitation, observed</w:t>
            </w:r>
          </w:p>
        </w:tc>
      </w:tr>
      <w:tr>
        <w:trPr>
          <w:cantSplit/>
        </w:trPr>
        <w:tc>
          <w:tcPr>
            <w:tcW w:w="763" w:type="dxa"/>
            <w:tcBorders>
              <w:bottom w:val="single" w:sz="2" w:space="0" w:color="BBBBBB"/>
            </w:tcBorders>
          </w:tcPr>
          <w:p>
            <w:pPr>
              <w:pStyle w:val="TableContents"/>
              <w:bidi w:val="0"/>
              <w:spacing w:lineRule="auto" w:line="240" w:before="0" w:after="0"/>
              <w:jc w:val="left"/>
              <w:rPr>
                <w:sz w:val="16"/>
                <w:szCs w:val="16"/>
              </w:rPr>
            </w:pPr>
            <w:r>
              <w:rPr>
                <w:sz w:val="16"/>
                <w:szCs w:val="16"/>
              </w:rPr>
              <w:t>January</w:t>
            </w:r>
          </w:p>
        </w:tc>
        <w:tc>
          <w:tcPr>
            <w:tcW w:w="1474" w:type="dxa"/>
            <w:tcBorders>
              <w:bottom w:val="single" w:sz="2" w:space="0" w:color="BBBBBB"/>
            </w:tcBorders>
          </w:tcPr>
          <w:p>
            <w:pPr>
              <w:pStyle w:val="TableContents"/>
              <w:bidi w:val="0"/>
              <w:spacing w:lineRule="auto" w:line="240" w:before="0" w:after="0"/>
              <w:jc w:val="right"/>
              <w:rPr>
                <w:sz w:val="16"/>
                <w:szCs w:val="16"/>
              </w:rPr>
            </w:pPr>
            <w:r>
              <w:rPr>
                <w:sz w:val="16"/>
                <w:szCs w:val="16"/>
              </w:rPr>
              <w:t>6 (2019, 2020, 2021, 2022, 2023, 2024)</w:t>
            </w:r>
          </w:p>
        </w:tc>
        <w:tc>
          <w:tcPr>
            <w:tcW w:w="1046" w:type="dxa"/>
            <w:tcBorders>
              <w:bottom w:val="single" w:sz="2" w:space="0" w:color="BBBBBB"/>
            </w:tcBorders>
          </w:tcPr>
          <w:p>
            <w:pPr>
              <w:pStyle w:val="TableContents"/>
              <w:bidi w:val="0"/>
              <w:spacing w:lineRule="auto" w:line="240" w:before="0" w:after="0"/>
              <w:jc w:val="left"/>
              <w:rPr>
                <w:sz w:val="16"/>
                <w:szCs w:val="16"/>
              </w:rPr>
            </w:pPr>
            <w:r>
              <w:rPr>
                <w:sz w:val="16"/>
                <w:szCs w:val="16"/>
              </w:rPr>
              <w:t>0.3% to 26.2%</w:t>
            </w:r>
          </w:p>
        </w:tc>
        <w:tc>
          <w:tcPr>
            <w:tcW w:w="1147" w:type="dxa"/>
            <w:tcBorders>
              <w:bottom w:val="single" w:sz="2" w:space="0" w:color="BBBBBB"/>
            </w:tcBorders>
          </w:tcPr>
          <w:p>
            <w:pPr>
              <w:pStyle w:val="TableContents"/>
              <w:bidi w:val="0"/>
              <w:spacing w:lineRule="auto" w:line="240" w:before="0" w:after="0"/>
              <w:jc w:val="left"/>
              <w:rPr>
                <w:sz w:val="16"/>
                <w:szCs w:val="16"/>
              </w:rPr>
            </w:pPr>
            <w:r>
              <w:rPr>
                <w:sz w:val="16"/>
                <w:szCs w:val="16"/>
              </w:rPr>
              <w:t>2025 0.0%; 2026 14.8%</w:t>
            </w:r>
          </w:p>
        </w:tc>
        <w:tc>
          <w:tcPr>
            <w:tcW w:w="1304" w:type="dxa"/>
            <w:tcBorders>
              <w:bottom w:val="single" w:sz="2" w:space="0" w:color="BBBBBB"/>
            </w:tcBorders>
          </w:tcPr>
          <w:p>
            <w:pPr>
              <w:pStyle w:val="TableContents"/>
              <w:bidi w:val="0"/>
              <w:spacing w:lineRule="auto" w:line="240" w:before="0" w:after="0"/>
              <w:jc w:val="left"/>
              <w:rPr>
                <w:sz w:val="16"/>
                <w:szCs w:val="16"/>
              </w:rPr>
            </w:pPr>
            <w:r>
              <w:rPr>
                <w:sz w:val="16"/>
                <w:szCs w:val="16"/>
              </w:rPr>
              <w:t>0.0% to 2.7%</w:t>
            </w:r>
          </w:p>
        </w:tc>
        <w:tc>
          <w:tcPr>
            <w:tcW w:w="1330" w:type="dxa"/>
            <w:tcBorders>
              <w:bottom w:val="single" w:sz="2" w:space="0" w:color="BBBBBB"/>
            </w:tcBorders>
          </w:tcPr>
          <w:p>
            <w:pPr>
              <w:pStyle w:val="TableContents"/>
              <w:bidi w:val="0"/>
              <w:spacing w:lineRule="auto" w:line="240" w:before="0" w:after="0"/>
              <w:jc w:val="left"/>
              <w:rPr>
                <w:sz w:val="16"/>
                <w:szCs w:val="16"/>
              </w:rPr>
            </w:pPr>
            <w:r>
              <w:rPr>
                <w:sz w:val="16"/>
                <w:szCs w:val="16"/>
              </w:rPr>
              <w:t>2025 0.0%; 2026 1.1%</w:t>
            </w:r>
          </w:p>
        </w:tc>
        <w:tc>
          <w:tcPr>
            <w:tcW w:w="1439" w:type="dxa"/>
            <w:tcBorders>
              <w:bottom w:val="single" w:sz="2" w:space="0" w:color="BBBBBB"/>
            </w:tcBorders>
          </w:tcPr>
          <w:p>
            <w:pPr>
              <w:pStyle w:val="TableContents"/>
              <w:bidi w:val="0"/>
              <w:spacing w:lineRule="auto" w:line="240" w:before="0" w:after="0"/>
              <w:jc w:val="left"/>
              <w:rPr>
                <w:sz w:val="16"/>
                <w:szCs w:val="16"/>
              </w:rPr>
            </w:pPr>
            <w:r>
              <w:rPr>
                <w:sz w:val="16"/>
                <w:szCs w:val="16"/>
              </w:rPr>
              <w:t>16.9% to 25.4%</w:t>
            </w:r>
          </w:p>
        </w:tc>
        <w:tc>
          <w:tcPr>
            <w:tcW w:w="1469" w:type="dxa"/>
            <w:tcBorders>
              <w:bottom w:val="single" w:sz="2" w:space="0" w:color="BBBBBB"/>
            </w:tcBorders>
          </w:tcPr>
          <w:p>
            <w:pPr>
              <w:pStyle w:val="TableContents"/>
              <w:bidi w:val="0"/>
              <w:spacing w:lineRule="auto" w:line="240" w:before="0" w:after="0"/>
              <w:jc w:val="left"/>
              <w:rPr>
                <w:sz w:val="16"/>
                <w:szCs w:val="16"/>
              </w:rPr>
            </w:pPr>
            <w:r>
              <w:rPr>
                <w:sz w:val="16"/>
                <w:szCs w:val="16"/>
              </w:rPr>
              <w:t>2025 17.5%; 2026 32.1%</w:t>
            </w:r>
          </w:p>
        </w:tc>
      </w:tr>
      <w:tr>
        <w:trPr>
          <w:cantSplit/>
        </w:trPr>
        <w:tc>
          <w:tcPr>
            <w:tcW w:w="763" w:type="dxa"/>
            <w:tcBorders>
              <w:bottom w:val="single" w:sz="6" w:space="0" w:color="000000"/>
            </w:tcBorders>
          </w:tcPr>
          <w:p>
            <w:pPr>
              <w:pStyle w:val="TableContents"/>
              <w:bidi w:val="0"/>
              <w:spacing w:lineRule="auto" w:line="240" w:before="0" w:after="0"/>
              <w:jc w:val="left"/>
              <w:rPr>
                <w:sz w:val="16"/>
                <w:szCs w:val="16"/>
              </w:rPr>
            </w:pPr>
            <w:r>
              <w:rPr>
                <w:sz w:val="16"/>
                <w:szCs w:val="16"/>
              </w:rPr>
              <w:t>February</w:t>
            </w:r>
          </w:p>
        </w:tc>
        <w:tc>
          <w:tcPr>
            <w:tcW w:w="1474" w:type="dxa"/>
            <w:tcBorders>
              <w:bottom w:val="single" w:sz="6" w:space="0" w:color="000000"/>
            </w:tcBorders>
          </w:tcPr>
          <w:p>
            <w:pPr>
              <w:pStyle w:val="TableContents"/>
              <w:bidi w:val="0"/>
              <w:spacing w:lineRule="auto" w:line="240" w:before="0" w:after="0"/>
              <w:jc w:val="right"/>
              <w:rPr>
                <w:sz w:val="16"/>
                <w:szCs w:val="16"/>
              </w:rPr>
            </w:pPr>
            <w:r>
              <w:rPr>
                <w:sz w:val="16"/>
                <w:szCs w:val="16"/>
              </w:rPr>
              <w:t>6 (2019, 2020, 2021, 2022, 2023, 2024)</w:t>
            </w:r>
          </w:p>
        </w:tc>
        <w:tc>
          <w:tcPr>
            <w:tcW w:w="1046" w:type="dxa"/>
            <w:tcBorders>
              <w:bottom w:val="single" w:sz="6" w:space="0" w:color="000000"/>
            </w:tcBorders>
          </w:tcPr>
          <w:p>
            <w:pPr>
              <w:pStyle w:val="TableContents"/>
              <w:bidi w:val="0"/>
              <w:spacing w:lineRule="auto" w:line="240" w:before="0" w:after="0"/>
              <w:jc w:val="left"/>
              <w:rPr>
                <w:sz w:val="16"/>
                <w:szCs w:val="16"/>
              </w:rPr>
            </w:pPr>
            <w:r>
              <w:rPr>
                <w:sz w:val="16"/>
                <w:szCs w:val="16"/>
              </w:rPr>
              <w:t>0.0% to 16.7%</w:t>
            </w:r>
          </w:p>
        </w:tc>
        <w:tc>
          <w:tcPr>
            <w:tcW w:w="1147" w:type="dxa"/>
            <w:tcBorders>
              <w:bottom w:val="single" w:sz="6" w:space="0" w:color="000000"/>
            </w:tcBorders>
          </w:tcPr>
          <w:p>
            <w:pPr>
              <w:pStyle w:val="TableContents"/>
              <w:bidi w:val="0"/>
              <w:spacing w:lineRule="auto" w:line="240" w:before="0" w:after="0"/>
              <w:jc w:val="left"/>
              <w:rPr>
                <w:sz w:val="16"/>
                <w:szCs w:val="16"/>
              </w:rPr>
            </w:pPr>
            <w:r>
              <w:rPr>
                <w:sz w:val="16"/>
                <w:szCs w:val="16"/>
              </w:rPr>
              <w:t>2025 22.6%</w:t>
            </w:r>
          </w:p>
        </w:tc>
        <w:tc>
          <w:tcPr>
            <w:tcW w:w="1304" w:type="dxa"/>
            <w:tcBorders>
              <w:bottom w:val="single" w:sz="6" w:space="0" w:color="000000"/>
            </w:tcBorders>
          </w:tcPr>
          <w:p>
            <w:pPr>
              <w:pStyle w:val="TableContents"/>
              <w:bidi w:val="0"/>
              <w:spacing w:lineRule="auto" w:line="240" w:before="0" w:after="0"/>
              <w:jc w:val="left"/>
              <w:rPr>
                <w:sz w:val="16"/>
                <w:szCs w:val="16"/>
              </w:rPr>
            </w:pPr>
            <w:r>
              <w:rPr>
                <w:sz w:val="16"/>
                <w:szCs w:val="16"/>
              </w:rPr>
              <w:t>0.1% to 6.4%</w:t>
            </w:r>
          </w:p>
        </w:tc>
        <w:tc>
          <w:tcPr>
            <w:tcW w:w="1330" w:type="dxa"/>
            <w:tcBorders>
              <w:bottom w:val="single" w:sz="6" w:space="0" w:color="000000"/>
            </w:tcBorders>
          </w:tcPr>
          <w:p>
            <w:pPr>
              <w:pStyle w:val="TableContents"/>
              <w:bidi w:val="0"/>
              <w:spacing w:lineRule="auto" w:line="240" w:before="0" w:after="0"/>
              <w:jc w:val="left"/>
              <w:rPr>
                <w:sz w:val="16"/>
                <w:szCs w:val="16"/>
              </w:rPr>
            </w:pPr>
            <w:r>
              <w:rPr>
                <w:sz w:val="16"/>
                <w:szCs w:val="16"/>
              </w:rPr>
              <w:t>2025 2.5%</w:t>
            </w:r>
          </w:p>
        </w:tc>
        <w:tc>
          <w:tcPr>
            <w:tcW w:w="1439" w:type="dxa"/>
            <w:tcBorders>
              <w:bottom w:val="single" w:sz="6" w:space="0" w:color="000000"/>
            </w:tcBorders>
          </w:tcPr>
          <w:p>
            <w:pPr>
              <w:pStyle w:val="TableContents"/>
              <w:bidi w:val="0"/>
              <w:spacing w:lineRule="auto" w:line="240" w:before="0" w:after="0"/>
              <w:jc w:val="left"/>
              <w:rPr>
                <w:sz w:val="16"/>
                <w:szCs w:val="16"/>
              </w:rPr>
            </w:pPr>
            <w:r>
              <w:rPr>
                <w:sz w:val="16"/>
                <w:szCs w:val="16"/>
              </w:rPr>
              <w:t>9.1% to 23.5%</w:t>
            </w:r>
          </w:p>
        </w:tc>
        <w:tc>
          <w:tcPr>
            <w:tcW w:w="1469" w:type="dxa"/>
            <w:tcBorders>
              <w:bottom w:val="single" w:sz="6" w:space="0" w:color="000000"/>
            </w:tcBorders>
          </w:tcPr>
          <w:p>
            <w:pPr>
              <w:pStyle w:val="TableContents"/>
              <w:bidi w:val="0"/>
              <w:spacing w:lineRule="auto" w:line="240" w:before="0" w:after="0"/>
              <w:jc w:val="left"/>
              <w:rPr>
                <w:sz w:val="16"/>
                <w:szCs w:val="16"/>
              </w:rPr>
            </w:pPr>
            <w:r>
              <w:rPr>
                <w:sz w:val="16"/>
                <w:szCs w:val="16"/>
              </w:rPr>
              <w:t>2025 39.1%</w:t>
            </w:r>
          </w:p>
        </w:tc>
      </w:tr>
    </w:tbl>
    <w:p>
      <w:pPr>
        <w:pStyle w:val="BodyText"/>
        <w:bidi w:val="0"/>
        <w:spacing w:lineRule="auto" w:line="276" w:before="160" w:after="140"/>
        <w:jc w:val="left"/>
        <w:rPr/>
      </w:pPr>
      <w:r>
        <w:rPr/>
        <w:t>January 2026's days against the February 2025 days above and at or below the month's figure, on freezing hours and on the mean plan lag:</w:t>
      </w:r>
    </w:p>
    <w:tbl>
      <w:tblPr>
        <w:tblW w:w="9972" w:type="dxa"/>
        <w:jc w:val="left"/>
        <w:tblInd w:w="58" w:type="dxa"/>
        <w:tblLayout w:type="fixed"/>
        <w:tblCellMar>
          <w:top w:w="36" w:type="dxa"/>
          <w:left w:w="58" w:type="dxa"/>
          <w:bottom w:w="36" w:type="dxa"/>
          <w:right w:w="58" w:type="dxa"/>
        </w:tblCellMar>
      </w:tblPr>
      <w:tblGrid>
        <w:gridCol w:w="2954"/>
        <w:gridCol w:w="1559"/>
        <w:gridCol w:w="1521"/>
        <w:gridCol w:w="1610"/>
        <w:gridCol w:w="1521"/>
        <w:gridCol w:w="807"/>
      </w:tblGrid>
      <w:tr>
        <w:trPr>
          <w:tblHeader w:val="true"/>
          <w:cantSplit/>
        </w:trPr>
        <w:tc>
          <w:tcPr>
            <w:tcW w:w="2954"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February 2025 days</w:t>
            </w:r>
          </w:p>
        </w:tc>
        <w:tc>
          <w:tcPr>
            <w:tcW w:w="1559"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their freezing hours, range</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January 2026 days within it</w:t>
            </w:r>
          </w:p>
        </w:tc>
        <w:tc>
          <w:tcPr>
            <w:tcW w:w="1610"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their plan-lag mean, range (s)</w:t>
            </w:r>
          </w:p>
        </w:tc>
        <w:tc>
          <w:tcPr>
            <w:tcW w:w="152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January 2026 days within it</w:t>
            </w:r>
          </w:p>
        </w:tc>
        <w:tc>
          <w:tcPr>
            <w:tcW w:w="807"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within both</w:t>
            </w:r>
          </w:p>
        </w:tc>
      </w:tr>
      <w:tr>
        <w:trPr>
          <w:cantSplit/>
        </w:trPr>
        <w:tc>
          <w:tcPr>
            <w:tcW w:w="2954" w:type="dxa"/>
            <w:tcBorders>
              <w:bottom w:val="single" w:sz="2" w:space="0" w:color="BBBBBB"/>
            </w:tcBorders>
          </w:tcPr>
          <w:p>
            <w:pPr>
              <w:pStyle w:val="TableContents"/>
              <w:bidi w:val="0"/>
              <w:spacing w:lineRule="auto" w:line="240" w:before="0" w:after="0"/>
              <w:jc w:val="left"/>
              <w:rPr>
                <w:sz w:val="16"/>
                <w:szCs w:val="16"/>
              </w:rPr>
            </w:pPr>
            <w:r>
              <w:rPr>
                <w:sz w:val="16"/>
                <w:szCs w:val="16"/>
              </w:rPr>
              <w:t>February days whose RMSE is above the month's 520.8 s (7)</w:t>
            </w:r>
          </w:p>
        </w:tc>
        <w:tc>
          <w:tcPr>
            <w:tcW w:w="1559" w:type="dxa"/>
            <w:tcBorders>
              <w:bottom w:val="single" w:sz="2" w:space="0" w:color="BBBBBB"/>
            </w:tcBorders>
          </w:tcPr>
          <w:p>
            <w:pPr>
              <w:pStyle w:val="TableContents"/>
              <w:bidi w:val="0"/>
              <w:spacing w:lineRule="auto" w:line="240" w:before="0" w:after="0"/>
              <w:jc w:val="left"/>
              <w:rPr>
                <w:sz w:val="16"/>
                <w:szCs w:val="16"/>
              </w:rPr>
            </w:pPr>
            <w:r>
              <w:rPr>
                <w:sz w:val="16"/>
                <w:szCs w:val="16"/>
              </w:rPr>
              <w:t>10 to 20</w:t>
            </w:r>
          </w:p>
        </w:tc>
        <w:tc>
          <w:tcPr>
            <w:tcW w:w="1521" w:type="dxa"/>
            <w:tcBorders>
              <w:bottom w:val="single" w:sz="2" w:space="0" w:color="BBBBBB"/>
            </w:tcBorders>
          </w:tcPr>
          <w:p>
            <w:pPr>
              <w:pStyle w:val="TableContents"/>
              <w:bidi w:val="0"/>
              <w:spacing w:lineRule="auto" w:line="240" w:before="0" w:after="0"/>
              <w:jc w:val="left"/>
              <w:rPr>
                <w:sz w:val="16"/>
                <w:szCs w:val="16"/>
              </w:rPr>
            </w:pPr>
            <w:r>
              <w:rPr>
                <w:sz w:val="16"/>
                <w:szCs w:val="16"/>
              </w:rPr>
              <w:t>3 of 31</w:t>
            </w:r>
          </w:p>
        </w:tc>
        <w:tc>
          <w:tcPr>
            <w:tcW w:w="1610" w:type="dxa"/>
            <w:tcBorders>
              <w:bottom w:val="single" w:sz="2" w:space="0" w:color="BBBBBB"/>
            </w:tcBorders>
          </w:tcPr>
          <w:p>
            <w:pPr>
              <w:pStyle w:val="TableContents"/>
              <w:bidi w:val="0"/>
              <w:spacing w:lineRule="auto" w:line="240" w:before="0" w:after="0"/>
              <w:jc w:val="left"/>
              <w:rPr>
                <w:sz w:val="16"/>
                <w:szCs w:val="16"/>
              </w:rPr>
            </w:pPr>
            <w:r>
              <w:rPr>
                <w:sz w:val="16"/>
                <w:szCs w:val="16"/>
              </w:rPr>
              <w:t>+1,454 to +2,486</w:t>
            </w:r>
          </w:p>
        </w:tc>
        <w:tc>
          <w:tcPr>
            <w:tcW w:w="1521" w:type="dxa"/>
            <w:tcBorders>
              <w:bottom w:val="single" w:sz="2" w:space="0" w:color="BBBBBB"/>
            </w:tcBorders>
          </w:tcPr>
          <w:p>
            <w:pPr>
              <w:pStyle w:val="TableContents"/>
              <w:bidi w:val="0"/>
              <w:spacing w:lineRule="auto" w:line="240" w:before="0" w:after="0"/>
              <w:jc w:val="left"/>
              <w:rPr>
                <w:sz w:val="16"/>
                <w:szCs w:val="16"/>
              </w:rPr>
            </w:pPr>
            <w:r>
              <w:rPr>
                <w:sz w:val="16"/>
                <w:szCs w:val="16"/>
              </w:rPr>
              <w:t>10 of 31</w:t>
            </w:r>
          </w:p>
        </w:tc>
        <w:tc>
          <w:tcPr>
            <w:tcW w:w="807" w:type="dxa"/>
            <w:tcBorders>
              <w:bottom w:val="single" w:sz="2" w:space="0" w:color="BBBBBB"/>
            </w:tcBorders>
          </w:tcPr>
          <w:p>
            <w:pPr>
              <w:pStyle w:val="TableContents"/>
              <w:bidi w:val="0"/>
              <w:spacing w:lineRule="auto" w:line="240" w:before="0" w:after="0"/>
              <w:jc w:val="left"/>
              <w:rPr>
                <w:sz w:val="16"/>
                <w:szCs w:val="16"/>
              </w:rPr>
            </w:pPr>
            <w:r>
              <w:rPr>
                <w:sz w:val="16"/>
                <w:szCs w:val="16"/>
              </w:rPr>
              <w:t>3 of 31</w:t>
            </w:r>
          </w:p>
        </w:tc>
      </w:tr>
      <w:tr>
        <w:trPr>
          <w:cantSplit/>
        </w:trPr>
        <w:tc>
          <w:tcPr>
            <w:tcW w:w="2954" w:type="dxa"/>
            <w:tcBorders>
              <w:bottom w:val="single" w:sz="6" w:space="0" w:color="000000"/>
            </w:tcBorders>
          </w:tcPr>
          <w:p>
            <w:pPr>
              <w:pStyle w:val="TableContents"/>
              <w:bidi w:val="0"/>
              <w:spacing w:lineRule="auto" w:line="240" w:before="0" w:after="0"/>
              <w:jc w:val="left"/>
              <w:rPr>
                <w:sz w:val="16"/>
                <w:szCs w:val="16"/>
              </w:rPr>
            </w:pPr>
            <w:r>
              <w:rPr>
                <w:sz w:val="16"/>
                <w:szCs w:val="16"/>
              </w:rPr>
              <w:t>February days whose RMSE is at or below the month's 520.8 s (21)</w:t>
            </w:r>
          </w:p>
        </w:tc>
        <w:tc>
          <w:tcPr>
            <w:tcW w:w="1559" w:type="dxa"/>
            <w:tcBorders>
              <w:bottom w:val="single" w:sz="6" w:space="0" w:color="000000"/>
            </w:tcBorders>
          </w:tcPr>
          <w:p>
            <w:pPr>
              <w:pStyle w:val="TableContents"/>
              <w:bidi w:val="0"/>
              <w:spacing w:lineRule="auto" w:line="240" w:before="0" w:after="0"/>
              <w:jc w:val="left"/>
              <w:rPr>
                <w:sz w:val="16"/>
                <w:szCs w:val="16"/>
              </w:rPr>
            </w:pPr>
            <w:r>
              <w:rPr>
                <w:sz w:val="16"/>
                <w:szCs w:val="16"/>
              </w:rPr>
              <w:t>0 to 18</w:t>
            </w:r>
          </w:p>
        </w:tc>
        <w:tc>
          <w:tcPr>
            <w:tcW w:w="1521" w:type="dxa"/>
            <w:tcBorders>
              <w:bottom w:val="single" w:sz="6" w:space="0" w:color="000000"/>
            </w:tcBorders>
          </w:tcPr>
          <w:p>
            <w:pPr>
              <w:pStyle w:val="TableContents"/>
              <w:bidi w:val="0"/>
              <w:spacing w:lineRule="auto" w:line="240" w:before="0" w:after="0"/>
              <w:jc w:val="left"/>
              <w:rPr>
                <w:sz w:val="16"/>
                <w:szCs w:val="16"/>
              </w:rPr>
            </w:pPr>
            <w:r>
              <w:rPr>
                <w:sz w:val="16"/>
                <w:szCs w:val="16"/>
              </w:rPr>
              <w:t>29 of 31</w:t>
            </w:r>
          </w:p>
        </w:tc>
        <w:tc>
          <w:tcPr>
            <w:tcW w:w="1610" w:type="dxa"/>
            <w:tcBorders>
              <w:bottom w:val="single" w:sz="6" w:space="0" w:color="000000"/>
            </w:tcBorders>
          </w:tcPr>
          <w:p>
            <w:pPr>
              <w:pStyle w:val="TableContents"/>
              <w:bidi w:val="0"/>
              <w:spacing w:lineRule="auto" w:line="240" w:before="0" w:after="0"/>
              <w:jc w:val="left"/>
              <w:rPr>
                <w:sz w:val="16"/>
                <w:szCs w:val="16"/>
              </w:rPr>
            </w:pPr>
            <w:r>
              <w:rPr>
                <w:sz w:val="16"/>
                <w:szCs w:val="16"/>
              </w:rPr>
              <w:t>+1,003 to +1,394</w:t>
            </w:r>
          </w:p>
        </w:tc>
        <w:tc>
          <w:tcPr>
            <w:tcW w:w="1521" w:type="dxa"/>
            <w:tcBorders>
              <w:bottom w:val="single" w:sz="6" w:space="0" w:color="000000"/>
            </w:tcBorders>
          </w:tcPr>
          <w:p>
            <w:pPr>
              <w:pStyle w:val="TableContents"/>
              <w:bidi w:val="0"/>
              <w:spacing w:lineRule="auto" w:line="240" w:before="0" w:after="0"/>
              <w:jc w:val="left"/>
              <w:rPr>
                <w:sz w:val="16"/>
                <w:szCs w:val="16"/>
              </w:rPr>
            </w:pPr>
            <w:r>
              <w:rPr>
                <w:sz w:val="16"/>
                <w:szCs w:val="16"/>
              </w:rPr>
              <w:t>10 of 31</w:t>
            </w:r>
          </w:p>
        </w:tc>
        <w:tc>
          <w:tcPr>
            <w:tcW w:w="807" w:type="dxa"/>
            <w:tcBorders>
              <w:bottom w:val="single" w:sz="6" w:space="0" w:color="000000"/>
            </w:tcBorders>
          </w:tcPr>
          <w:p>
            <w:pPr>
              <w:pStyle w:val="TableContents"/>
              <w:bidi w:val="0"/>
              <w:spacing w:lineRule="auto" w:line="240" w:before="0" w:after="0"/>
              <w:jc w:val="left"/>
              <w:rPr>
                <w:sz w:val="16"/>
                <w:szCs w:val="16"/>
              </w:rPr>
            </w:pPr>
            <w:r>
              <w:rPr>
                <w:sz w:val="16"/>
                <w:szCs w:val="16"/>
              </w:rPr>
              <w:t>10 of 31</w:t>
            </w:r>
          </w:p>
        </w:tc>
      </w:tr>
    </w:tbl>
    <w:p>
      <w:pPr>
        <w:pStyle w:val="BodyText"/>
        <w:bidi w:val="0"/>
        <w:spacing w:lineRule="auto" w:line="276" w:before="160" w:after="140"/>
        <w:jc w:val="left"/>
        <w:rPr/>
      </w:pPr>
      <w:r>
        <w:rPr/>
        <w:t xml:space="preserve">In the report's words: this is descriptive and decides nothing. The ranges come from 28 days of one airport-month, the error on a day is not its weather or its plan lag, and no figure here says what January 2026 will score. What it shows is the shape of the exposure </w:t>
      </w:r>
      <w:hyperlink w:anchor="sec_7_3" w:history="1">
        <w:r>
          <w:rPr>
            <w:rStyle w:val="InternalRef"/>
          </w:rPr>
          <w:t xml:space="preserve">§7.3</w:t>
        </w:r>
      </w:hyperlink>
      <w:r>
        <w:rPr/>
        <w:t xml:space="preserve"> bounds: a winter month at this airport that froze more than any in its record was the model's worst ordinary month, and the ranking January sits inside the ordinary February days on freezing hours and divides on the plan lag.</w:t>
      </w:r>
    </w:p>
    <w:p>
      <w:pPr>
        <w:pStyle w:val="SourceNote"/>
        <w:bidi w:val="0"/>
        <w:spacing w:lineRule="auto" w:line="252" w:before="0" w:after="200"/>
        <w:jc w:val="left"/>
        <w:rPr/>
      </w:pPr>
      <w:r>
        <w:rPr/>
        <w:t xml:space="preserve">Sources: </w:t>
      </w:r>
      <w:r>
        <w:rPr>
          <w:rStyle w:val="SourceText"/>
          <w:sz w:val="18"/>
          <w:szCs w:val="18"/>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numPr>
          <w:ilvl w:val="0"/>
          <w:numId w:val="0"/>
        </w:numPr>
        <w:bidi w:val="0"/>
        <w:spacing w:before="200" w:after="120"/>
        <w:jc w:val="left"/>
        <w:rPr/>
      </w:pPr>
      <w:bookmarkStart w:id="239" w:name="annex_H"/>
      <w:bookmarkStart w:id="238" w:name="_Toc000070"/>
      <w:r>
        <w:rPr/>
        <w:t>Annex H: where the last three blocks of the ladder lower the error</w:t>
      </w:r>
      <w:bookmarkEnd w:id="238"/>
      <w:bookmarkEnd w:id="239"/>
    </w:p>
    <w:p>
      <w:pPr>
        <w:pStyle w:val="BodyText"/>
        <w:bidi w:val="0"/>
        <w:spacing w:lineRule="auto" w:line="276" w:before="0" w:after="14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9972" w:type="dxa"/>
        <w:jc w:val="left"/>
        <w:tblInd w:w="58" w:type="dxa"/>
        <w:tblLayout w:type="fixed"/>
        <w:tblCellMar>
          <w:top w:w="36" w:type="dxa"/>
          <w:left w:w="58" w:type="dxa"/>
          <w:bottom w:w="36" w:type="dxa"/>
          <w:right w:w="58" w:type="dxa"/>
        </w:tblCellMar>
      </w:tblPr>
      <w:tblGrid>
        <w:gridCol w:w="3903"/>
        <w:gridCol w:w="795"/>
        <w:gridCol w:w="2358"/>
        <w:gridCol w:w="1832"/>
        <w:gridCol w:w="1084"/>
      </w:tblGrid>
      <w:tr>
        <w:trPr>
          <w:tblHeader w:val="true"/>
          <w:cantSplit/>
        </w:trPr>
        <w:tc>
          <w:tcPr>
            <w:tcW w:w="3903"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block</w:t>
            </w:r>
          </w:p>
        </w:tc>
        <w:tc>
          <w:tcPr>
            <w:tcW w:w="795"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airports</w:t>
            </w:r>
          </w:p>
        </w:tc>
        <w:tc>
          <w:tcPr>
            <w:tcW w:w="2358"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rStyle w:val="SourceText"/>
                <w:b/>
                <w:sz w:val="17"/>
                <w:szCs w:val="17"/>
              </w:rPr>
              <w:t>fiumicino.md</w:t>
            </w:r>
            <w:r>
              <w:rPr>
                <w:b/>
                <w:sz w:val="17"/>
                <w:szCs w:val="17"/>
              </w:rPr>
              <w:t xml:space="preserve"> (s) [4 h or less]</w:t>
            </w:r>
          </w:p>
        </w:tc>
        <w:tc>
          <w:tcPr>
            <w:tcW w:w="1832"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rStyle w:val="SourceText"/>
                <w:b/>
                <w:sz w:val="17"/>
                <w:szCs w:val="17"/>
              </w:rPr>
              <w:t>monthly_ladder.md</w:t>
            </w:r>
            <w:r>
              <w:rPr>
                <w:b/>
                <w:sz w:val="17"/>
                <w:szCs w:val="17"/>
              </w:rPr>
              <w:t xml:space="preserve"> (s)</w:t>
            </w:r>
          </w:p>
        </w:tc>
        <w:tc>
          <w:tcPr>
            <w:tcW w:w="108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the two agree</w:t>
            </w:r>
          </w:p>
        </w:tc>
      </w:tr>
      <w:tr>
        <w:trPr>
          <w:cantSplit/>
        </w:trPr>
        <w:tc>
          <w:tcPr>
            <w:tcW w:w="3903"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 callsign prefix</w:t>
            </w:r>
            <w:r>
              <w:rPr>
                <w:sz w:val="17"/>
                <w:szCs w:val="17"/>
              </w:rPr>
              <w:t xml:space="preserve"> against </w:t>
            </w:r>
            <w:r>
              <w:rPr>
                <w:rStyle w:val="SourceText"/>
                <w:sz w:val="17"/>
                <w:szCs w:val="17"/>
              </w:rPr>
              <w:t>+ stand occupancy</w:t>
            </w:r>
          </w:p>
        </w:tc>
        <w:tc>
          <w:tcPr>
            <w:tcW w:w="795" w:type="dxa"/>
            <w:tcBorders>
              <w:bottom w:val="single" w:sz="2" w:space="0" w:color="BBBBBB"/>
            </w:tcBorders>
          </w:tcPr>
          <w:p>
            <w:pPr>
              <w:pStyle w:val="TableContents"/>
              <w:bidi w:val="0"/>
              <w:spacing w:lineRule="auto" w:line="240" w:before="0" w:after="0"/>
              <w:jc w:val="left"/>
              <w:rPr>
                <w:sz w:val="17"/>
                <w:szCs w:val="17"/>
              </w:rPr>
            </w:pPr>
            <w:r>
              <w:rPr>
                <w:sz w:val="17"/>
                <w:szCs w:val="17"/>
              </w:rPr>
              <w:t>all 10</w:t>
            </w:r>
          </w:p>
        </w:tc>
        <w:tc>
          <w:tcPr>
            <w:tcW w:w="2358" w:type="dxa"/>
            <w:tcBorders>
              <w:bottom w:val="single" w:sz="2" w:space="0" w:color="BBBBBB"/>
            </w:tcBorders>
          </w:tcPr>
          <w:p>
            <w:pPr>
              <w:pStyle w:val="TableContents"/>
              <w:bidi w:val="0"/>
              <w:spacing w:lineRule="auto" w:line="240" w:before="0" w:after="0"/>
              <w:jc w:val="right"/>
              <w:rPr>
                <w:sz w:val="17"/>
                <w:szCs w:val="17"/>
              </w:rPr>
            </w:pPr>
            <w:r>
              <w:rPr>
                <w:sz w:val="17"/>
                <w:szCs w:val="17"/>
              </w:rPr>
              <w:t>-3.3 [-3.4]</w:t>
            </w:r>
          </w:p>
        </w:tc>
        <w:tc>
          <w:tcPr>
            <w:tcW w:w="1832" w:type="dxa"/>
            <w:tcBorders>
              <w:bottom w:val="single" w:sz="2" w:space="0" w:color="BBBBBB"/>
            </w:tcBorders>
          </w:tcPr>
          <w:p>
            <w:pPr>
              <w:pStyle w:val="TableContents"/>
              <w:bidi w:val="0"/>
              <w:spacing w:lineRule="auto" w:line="240" w:before="0" w:after="0"/>
              <w:jc w:val="right"/>
              <w:rPr>
                <w:sz w:val="17"/>
                <w:szCs w:val="17"/>
              </w:rPr>
            </w:pPr>
            <w:r>
              <w:rPr>
                <w:sz w:val="17"/>
                <w:szCs w:val="17"/>
              </w:rPr>
              <w:t>-3.3 [-3.4]</w:t>
            </w:r>
          </w:p>
        </w:tc>
        <w:tc>
          <w:tcPr>
            <w:tcW w:w="1084" w:type="dxa"/>
            <w:tcBorders>
              <w:bottom w:val="single" w:sz="2" w:space="0" w:color="BBBBBB"/>
            </w:tcBorders>
          </w:tcPr>
          <w:p>
            <w:pPr>
              <w:pStyle w:val="TableContents"/>
              <w:bidi w:val="0"/>
              <w:spacing w:lineRule="auto" w:line="240" w:before="0" w:after="0"/>
              <w:jc w:val="left"/>
              <w:rPr>
                <w:sz w:val="17"/>
                <w:szCs w:val="17"/>
              </w:rPr>
            </w:pPr>
            <w:r>
              <w:rPr>
                <w:sz w:val="17"/>
                <w:szCs w:val="17"/>
              </w:rPr>
              <w:t>yes</w:t>
            </w:r>
          </w:p>
        </w:tc>
      </w:tr>
      <w:tr>
        <w:trPr>
          <w:cantSplit/>
        </w:trPr>
        <w:tc>
          <w:tcPr>
            <w:tcW w:w="3903"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 callsign prefix</w:t>
            </w:r>
            <w:r>
              <w:rPr>
                <w:sz w:val="17"/>
                <w:szCs w:val="17"/>
              </w:rPr>
              <w:t xml:space="preserve"> against </w:t>
            </w:r>
            <w:r>
              <w:rPr>
                <w:rStyle w:val="SourceText"/>
                <w:sz w:val="17"/>
                <w:szCs w:val="17"/>
              </w:rPr>
              <w:t>+ stand occupancy</w:t>
            </w:r>
          </w:p>
        </w:tc>
        <w:tc>
          <w:tcPr>
            <w:tcW w:w="795" w:type="dxa"/>
            <w:tcBorders>
              <w:bottom w:val="single" w:sz="2" w:space="0" w:color="BBBBBB"/>
            </w:tcBorders>
          </w:tcPr>
          <w:p>
            <w:pPr>
              <w:pStyle w:val="TableContents"/>
              <w:bidi w:val="0"/>
              <w:spacing w:lineRule="auto" w:line="240" w:before="0" w:after="0"/>
              <w:jc w:val="left"/>
              <w:rPr>
                <w:sz w:val="17"/>
                <w:szCs w:val="17"/>
              </w:rPr>
            </w:pPr>
            <w:r>
              <w:rPr>
                <w:sz w:val="17"/>
                <w:szCs w:val="17"/>
              </w:rPr>
              <w:t>LIRF</w:t>
            </w:r>
          </w:p>
        </w:tc>
        <w:tc>
          <w:tcPr>
            <w:tcW w:w="2358" w:type="dxa"/>
            <w:tcBorders>
              <w:bottom w:val="single" w:sz="2" w:space="0" w:color="BBBBBB"/>
            </w:tcBorders>
          </w:tcPr>
          <w:p>
            <w:pPr>
              <w:pStyle w:val="TableContents"/>
              <w:bidi w:val="0"/>
              <w:spacing w:lineRule="auto" w:line="240" w:before="0" w:after="0"/>
              <w:jc w:val="right"/>
              <w:rPr>
                <w:sz w:val="17"/>
                <w:szCs w:val="17"/>
              </w:rPr>
            </w:pPr>
            <w:r>
              <w:rPr>
                <w:sz w:val="17"/>
                <w:szCs w:val="17"/>
              </w:rPr>
              <w:t>-22.1 [-23.5]</w:t>
            </w:r>
          </w:p>
        </w:tc>
        <w:tc>
          <w:tcPr>
            <w:tcW w:w="1832" w:type="dxa"/>
            <w:tcBorders>
              <w:bottom w:val="single" w:sz="2" w:space="0" w:color="BBBBBB"/>
            </w:tcBorders>
          </w:tcPr>
          <w:p>
            <w:pPr>
              <w:pStyle w:val="TableContents"/>
              <w:bidi w:val="0"/>
              <w:spacing w:lineRule="auto" w:line="240" w:before="0" w:after="0"/>
              <w:jc w:val="right"/>
              <w:rPr>
                <w:sz w:val="17"/>
                <w:szCs w:val="17"/>
              </w:rPr>
            </w:pPr>
            <w:r>
              <w:rPr>
                <w:sz w:val="17"/>
                <w:szCs w:val="17"/>
              </w:rPr>
              <w:t>-22.1 [-23.5]</w:t>
            </w:r>
          </w:p>
        </w:tc>
        <w:tc>
          <w:tcPr>
            <w:tcW w:w="1084" w:type="dxa"/>
            <w:tcBorders>
              <w:bottom w:val="single" w:sz="2" w:space="0" w:color="BBBBBB"/>
            </w:tcBorders>
          </w:tcPr>
          <w:p>
            <w:pPr>
              <w:pStyle w:val="TableContents"/>
              <w:bidi w:val="0"/>
              <w:spacing w:lineRule="auto" w:line="240" w:before="0" w:after="0"/>
              <w:jc w:val="left"/>
              <w:rPr>
                <w:sz w:val="17"/>
                <w:szCs w:val="17"/>
              </w:rPr>
            </w:pPr>
            <w:r>
              <w:rPr>
                <w:sz w:val="17"/>
                <w:szCs w:val="17"/>
              </w:rPr>
              <w:t>yes</w:t>
            </w:r>
          </w:p>
        </w:tc>
      </w:tr>
      <w:tr>
        <w:trPr>
          <w:cantSplit/>
        </w:trPr>
        <w:tc>
          <w:tcPr>
            <w:tcW w:w="3903"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 destination and holidays</w:t>
            </w:r>
            <w:r>
              <w:rPr>
                <w:sz w:val="17"/>
                <w:szCs w:val="17"/>
              </w:rPr>
              <w:t xml:space="preserve"> against </w:t>
            </w:r>
            <w:r>
              <w:rPr>
                <w:rStyle w:val="SourceText"/>
                <w:sz w:val="17"/>
                <w:szCs w:val="17"/>
              </w:rPr>
              <w:t>+ callsign prefix</w:t>
            </w:r>
          </w:p>
        </w:tc>
        <w:tc>
          <w:tcPr>
            <w:tcW w:w="795" w:type="dxa"/>
            <w:tcBorders>
              <w:bottom w:val="single" w:sz="2" w:space="0" w:color="BBBBBB"/>
            </w:tcBorders>
          </w:tcPr>
          <w:p>
            <w:pPr>
              <w:pStyle w:val="TableContents"/>
              <w:bidi w:val="0"/>
              <w:spacing w:lineRule="auto" w:line="240" w:before="0" w:after="0"/>
              <w:jc w:val="left"/>
              <w:rPr>
                <w:sz w:val="17"/>
                <w:szCs w:val="17"/>
              </w:rPr>
            </w:pPr>
            <w:r>
              <w:rPr>
                <w:sz w:val="17"/>
                <w:szCs w:val="17"/>
              </w:rPr>
              <w:t>all 10</w:t>
            </w:r>
          </w:p>
        </w:tc>
        <w:tc>
          <w:tcPr>
            <w:tcW w:w="2358" w:type="dxa"/>
            <w:tcBorders>
              <w:bottom w:val="single" w:sz="2" w:space="0" w:color="BBBBBB"/>
            </w:tcBorders>
          </w:tcPr>
          <w:p>
            <w:pPr>
              <w:pStyle w:val="TableContents"/>
              <w:bidi w:val="0"/>
              <w:spacing w:lineRule="auto" w:line="240" w:before="0" w:after="0"/>
              <w:jc w:val="right"/>
              <w:rPr>
                <w:sz w:val="17"/>
                <w:szCs w:val="17"/>
              </w:rPr>
            </w:pPr>
            <w:r>
              <w:rPr>
                <w:sz w:val="17"/>
                <w:szCs w:val="17"/>
              </w:rPr>
              <w:t>-1.4 [-1.7]</w:t>
            </w:r>
          </w:p>
        </w:tc>
        <w:tc>
          <w:tcPr>
            <w:tcW w:w="1832" w:type="dxa"/>
            <w:tcBorders>
              <w:bottom w:val="single" w:sz="2" w:space="0" w:color="BBBBBB"/>
            </w:tcBorders>
          </w:tcPr>
          <w:p>
            <w:pPr>
              <w:pStyle w:val="TableContents"/>
              <w:bidi w:val="0"/>
              <w:spacing w:lineRule="auto" w:line="240" w:before="0" w:after="0"/>
              <w:jc w:val="right"/>
              <w:rPr>
                <w:sz w:val="17"/>
                <w:szCs w:val="17"/>
              </w:rPr>
            </w:pPr>
            <w:r>
              <w:rPr>
                <w:sz w:val="17"/>
                <w:szCs w:val="17"/>
              </w:rPr>
              <w:t>-1.4 [-1.7]</w:t>
            </w:r>
          </w:p>
        </w:tc>
        <w:tc>
          <w:tcPr>
            <w:tcW w:w="1084" w:type="dxa"/>
            <w:tcBorders>
              <w:bottom w:val="single" w:sz="2" w:space="0" w:color="BBBBBB"/>
            </w:tcBorders>
          </w:tcPr>
          <w:p>
            <w:pPr>
              <w:pStyle w:val="TableContents"/>
              <w:bidi w:val="0"/>
              <w:spacing w:lineRule="auto" w:line="240" w:before="0" w:after="0"/>
              <w:jc w:val="left"/>
              <w:rPr>
                <w:sz w:val="17"/>
                <w:szCs w:val="17"/>
              </w:rPr>
            </w:pPr>
            <w:r>
              <w:rPr>
                <w:sz w:val="17"/>
                <w:szCs w:val="17"/>
              </w:rPr>
              <w:t>yes</w:t>
            </w:r>
          </w:p>
        </w:tc>
      </w:tr>
      <w:tr>
        <w:trPr>
          <w:cantSplit/>
        </w:trPr>
        <w:tc>
          <w:tcPr>
            <w:tcW w:w="3903"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 destination and holidays</w:t>
            </w:r>
            <w:r>
              <w:rPr>
                <w:sz w:val="17"/>
                <w:szCs w:val="17"/>
              </w:rPr>
              <w:t xml:space="preserve"> against </w:t>
            </w:r>
            <w:r>
              <w:rPr>
                <w:rStyle w:val="SourceText"/>
                <w:sz w:val="17"/>
                <w:szCs w:val="17"/>
              </w:rPr>
              <w:t>+ callsign prefix</w:t>
            </w:r>
          </w:p>
        </w:tc>
        <w:tc>
          <w:tcPr>
            <w:tcW w:w="795" w:type="dxa"/>
            <w:tcBorders>
              <w:bottom w:val="single" w:sz="2" w:space="0" w:color="BBBBBB"/>
            </w:tcBorders>
          </w:tcPr>
          <w:p>
            <w:pPr>
              <w:pStyle w:val="TableContents"/>
              <w:bidi w:val="0"/>
              <w:spacing w:lineRule="auto" w:line="240" w:before="0" w:after="0"/>
              <w:jc w:val="left"/>
              <w:rPr>
                <w:sz w:val="17"/>
                <w:szCs w:val="17"/>
              </w:rPr>
            </w:pPr>
            <w:r>
              <w:rPr>
                <w:sz w:val="17"/>
                <w:szCs w:val="17"/>
              </w:rPr>
              <w:t>LIRF</w:t>
            </w:r>
          </w:p>
        </w:tc>
        <w:tc>
          <w:tcPr>
            <w:tcW w:w="2358" w:type="dxa"/>
            <w:tcBorders>
              <w:bottom w:val="single" w:sz="2" w:space="0" w:color="BBBBBB"/>
            </w:tcBorders>
          </w:tcPr>
          <w:p>
            <w:pPr>
              <w:pStyle w:val="TableContents"/>
              <w:bidi w:val="0"/>
              <w:spacing w:lineRule="auto" w:line="240" w:before="0" w:after="0"/>
              <w:jc w:val="right"/>
              <w:rPr>
                <w:sz w:val="17"/>
                <w:szCs w:val="17"/>
              </w:rPr>
            </w:pPr>
            <w:r>
              <w:rPr>
                <w:sz w:val="17"/>
                <w:szCs w:val="17"/>
              </w:rPr>
              <w:t>-6.5 [-8.8]</w:t>
            </w:r>
          </w:p>
        </w:tc>
        <w:tc>
          <w:tcPr>
            <w:tcW w:w="1832" w:type="dxa"/>
            <w:tcBorders>
              <w:bottom w:val="single" w:sz="2" w:space="0" w:color="BBBBBB"/>
            </w:tcBorders>
          </w:tcPr>
          <w:p>
            <w:pPr>
              <w:pStyle w:val="TableContents"/>
              <w:bidi w:val="0"/>
              <w:spacing w:lineRule="auto" w:line="240" w:before="0" w:after="0"/>
              <w:jc w:val="right"/>
              <w:rPr>
                <w:sz w:val="17"/>
                <w:szCs w:val="17"/>
              </w:rPr>
            </w:pPr>
            <w:r>
              <w:rPr>
                <w:sz w:val="17"/>
                <w:szCs w:val="17"/>
              </w:rPr>
              <w:t>-6.5 [-8.8]</w:t>
            </w:r>
          </w:p>
        </w:tc>
        <w:tc>
          <w:tcPr>
            <w:tcW w:w="1084" w:type="dxa"/>
            <w:tcBorders>
              <w:bottom w:val="single" w:sz="2" w:space="0" w:color="BBBBBB"/>
            </w:tcBorders>
          </w:tcPr>
          <w:p>
            <w:pPr>
              <w:pStyle w:val="TableContents"/>
              <w:bidi w:val="0"/>
              <w:spacing w:lineRule="auto" w:line="240" w:before="0" w:after="0"/>
              <w:jc w:val="left"/>
              <w:rPr>
                <w:sz w:val="17"/>
                <w:szCs w:val="17"/>
              </w:rPr>
            </w:pPr>
            <w:r>
              <w:rPr>
                <w:sz w:val="17"/>
                <w:szCs w:val="17"/>
              </w:rPr>
              <w:t>yes</w:t>
            </w:r>
          </w:p>
        </w:tc>
      </w:tr>
      <w:tr>
        <w:trPr>
          <w:cantSplit/>
        </w:trPr>
        <w:tc>
          <w:tcPr>
            <w:tcW w:w="3903" w:type="dxa"/>
            <w:tcBorders>
              <w:bottom w:val="single" w:sz="2" w:space="0" w:color="BBBBBB"/>
            </w:tcBorders>
          </w:tcPr>
          <w:p>
            <w:pPr>
              <w:pStyle w:val="TableContents"/>
              <w:bidi w:val="0"/>
              <w:spacing w:lineRule="auto" w:line="240" w:before="0" w:after="0"/>
              <w:jc w:val="left"/>
              <w:rPr>
                <w:sz w:val="17"/>
                <w:szCs w:val="17"/>
              </w:rPr>
            </w:pPr>
            <w:r>
              <w:rPr>
                <w:rStyle w:val="SourceText"/>
                <w:sz w:val="17"/>
                <w:szCs w:val="17"/>
              </w:rPr>
              <w:t>+ plan differences</w:t>
            </w:r>
            <w:r>
              <w:rPr>
                <w:sz w:val="17"/>
                <w:szCs w:val="17"/>
              </w:rPr>
              <w:t xml:space="preserve"> against </w:t>
            </w:r>
            <w:r>
              <w:rPr>
                <w:rStyle w:val="SourceText"/>
                <w:sz w:val="17"/>
                <w:szCs w:val="17"/>
              </w:rPr>
              <w:t>+ destination and holidays</w:t>
            </w:r>
          </w:p>
        </w:tc>
        <w:tc>
          <w:tcPr>
            <w:tcW w:w="795" w:type="dxa"/>
            <w:tcBorders>
              <w:bottom w:val="single" w:sz="2" w:space="0" w:color="BBBBBB"/>
            </w:tcBorders>
          </w:tcPr>
          <w:p>
            <w:pPr>
              <w:pStyle w:val="TableContents"/>
              <w:bidi w:val="0"/>
              <w:spacing w:lineRule="auto" w:line="240" w:before="0" w:after="0"/>
              <w:jc w:val="left"/>
              <w:rPr>
                <w:sz w:val="17"/>
                <w:szCs w:val="17"/>
              </w:rPr>
            </w:pPr>
            <w:r>
              <w:rPr>
                <w:sz w:val="17"/>
                <w:szCs w:val="17"/>
              </w:rPr>
              <w:t>all 10</w:t>
            </w:r>
          </w:p>
        </w:tc>
        <w:tc>
          <w:tcPr>
            <w:tcW w:w="2358" w:type="dxa"/>
            <w:tcBorders>
              <w:bottom w:val="single" w:sz="2" w:space="0" w:color="BBBBBB"/>
            </w:tcBorders>
          </w:tcPr>
          <w:p>
            <w:pPr>
              <w:pStyle w:val="TableContents"/>
              <w:bidi w:val="0"/>
              <w:spacing w:lineRule="auto" w:line="240" w:before="0" w:after="0"/>
              <w:jc w:val="right"/>
              <w:rPr>
                <w:sz w:val="17"/>
                <w:szCs w:val="17"/>
              </w:rPr>
            </w:pPr>
            <w:r>
              <w:rPr>
                <w:sz w:val="17"/>
                <w:szCs w:val="17"/>
              </w:rPr>
              <w:t>-2.2 [-2.0]</w:t>
            </w:r>
          </w:p>
        </w:tc>
        <w:tc>
          <w:tcPr>
            <w:tcW w:w="1832" w:type="dxa"/>
            <w:tcBorders>
              <w:bottom w:val="single" w:sz="2" w:space="0" w:color="BBBBBB"/>
            </w:tcBorders>
          </w:tcPr>
          <w:p>
            <w:pPr>
              <w:pStyle w:val="TableContents"/>
              <w:bidi w:val="0"/>
              <w:spacing w:lineRule="auto" w:line="240" w:before="0" w:after="0"/>
              <w:jc w:val="right"/>
              <w:rPr>
                <w:sz w:val="17"/>
                <w:szCs w:val="17"/>
              </w:rPr>
            </w:pPr>
            <w:r>
              <w:rPr>
                <w:sz w:val="17"/>
                <w:szCs w:val="17"/>
              </w:rPr>
              <w:t>-2.2 [-2.0]</w:t>
            </w:r>
          </w:p>
        </w:tc>
        <w:tc>
          <w:tcPr>
            <w:tcW w:w="1084" w:type="dxa"/>
            <w:tcBorders>
              <w:bottom w:val="single" w:sz="2" w:space="0" w:color="BBBBBB"/>
            </w:tcBorders>
          </w:tcPr>
          <w:p>
            <w:pPr>
              <w:pStyle w:val="TableContents"/>
              <w:bidi w:val="0"/>
              <w:spacing w:lineRule="auto" w:line="240" w:before="0" w:after="0"/>
              <w:jc w:val="left"/>
              <w:rPr>
                <w:sz w:val="17"/>
                <w:szCs w:val="17"/>
              </w:rPr>
            </w:pPr>
            <w:r>
              <w:rPr>
                <w:sz w:val="17"/>
                <w:szCs w:val="17"/>
              </w:rPr>
              <w:t>yes</w:t>
            </w:r>
          </w:p>
        </w:tc>
      </w:tr>
      <w:tr>
        <w:trPr>
          <w:cantSplit/>
        </w:trPr>
        <w:tc>
          <w:tcPr>
            <w:tcW w:w="3903" w:type="dxa"/>
            <w:tcBorders>
              <w:bottom w:val="single" w:sz="6" w:space="0" w:color="000000"/>
            </w:tcBorders>
          </w:tcPr>
          <w:p>
            <w:pPr>
              <w:pStyle w:val="TableContents"/>
              <w:bidi w:val="0"/>
              <w:spacing w:lineRule="auto" w:line="240" w:before="0" w:after="0"/>
              <w:jc w:val="left"/>
              <w:rPr>
                <w:sz w:val="17"/>
                <w:szCs w:val="17"/>
              </w:rPr>
            </w:pPr>
            <w:r>
              <w:rPr>
                <w:rStyle w:val="SourceText"/>
                <w:sz w:val="17"/>
                <w:szCs w:val="17"/>
              </w:rPr>
              <w:t>+ plan differences</w:t>
            </w:r>
            <w:r>
              <w:rPr>
                <w:sz w:val="17"/>
                <w:szCs w:val="17"/>
              </w:rPr>
              <w:t xml:space="preserve"> against </w:t>
            </w:r>
            <w:r>
              <w:rPr>
                <w:rStyle w:val="SourceText"/>
                <w:sz w:val="17"/>
                <w:szCs w:val="17"/>
              </w:rPr>
              <w:t>+ destination and holidays</w:t>
            </w:r>
          </w:p>
        </w:tc>
        <w:tc>
          <w:tcPr>
            <w:tcW w:w="795" w:type="dxa"/>
            <w:tcBorders>
              <w:bottom w:val="single" w:sz="6" w:space="0" w:color="000000"/>
            </w:tcBorders>
          </w:tcPr>
          <w:p>
            <w:pPr>
              <w:pStyle w:val="TableContents"/>
              <w:bidi w:val="0"/>
              <w:spacing w:lineRule="auto" w:line="240" w:before="0" w:after="0"/>
              <w:jc w:val="left"/>
              <w:rPr>
                <w:sz w:val="17"/>
                <w:szCs w:val="17"/>
              </w:rPr>
            </w:pPr>
            <w:r>
              <w:rPr>
                <w:sz w:val="17"/>
                <w:szCs w:val="17"/>
              </w:rPr>
              <w:t>LIRF</w:t>
            </w:r>
          </w:p>
        </w:tc>
        <w:tc>
          <w:tcPr>
            <w:tcW w:w="2358" w:type="dxa"/>
            <w:tcBorders>
              <w:bottom w:val="single" w:sz="6" w:space="0" w:color="000000"/>
            </w:tcBorders>
          </w:tcPr>
          <w:p>
            <w:pPr>
              <w:pStyle w:val="TableContents"/>
              <w:bidi w:val="0"/>
              <w:spacing w:lineRule="auto" w:line="240" w:before="0" w:after="0"/>
              <w:jc w:val="right"/>
              <w:rPr>
                <w:sz w:val="17"/>
                <w:szCs w:val="17"/>
              </w:rPr>
            </w:pPr>
            <w:r>
              <w:rPr>
                <w:sz w:val="17"/>
                <w:szCs w:val="17"/>
              </w:rPr>
              <w:t>-6.2 [-4.4]</w:t>
            </w:r>
          </w:p>
        </w:tc>
        <w:tc>
          <w:tcPr>
            <w:tcW w:w="1832" w:type="dxa"/>
            <w:tcBorders>
              <w:bottom w:val="single" w:sz="6" w:space="0" w:color="000000"/>
            </w:tcBorders>
          </w:tcPr>
          <w:p>
            <w:pPr>
              <w:pStyle w:val="TableContents"/>
              <w:bidi w:val="0"/>
              <w:spacing w:lineRule="auto" w:line="240" w:before="0" w:after="0"/>
              <w:jc w:val="right"/>
              <w:rPr>
                <w:sz w:val="17"/>
                <w:szCs w:val="17"/>
              </w:rPr>
            </w:pPr>
            <w:r>
              <w:rPr>
                <w:sz w:val="17"/>
                <w:szCs w:val="17"/>
              </w:rPr>
              <w:t>-6.2 [-4.4]</w:t>
            </w:r>
          </w:p>
        </w:tc>
        <w:tc>
          <w:tcPr>
            <w:tcW w:w="1084" w:type="dxa"/>
            <w:tcBorders>
              <w:bottom w:val="single" w:sz="6" w:space="0" w:color="000000"/>
            </w:tcBorders>
          </w:tcPr>
          <w:p>
            <w:pPr>
              <w:pStyle w:val="TableContents"/>
              <w:bidi w:val="0"/>
              <w:spacing w:lineRule="auto" w:line="240" w:before="0" w:after="0"/>
              <w:jc w:val="left"/>
              <w:rPr>
                <w:sz w:val="17"/>
                <w:szCs w:val="17"/>
              </w:rPr>
            </w:pPr>
            <w:r>
              <w:rPr>
                <w:sz w:val="17"/>
                <w:szCs w:val="17"/>
              </w:rPr>
              <w:t>yes</w:t>
            </w:r>
          </w:p>
        </w:tc>
      </w:tr>
    </w:tbl>
    <w:p>
      <w:pPr>
        <w:pStyle w:val="BodyText"/>
        <w:bidi w:val="0"/>
        <w:spacing w:lineRule="auto" w:line="276" w:before="160" w:after="14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spacing w:lineRule="auto" w:line="276" w:before="0" w:after="14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spacing w:lineRule="auto" w:line="276" w:before="0" w:after="14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spacing w:lineRule="auto" w:line="276" w:before="0" w:after="14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w:t>
      </w:r>
      <w:hyperlink w:anchor="annex_F" w:history="1">
        <w:r>
          <w:rPr>
            <w:rStyle w:val="InternalRef"/>
          </w:rPr>
          <w:t xml:space="preserve">Annex F</w:t>
        </w:r>
      </w:hyperlink>
      <w:r>
        <w:rPr/>
        <w:t xml:space="preserve">, since the share falls from 35.4% to 26.5% when that row is left out. On the forward splits the same blocks are worth 2.11, 1.79 and 1.14 s in December and 4.64, 1.49 and 4.55 in July (</w:t>
      </w:r>
      <w:hyperlink w:anchor="sec_7_2" w:history="1">
        <w:r>
          <w:rPr>
            <w:rStyle w:val="InternalRef"/>
          </w:rPr>
          <w:t xml:space="preserve">§7.2</w:t>
        </w:r>
      </w:hyperlink>
      <w:r>
        <w:rPr/>
        <w:t xml:space="preserve">).</w:t>
      </w:r>
    </w:p>
    <w:p>
      <w:pPr>
        <w:pStyle w:val="SourceNote"/>
        <w:bidi w:val="0"/>
        <w:spacing w:lineRule="auto" w:line="252" w:before="0" w:after="200"/>
        <w:jc w:val="left"/>
        <w:rPr/>
      </w:pPr>
      <w:r>
        <w:rPr/>
        <w:t xml:space="preserve">Sources: </w:t>
      </w:r>
      <w:r>
        <w:rPr>
          <w:rStyle w:val="SourceText"/>
          <w:sz w:val="18"/>
          <w:szCs w:val="18"/>
        </w:rPr>
        <w:t>reports/fiumicino.md</w:t>
      </w:r>
      <w:r>
        <w:rPr/>
        <w:t xml:space="preserve">, </w:t>
      </w:r>
      <w:r>
        <w:rPr>
          <w:rStyle w:val="Emphasis"/>
        </w:rPr>
        <w:t>The held-out-month ladder's year-level changes, recomputed</w:t>
      </w:r>
      <w:r>
        <w:rPr/>
        <w:t xml:space="preserve">, </w:t>
      </w:r>
      <w:r>
        <w:rPr>
          <w:rStyle w:val="SourceText"/>
          <w:sz w:val="18"/>
          <w:szCs w:val="18"/>
        </w:rPr>
        <w:t>+ callsign prefix</w:t>
      </w:r>
      <w:r>
        <w:rPr>
          <w:rStyle w:val="Emphasis"/>
        </w:rPr>
        <w:t xml:space="preserve"> against </w:t>
      </w:r>
      <w:r>
        <w:rPr>
          <w:rStyle w:val="SourceText"/>
          <w:sz w:val="18"/>
          <w:szCs w:val="18"/>
        </w:rPr>
        <w:t>+ stand occupancy</w:t>
      </w:r>
      <w:r>
        <w:rPr/>
        <w:t xml:space="preserve">, </w:t>
      </w:r>
      <w:r>
        <w:rPr>
          <w:rStyle w:val="SourceText"/>
          <w:sz w:val="18"/>
          <w:szCs w:val="18"/>
        </w:rPr>
        <w:t>+ destination and holidays</w:t>
      </w:r>
      <w:r>
        <w:rPr>
          <w:rStyle w:val="Emphasis"/>
        </w:rPr>
        <w:t xml:space="preserve"> against </w:t>
      </w:r>
      <w:r>
        <w:rPr>
          <w:rStyle w:val="SourceText"/>
          <w:sz w:val="18"/>
          <w:szCs w:val="18"/>
        </w:rPr>
        <w:t>+ callsign prefix</w:t>
      </w:r>
      <w:r>
        <w:rPr/>
        <w:t xml:space="preserve"> and </w:t>
      </w:r>
      <w:r>
        <w:rPr>
          <w:rStyle w:val="SourceText"/>
          <w:sz w:val="18"/>
          <w:szCs w:val="18"/>
        </w:rPr>
        <w:t>+ plan differences</w:t>
      </w:r>
      <w:r>
        <w:rPr>
          <w:rStyle w:val="Emphasis"/>
        </w:rPr>
        <w:t xml:space="preserve"> against </w:t>
      </w:r>
      <w:r>
        <w:rPr>
          <w:rStyle w:val="SourceText"/>
          <w:sz w:val="18"/>
          <w:szCs w:val="18"/>
        </w:rPr>
        <w:t>+ destination and holidays</w:t>
      </w:r>
      <w:r>
        <w:rPr/>
        <w:t xml:space="preserve">; </w:t>
      </w:r>
      <w:r>
        <w:rPr>
          <w:rStyle w:val="SourceText"/>
          <w:sz w:val="18"/>
          <w:szCs w:val="18"/>
        </w:rPr>
        <w:t>reports/baseline.md</w:t>
      </w:r>
      <w:r>
        <w:rPr/>
        <w:t xml:space="preserve">, </w:t>
      </w:r>
      <w:r>
        <w:rPr>
          <w:rStyle w:val="Emphasis"/>
        </w:rPr>
        <w:t>The Gate 2c blocks</w:t>
      </w:r>
      <w:r>
        <w:rPr/>
        <w:t>.</w:t>
      </w:r>
    </w:p>
    <w:p>
      <w:pPr>
        <w:pStyle w:val="Heading2"/>
        <w:numPr>
          <w:ilvl w:val="0"/>
          <w:numId w:val="0"/>
        </w:numPr>
        <w:bidi w:val="0"/>
        <w:spacing w:before="200" w:after="120"/>
        <w:jc w:val="left"/>
        <w:rPr/>
      </w:pPr>
      <w:bookmarkStart w:id="241" w:name="annex_I"/>
      <w:bookmarkStart w:id="240" w:name="_Toc000071"/>
      <w:r>
        <w:rPr/>
        <w:t>Annex I: the plan-shifted departures, evaluated after the rule was fixed</w:t>
      </w:r>
      <w:bookmarkEnd w:id="240"/>
      <w:bookmarkEnd w:id="241"/>
    </w:p>
    <w:p>
      <w:pPr>
        <w:pStyle w:val="BodyText"/>
        <w:bidi w:val="0"/>
        <w:spacing w:lineRule="auto" w:line="276" w:before="0" w:after="140"/>
        <w:jc w:val="left"/>
        <w:rPr/>
      </w:pPr>
      <w:r>
        <w:rPr/>
        <w:t xml:space="preserve">The rule of </w:t>
      </w:r>
      <w:hyperlink w:anchor="sec_4" w:history="1">
        <w:r>
          <w:rPr>
            <w:rStyle w:val="InternalRef"/>
          </w:rPr>
          <w:t xml:space="preserve">§4</w:t>
        </w:r>
      </w:hyperlink>
      <w:r>
        <w:rPr/>
        <w:t xml:space="preserve"> as the report evaluated it on the stored residuals, after the pre-registration fixed it and before it was built into the submitted file. The class in the training year, per departure (no identifiers):</w:t>
      </w:r>
    </w:p>
    <w:tbl>
      <w:tblPr>
        <w:tblW w:w="9972" w:type="dxa"/>
        <w:jc w:val="left"/>
        <w:tblInd w:w="58" w:type="dxa"/>
        <w:tblLayout w:type="fixed"/>
        <w:tblCellMar>
          <w:top w:w="36" w:type="dxa"/>
          <w:left w:w="58" w:type="dxa"/>
          <w:bottom w:w="36" w:type="dxa"/>
          <w:right w:w="58" w:type="dxa"/>
        </w:tblCellMar>
      </w:tblPr>
      <w:tblGrid>
        <w:gridCol w:w="675"/>
        <w:gridCol w:w="729"/>
        <w:gridCol w:w="1458"/>
        <w:gridCol w:w="1662"/>
        <w:gridCol w:w="1511"/>
        <w:gridCol w:w="1822"/>
        <w:gridCol w:w="1680"/>
        <w:gridCol w:w="435"/>
      </w:tblGrid>
      <w:tr>
        <w:trPr>
          <w:tblHeader w:val="true"/>
          <w:cantSplit/>
        </w:trPr>
        <w:tc>
          <w:tcPr>
            <w:tcW w:w="67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airport</w:t>
            </w:r>
          </w:p>
        </w:tc>
        <w:tc>
          <w:tcPr>
            <w:tcW w:w="729"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month</w:t>
            </w:r>
          </w:p>
        </w:tc>
        <w:tc>
          <w:tcPr>
            <w:tcW w:w="145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flight-plan record</w:t>
            </w:r>
          </w:p>
        </w:tc>
        <w:tc>
          <w:tcPr>
            <w:tcW w:w="1662"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take-off - EOBT_1 (h)</w:t>
            </w:r>
          </w:p>
        </w:tc>
        <w:tc>
          <w:tcPr>
            <w:tcW w:w="1511"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take-off - LOBT (h)</w:t>
            </w:r>
          </w:p>
        </w:tc>
        <w:tc>
          <w:tcPr>
            <w:tcW w:w="1822"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take-off - schedule (h)</w:t>
            </w:r>
          </w:p>
        </w:tc>
        <w:tc>
          <w:tcPr>
            <w:tcW w:w="1680"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recorded taxi-out (s)</w:t>
            </w:r>
          </w:p>
        </w:tc>
        <w:tc>
          <w:tcPr>
            <w:tcW w:w="435"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long</w:t>
            </w:r>
          </w:p>
        </w:tc>
      </w:tr>
      <w:tr>
        <w:trPr>
          <w:cantSplit/>
        </w:trPr>
        <w:tc>
          <w:tcPr>
            <w:tcW w:w="675" w:type="dxa"/>
            <w:tcBorders>
              <w:bottom w:val="single" w:sz="2" w:space="0" w:color="BBBBBB"/>
            </w:tcBorders>
          </w:tcPr>
          <w:p>
            <w:pPr>
              <w:pStyle w:val="TableContents"/>
              <w:bidi w:val="0"/>
              <w:spacing w:lineRule="auto" w:line="240" w:before="0" w:after="0"/>
              <w:jc w:val="left"/>
              <w:rPr>
                <w:sz w:val="16"/>
                <w:szCs w:val="16"/>
              </w:rPr>
            </w:pPr>
            <w:r>
              <w:rPr>
                <w:sz w:val="16"/>
                <w:szCs w:val="16"/>
              </w:rPr>
              <w:t>LIRF</w:t>
            </w:r>
          </w:p>
        </w:tc>
        <w:tc>
          <w:tcPr>
            <w:tcW w:w="729" w:type="dxa"/>
            <w:tcBorders>
              <w:bottom w:val="single" w:sz="2" w:space="0" w:color="BBBBBB"/>
            </w:tcBorders>
          </w:tcPr>
          <w:p>
            <w:pPr>
              <w:pStyle w:val="TableContents"/>
              <w:bidi w:val="0"/>
              <w:spacing w:lineRule="auto" w:line="240" w:before="0" w:after="0"/>
              <w:jc w:val="left"/>
              <w:rPr>
                <w:sz w:val="16"/>
                <w:szCs w:val="16"/>
              </w:rPr>
            </w:pPr>
            <w:r>
              <w:rPr>
                <w:sz w:val="16"/>
                <w:szCs w:val="16"/>
              </w:rPr>
              <w:t>Feb 2025</w:t>
            </w:r>
          </w:p>
        </w:tc>
        <w:tc>
          <w:tcPr>
            <w:tcW w:w="1458"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c>
          <w:tcPr>
            <w:tcW w:w="1662" w:type="dxa"/>
            <w:tcBorders>
              <w:bottom w:val="single" w:sz="2" w:space="0" w:color="BBBBBB"/>
            </w:tcBorders>
          </w:tcPr>
          <w:p>
            <w:pPr>
              <w:pStyle w:val="TableContents"/>
              <w:bidi w:val="0"/>
              <w:spacing w:lineRule="auto" w:line="240" w:before="0" w:after="0"/>
              <w:jc w:val="right"/>
              <w:rPr>
                <w:sz w:val="16"/>
                <w:szCs w:val="16"/>
              </w:rPr>
            </w:pPr>
            <w:r>
              <w:rPr>
                <w:sz w:val="16"/>
                <w:szCs w:val="16"/>
              </w:rPr>
              <w:t>4.58</w:t>
            </w:r>
          </w:p>
        </w:tc>
        <w:tc>
          <w:tcPr>
            <w:tcW w:w="1511" w:type="dxa"/>
            <w:tcBorders>
              <w:bottom w:val="single" w:sz="2" w:space="0" w:color="BBBBBB"/>
            </w:tcBorders>
          </w:tcPr>
          <w:p>
            <w:pPr>
              <w:pStyle w:val="TableContents"/>
              <w:bidi w:val="0"/>
              <w:spacing w:lineRule="auto" w:line="240" w:before="0" w:after="0"/>
              <w:jc w:val="right"/>
              <w:rPr>
                <w:sz w:val="16"/>
                <w:szCs w:val="16"/>
              </w:rPr>
            </w:pPr>
            <w:r>
              <w:rPr>
                <w:sz w:val="16"/>
                <w:szCs w:val="16"/>
              </w:rPr>
              <w:t>4.60</w:t>
            </w:r>
          </w:p>
        </w:tc>
        <w:tc>
          <w:tcPr>
            <w:tcW w:w="1822" w:type="dxa"/>
            <w:tcBorders>
              <w:bottom w:val="single" w:sz="2" w:space="0" w:color="BBBBBB"/>
            </w:tcBorders>
          </w:tcPr>
          <w:p>
            <w:pPr>
              <w:pStyle w:val="TableContents"/>
              <w:bidi w:val="0"/>
              <w:spacing w:lineRule="auto" w:line="240" w:before="0" w:after="0"/>
              <w:jc w:val="right"/>
              <w:rPr>
                <w:sz w:val="16"/>
                <w:szCs w:val="16"/>
              </w:rPr>
            </w:pPr>
            <w:r>
              <w:rPr>
                <w:sz w:val="16"/>
                <w:szCs w:val="16"/>
              </w:rPr>
              <w:t>3.85</w:t>
            </w:r>
          </w:p>
        </w:tc>
        <w:tc>
          <w:tcPr>
            <w:tcW w:w="1680" w:type="dxa"/>
            <w:tcBorders>
              <w:bottom w:val="single" w:sz="2" w:space="0" w:color="BBBBBB"/>
            </w:tcBorders>
          </w:tcPr>
          <w:p>
            <w:pPr>
              <w:pStyle w:val="TableContents"/>
              <w:bidi w:val="0"/>
              <w:spacing w:lineRule="auto" w:line="240" w:before="0" w:after="0"/>
              <w:jc w:val="right"/>
              <w:rPr>
                <w:sz w:val="16"/>
                <w:szCs w:val="16"/>
              </w:rPr>
            </w:pPr>
            <w:r>
              <w:rPr>
                <w:sz w:val="16"/>
                <w:szCs w:val="16"/>
              </w:rPr>
              <w:t>13,865</w:t>
            </w:r>
          </w:p>
        </w:tc>
        <w:tc>
          <w:tcPr>
            <w:tcW w:w="435" w:type="dxa"/>
            <w:tcBorders>
              <w:bottom w:val="single" w:sz="2" w:space="0" w:color="BBBBBB"/>
            </w:tcBorders>
          </w:tcPr>
          <w:p>
            <w:pPr>
              <w:pStyle w:val="TableContents"/>
              <w:bidi w:val="0"/>
              <w:spacing w:lineRule="auto" w:line="240" w:before="0" w:after="0"/>
              <w:jc w:val="left"/>
              <w:rPr>
                <w:sz w:val="16"/>
                <w:szCs w:val="16"/>
              </w:rPr>
            </w:pPr>
            <w:r>
              <w:rPr>
                <w:sz w:val="16"/>
                <w:szCs w:val="16"/>
              </w:rPr>
              <w:t>no</w:t>
            </w:r>
          </w:p>
        </w:tc>
      </w:tr>
      <w:tr>
        <w:trPr>
          <w:cantSplit/>
        </w:trPr>
        <w:tc>
          <w:tcPr>
            <w:tcW w:w="675" w:type="dxa"/>
            <w:tcBorders>
              <w:bottom w:val="single" w:sz="2" w:space="0" w:color="BBBBBB"/>
            </w:tcBorders>
          </w:tcPr>
          <w:p>
            <w:pPr>
              <w:pStyle w:val="TableContents"/>
              <w:bidi w:val="0"/>
              <w:spacing w:lineRule="auto" w:line="240" w:before="0" w:after="0"/>
              <w:jc w:val="left"/>
              <w:rPr>
                <w:sz w:val="16"/>
                <w:szCs w:val="16"/>
              </w:rPr>
            </w:pPr>
            <w:r>
              <w:rPr>
                <w:sz w:val="16"/>
                <w:szCs w:val="16"/>
              </w:rPr>
              <w:t>LFPG</w:t>
            </w:r>
          </w:p>
        </w:tc>
        <w:tc>
          <w:tcPr>
            <w:tcW w:w="729" w:type="dxa"/>
            <w:tcBorders>
              <w:bottom w:val="single" w:sz="2" w:space="0" w:color="BBBBBB"/>
            </w:tcBorders>
          </w:tcPr>
          <w:p>
            <w:pPr>
              <w:pStyle w:val="TableContents"/>
              <w:bidi w:val="0"/>
              <w:spacing w:lineRule="auto" w:line="240" w:before="0" w:after="0"/>
              <w:jc w:val="left"/>
              <w:rPr>
                <w:sz w:val="16"/>
                <w:szCs w:val="16"/>
              </w:rPr>
            </w:pPr>
            <w:r>
              <w:rPr>
                <w:sz w:val="16"/>
                <w:szCs w:val="16"/>
              </w:rPr>
              <w:t>Mar 2025</w:t>
            </w:r>
          </w:p>
        </w:tc>
        <w:tc>
          <w:tcPr>
            <w:tcW w:w="1458"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c>
          <w:tcPr>
            <w:tcW w:w="1662" w:type="dxa"/>
            <w:tcBorders>
              <w:bottom w:val="single" w:sz="2" w:space="0" w:color="BBBBBB"/>
            </w:tcBorders>
          </w:tcPr>
          <w:p>
            <w:pPr>
              <w:pStyle w:val="TableContents"/>
              <w:bidi w:val="0"/>
              <w:spacing w:lineRule="auto" w:line="240" w:before="0" w:after="0"/>
              <w:jc w:val="right"/>
              <w:rPr>
                <w:sz w:val="16"/>
                <w:szCs w:val="16"/>
              </w:rPr>
            </w:pPr>
            <w:r>
              <w:rPr>
                <w:sz w:val="16"/>
                <w:szCs w:val="16"/>
              </w:rPr>
              <w:t>5.65</w:t>
            </w:r>
          </w:p>
        </w:tc>
        <w:tc>
          <w:tcPr>
            <w:tcW w:w="1511" w:type="dxa"/>
            <w:tcBorders>
              <w:bottom w:val="single" w:sz="2" w:space="0" w:color="BBBBBB"/>
            </w:tcBorders>
          </w:tcPr>
          <w:p>
            <w:pPr>
              <w:pStyle w:val="TableContents"/>
              <w:bidi w:val="0"/>
              <w:spacing w:lineRule="auto" w:line="240" w:before="0" w:after="0"/>
              <w:jc w:val="right"/>
              <w:rPr>
                <w:sz w:val="16"/>
                <w:szCs w:val="16"/>
              </w:rPr>
            </w:pPr>
            <w:r>
              <w:rPr>
                <w:sz w:val="16"/>
                <w:szCs w:val="16"/>
              </w:rPr>
              <w:t>5.85</w:t>
            </w:r>
          </w:p>
        </w:tc>
        <w:tc>
          <w:tcPr>
            <w:tcW w:w="1822" w:type="dxa"/>
            <w:tcBorders>
              <w:bottom w:val="single" w:sz="2" w:space="0" w:color="BBBBBB"/>
            </w:tcBorders>
          </w:tcPr>
          <w:p>
            <w:pPr>
              <w:pStyle w:val="TableContents"/>
              <w:bidi w:val="0"/>
              <w:spacing w:lineRule="auto" w:line="240" w:before="0" w:after="0"/>
              <w:jc w:val="right"/>
              <w:rPr>
                <w:sz w:val="16"/>
                <w:szCs w:val="16"/>
              </w:rPr>
            </w:pPr>
            <w:r>
              <w:rPr>
                <w:sz w:val="16"/>
                <w:szCs w:val="16"/>
              </w:rPr>
              <w:t>5.85</w:t>
            </w:r>
          </w:p>
        </w:tc>
        <w:tc>
          <w:tcPr>
            <w:tcW w:w="1680" w:type="dxa"/>
            <w:tcBorders>
              <w:bottom w:val="single" w:sz="2" w:space="0" w:color="BBBBBB"/>
            </w:tcBorders>
          </w:tcPr>
          <w:p>
            <w:pPr>
              <w:pStyle w:val="TableContents"/>
              <w:bidi w:val="0"/>
              <w:spacing w:lineRule="auto" w:line="240" w:before="0" w:after="0"/>
              <w:jc w:val="right"/>
              <w:rPr>
                <w:sz w:val="16"/>
                <w:szCs w:val="16"/>
              </w:rPr>
            </w:pPr>
            <w:r>
              <w:rPr>
                <w:sz w:val="16"/>
                <w:szCs w:val="16"/>
              </w:rPr>
              <w:t>21,308</w:t>
            </w:r>
          </w:p>
        </w:tc>
        <w:tc>
          <w:tcPr>
            <w:tcW w:w="435" w:type="dxa"/>
            <w:tcBorders>
              <w:bottom w:val="single" w:sz="2" w:space="0" w:color="BBBBBB"/>
            </w:tcBorders>
          </w:tcPr>
          <w:p>
            <w:pPr>
              <w:pStyle w:val="TableContents"/>
              <w:bidi w:val="0"/>
              <w:spacing w:lineRule="auto" w:line="240" w:before="0" w:after="0"/>
              <w:jc w:val="left"/>
              <w:rPr>
                <w:sz w:val="16"/>
                <w:szCs w:val="16"/>
              </w:rPr>
            </w:pPr>
            <w:r>
              <w:rPr>
                <w:sz w:val="16"/>
                <w:szCs w:val="16"/>
              </w:rPr>
              <w:t>yes</w:t>
            </w:r>
          </w:p>
        </w:tc>
      </w:tr>
      <w:tr>
        <w:trPr>
          <w:cantSplit/>
        </w:trPr>
        <w:tc>
          <w:tcPr>
            <w:tcW w:w="675" w:type="dxa"/>
            <w:tcBorders>
              <w:bottom w:val="single" w:sz="6" w:space="0" w:color="000000"/>
            </w:tcBorders>
          </w:tcPr>
          <w:p>
            <w:pPr>
              <w:pStyle w:val="TableContents"/>
              <w:bidi w:val="0"/>
              <w:spacing w:lineRule="auto" w:line="240" w:before="0" w:after="0"/>
              <w:jc w:val="left"/>
              <w:rPr>
                <w:sz w:val="16"/>
                <w:szCs w:val="16"/>
              </w:rPr>
            </w:pPr>
            <w:r>
              <w:rPr>
                <w:sz w:val="16"/>
                <w:szCs w:val="16"/>
              </w:rPr>
              <w:t>LIRF</w:t>
            </w:r>
          </w:p>
        </w:tc>
        <w:tc>
          <w:tcPr>
            <w:tcW w:w="729" w:type="dxa"/>
            <w:tcBorders>
              <w:bottom w:val="single" w:sz="6" w:space="0" w:color="000000"/>
            </w:tcBorders>
          </w:tcPr>
          <w:p>
            <w:pPr>
              <w:pStyle w:val="TableContents"/>
              <w:bidi w:val="0"/>
              <w:spacing w:lineRule="auto" w:line="240" w:before="0" w:after="0"/>
              <w:jc w:val="left"/>
              <w:rPr>
                <w:sz w:val="16"/>
                <w:szCs w:val="16"/>
              </w:rPr>
            </w:pPr>
            <w:r>
              <w:rPr>
                <w:sz w:val="16"/>
                <w:szCs w:val="16"/>
              </w:rPr>
              <w:t>Jul 2025</w:t>
            </w:r>
          </w:p>
        </w:tc>
        <w:tc>
          <w:tcPr>
            <w:tcW w:w="1458" w:type="dxa"/>
            <w:tcBorders>
              <w:bottom w:val="single" w:sz="6" w:space="0" w:color="000000"/>
            </w:tcBorders>
          </w:tcPr>
          <w:p>
            <w:pPr>
              <w:pStyle w:val="TableContents"/>
              <w:bidi w:val="0"/>
              <w:spacing w:lineRule="auto" w:line="240" w:before="0" w:after="0"/>
              <w:jc w:val="left"/>
              <w:rPr>
                <w:sz w:val="16"/>
                <w:szCs w:val="16"/>
              </w:rPr>
            </w:pPr>
            <w:r>
              <w:rPr>
                <w:sz w:val="16"/>
                <w:szCs w:val="16"/>
              </w:rPr>
              <w:t>yes</w:t>
            </w:r>
          </w:p>
        </w:tc>
        <w:tc>
          <w:tcPr>
            <w:tcW w:w="1662" w:type="dxa"/>
            <w:tcBorders>
              <w:bottom w:val="single" w:sz="6" w:space="0" w:color="000000"/>
            </w:tcBorders>
          </w:tcPr>
          <w:p>
            <w:pPr>
              <w:pStyle w:val="TableContents"/>
              <w:bidi w:val="0"/>
              <w:spacing w:lineRule="auto" w:line="240" w:before="0" w:after="0"/>
              <w:jc w:val="right"/>
              <w:rPr>
                <w:sz w:val="16"/>
                <w:szCs w:val="16"/>
              </w:rPr>
            </w:pPr>
            <w:r>
              <w:rPr>
                <w:sz w:val="16"/>
                <w:szCs w:val="16"/>
              </w:rPr>
              <w:t>24.17</w:t>
            </w:r>
          </w:p>
        </w:tc>
        <w:tc>
          <w:tcPr>
            <w:tcW w:w="1511" w:type="dxa"/>
            <w:tcBorders>
              <w:bottom w:val="single" w:sz="6" w:space="0" w:color="000000"/>
            </w:tcBorders>
          </w:tcPr>
          <w:p>
            <w:pPr>
              <w:pStyle w:val="TableContents"/>
              <w:bidi w:val="0"/>
              <w:spacing w:lineRule="auto" w:line="240" w:before="0" w:after="0"/>
              <w:jc w:val="right"/>
              <w:rPr>
                <w:sz w:val="16"/>
                <w:szCs w:val="16"/>
              </w:rPr>
            </w:pPr>
            <w:r>
              <w:rPr>
                <w:sz w:val="16"/>
                <w:szCs w:val="16"/>
              </w:rPr>
              <w:t>24.17</w:t>
            </w:r>
          </w:p>
        </w:tc>
        <w:tc>
          <w:tcPr>
            <w:tcW w:w="1822" w:type="dxa"/>
            <w:tcBorders>
              <w:bottom w:val="single" w:sz="6" w:space="0" w:color="000000"/>
            </w:tcBorders>
          </w:tcPr>
          <w:p>
            <w:pPr>
              <w:pStyle w:val="TableContents"/>
              <w:bidi w:val="0"/>
              <w:spacing w:lineRule="auto" w:line="240" w:before="0" w:after="0"/>
              <w:jc w:val="right"/>
              <w:rPr>
                <w:sz w:val="16"/>
                <w:szCs w:val="16"/>
              </w:rPr>
            </w:pPr>
            <w:r>
              <w:rPr>
                <w:sz w:val="16"/>
                <w:szCs w:val="16"/>
              </w:rPr>
              <w:t>24.17</w:t>
            </w:r>
          </w:p>
        </w:tc>
        <w:tc>
          <w:tcPr>
            <w:tcW w:w="1680" w:type="dxa"/>
            <w:tcBorders>
              <w:bottom w:val="single" w:sz="6" w:space="0" w:color="000000"/>
            </w:tcBorders>
          </w:tcPr>
          <w:p>
            <w:pPr>
              <w:pStyle w:val="TableContents"/>
              <w:bidi w:val="0"/>
              <w:spacing w:lineRule="auto" w:line="240" w:before="0" w:after="0"/>
              <w:jc w:val="right"/>
              <w:rPr>
                <w:sz w:val="16"/>
                <w:szCs w:val="16"/>
              </w:rPr>
            </w:pPr>
            <w:r>
              <w:rPr>
                <w:sz w:val="16"/>
                <w:szCs w:val="16"/>
              </w:rPr>
              <w:t>87,002</w:t>
            </w:r>
          </w:p>
        </w:tc>
        <w:tc>
          <w:tcPr>
            <w:tcW w:w="435" w:type="dxa"/>
            <w:tcBorders>
              <w:bottom w:val="single" w:sz="6" w:space="0" w:color="000000"/>
            </w:tcBorders>
          </w:tcPr>
          <w:p>
            <w:pPr>
              <w:pStyle w:val="TableContents"/>
              <w:bidi w:val="0"/>
              <w:spacing w:lineRule="auto" w:line="240" w:before="0" w:after="0"/>
              <w:jc w:val="left"/>
              <w:rPr>
                <w:sz w:val="16"/>
                <w:szCs w:val="16"/>
              </w:rPr>
            </w:pPr>
            <w:r>
              <w:rPr>
                <w:sz w:val="16"/>
                <w:szCs w:val="16"/>
              </w:rPr>
              <w:t>yes</w:t>
            </w:r>
          </w:p>
        </w:tc>
      </w:tr>
    </w:tbl>
    <w:p>
      <w:pPr>
        <w:pStyle w:val="BodyText"/>
        <w:bidi w:val="0"/>
        <w:spacing w:lineRule="auto" w:line="276" w:before="160" w:after="14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9972" w:type="dxa"/>
        <w:jc w:val="left"/>
        <w:tblInd w:w="58" w:type="dxa"/>
        <w:tblLayout w:type="fixed"/>
        <w:tblCellMar>
          <w:top w:w="36" w:type="dxa"/>
          <w:left w:w="58" w:type="dxa"/>
          <w:bottom w:w="36" w:type="dxa"/>
          <w:right w:w="58" w:type="dxa"/>
        </w:tblCellMar>
      </w:tblPr>
      <w:tblGrid>
        <w:gridCol w:w="4716"/>
        <w:gridCol w:w="5256"/>
      </w:tblGrid>
      <w:tr>
        <w:trPr>
          <w:tblHeader w:val="true"/>
          <w:cantSplit/>
        </w:trPr>
        <w:tc>
          <w:tcPr>
            <w:tcW w:w="4716" w:type="dxa"/>
            <w:tcBorders>
              <w:top w:val="single" w:sz="6" w:space="0" w:color="000000"/>
              <w:bottom w:val="single" w:sz="6" w:space="0" w:color="000000"/>
            </w:tcBorders>
            <w:shd w:fill="EEEEEE" w:val="clear"/>
          </w:tcPr>
          <w:p>
            <w:pPr>
              <w:pStyle w:val="TableHeading"/>
              <w:bidi w:val="0"/>
              <w:spacing w:lineRule="auto" w:line="240" w:before="0" w:after="0"/>
              <w:jc w:val="left"/>
              <w:rPr>
                <w:b/>
                <w:sz w:val="18"/>
                <w:szCs w:val="18"/>
              </w:rPr>
            </w:pPr>
            <w:r>
              <w:rPr>
                <w:b/>
                <w:sz w:val="18"/>
                <w:szCs w:val="18"/>
              </w:rPr>
              <w:t>airport</w:t>
            </w:r>
          </w:p>
        </w:tc>
        <w:tc>
          <w:tcPr>
            <w:tcW w:w="5256" w:type="dxa"/>
            <w:tcBorders>
              <w:top w:val="single" w:sz="6" w:space="0" w:color="000000"/>
              <w:bottom w:val="single" w:sz="6" w:space="0" w:color="000000"/>
            </w:tcBorders>
            <w:shd w:fill="EEEEEE" w:val="clear"/>
          </w:tcPr>
          <w:p>
            <w:pPr>
              <w:pStyle w:val="TableHeading"/>
              <w:bidi w:val="0"/>
              <w:spacing w:lineRule="auto" w:line="240" w:before="0" w:after="0"/>
              <w:jc w:val="right"/>
              <w:rPr>
                <w:b/>
                <w:sz w:val="18"/>
                <w:szCs w:val="18"/>
              </w:rPr>
            </w:pPr>
            <w:r>
              <w:rPr>
                <w:b/>
                <w:sz w:val="18"/>
                <w:szCs w:val="18"/>
              </w:rPr>
              <w:t>rest mean (s)</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EDDF</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862.5</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EDDM</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810.6</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EGLL</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1,363.0</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EHAM</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787.6</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LEBL</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955.6</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LEMD</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1,014.3</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LFPG</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1,016.7</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LIRF</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1,144.2</w:t>
            </w:r>
          </w:p>
        </w:tc>
      </w:tr>
      <w:tr>
        <w:trPr>
          <w:cantSplit/>
        </w:trPr>
        <w:tc>
          <w:tcPr>
            <w:tcW w:w="4716" w:type="dxa"/>
            <w:tcBorders>
              <w:bottom w:val="single" w:sz="2" w:space="0" w:color="BBBBBB"/>
            </w:tcBorders>
          </w:tcPr>
          <w:p>
            <w:pPr>
              <w:pStyle w:val="TableContents"/>
              <w:bidi w:val="0"/>
              <w:spacing w:lineRule="auto" w:line="240" w:before="0" w:after="0"/>
              <w:jc w:val="left"/>
              <w:rPr>
                <w:sz w:val="18"/>
                <w:szCs w:val="18"/>
              </w:rPr>
            </w:pPr>
            <w:r>
              <w:rPr>
                <w:sz w:val="18"/>
                <w:szCs w:val="18"/>
              </w:rPr>
              <w:t>LSZH</w:t>
            </w:r>
          </w:p>
        </w:tc>
        <w:tc>
          <w:tcPr>
            <w:tcW w:w="5256" w:type="dxa"/>
            <w:tcBorders>
              <w:bottom w:val="single" w:sz="2" w:space="0" w:color="BBBBBB"/>
            </w:tcBorders>
          </w:tcPr>
          <w:p>
            <w:pPr>
              <w:pStyle w:val="TableContents"/>
              <w:bidi w:val="0"/>
              <w:spacing w:lineRule="auto" w:line="240" w:before="0" w:after="0"/>
              <w:jc w:val="right"/>
              <w:rPr>
                <w:sz w:val="18"/>
                <w:szCs w:val="18"/>
              </w:rPr>
            </w:pPr>
            <w:r>
              <w:rPr>
                <w:sz w:val="18"/>
                <w:szCs w:val="18"/>
              </w:rPr>
              <w:t>741.6</w:t>
            </w:r>
          </w:p>
        </w:tc>
      </w:tr>
      <w:tr>
        <w:trPr>
          <w:cantSplit/>
        </w:trPr>
        <w:tc>
          <w:tcPr>
            <w:tcW w:w="4716" w:type="dxa"/>
            <w:tcBorders>
              <w:bottom w:val="single" w:sz="6" w:space="0" w:color="000000"/>
            </w:tcBorders>
          </w:tcPr>
          <w:p>
            <w:pPr>
              <w:pStyle w:val="TableContents"/>
              <w:bidi w:val="0"/>
              <w:spacing w:lineRule="auto" w:line="240" w:before="0" w:after="0"/>
              <w:jc w:val="left"/>
              <w:rPr>
                <w:sz w:val="18"/>
                <w:szCs w:val="18"/>
              </w:rPr>
            </w:pPr>
            <w:r>
              <w:rPr>
                <w:sz w:val="18"/>
                <w:szCs w:val="18"/>
              </w:rPr>
              <w:t>LTFM</w:t>
            </w:r>
          </w:p>
        </w:tc>
        <w:tc>
          <w:tcPr>
            <w:tcW w:w="5256" w:type="dxa"/>
            <w:tcBorders>
              <w:bottom w:val="single" w:sz="6" w:space="0" w:color="000000"/>
            </w:tcBorders>
          </w:tcPr>
          <w:p>
            <w:pPr>
              <w:pStyle w:val="TableContents"/>
              <w:bidi w:val="0"/>
              <w:spacing w:lineRule="auto" w:line="240" w:before="0" w:after="0"/>
              <w:jc w:val="right"/>
              <w:rPr>
                <w:sz w:val="18"/>
                <w:szCs w:val="18"/>
              </w:rPr>
            </w:pPr>
            <w:r>
              <w:rPr>
                <w:sz w:val="18"/>
                <w:szCs w:val="18"/>
              </w:rPr>
              <w:t>1,049.6</w:t>
            </w:r>
          </w:p>
        </w:tc>
      </w:tr>
    </w:tbl>
    <w:p>
      <w:pPr>
        <w:pStyle w:val="BodyText"/>
        <w:bidi w:val="0"/>
        <w:spacing w:lineRule="auto" w:line="276" w:before="160" w:after="14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The base configuration's file built before the rule was added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in question recorded is hidden, and nothing here says which is right. In the final file the flight-plan window of </w:t>
      </w:r>
      <w:hyperlink w:anchor="sec_8_7_6" w:history="1">
        <w:r>
          <w:rPr>
            <w:rStyle w:val="InternalRef"/>
          </w:rPr>
          <w:t xml:space="preserve">§8.7.6</w:t>
        </w:r>
      </w:hyperlink>
      <w:r>
        <w:rPr/>
        <w:t xml:space="preserve">, applied after the rule, lifts this row's prediction to the plan's lag less 3,618 s (</w:t>
      </w:r>
      <w:hyperlink w:anchor="sec_4" w:history="1">
        <w:r>
          <w:rPr>
            <w:rStyle w:val="InternalRef"/>
          </w:rPr>
          <w:t xml:space="preserve">§4</w:t>
        </w:r>
      </w:hyperlink>
      <w:r>
        <w:rPr/>
        <w:t xml:space="preserve">).</w:t>
      </w:r>
    </w:p>
    <w:p>
      <w:pPr>
        <w:pStyle w:val="BodyText"/>
        <w:bidi w:val="0"/>
        <w:spacing w:lineRule="auto" w:line="276" w:before="0" w:after="14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9972" w:type="dxa"/>
        <w:jc w:val="left"/>
        <w:tblInd w:w="58" w:type="dxa"/>
        <w:tblLayout w:type="fixed"/>
        <w:tblCellMar>
          <w:top w:w="36" w:type="dxa"/>
          <w:left w:w="58" w:type="dxa"/>
          <w:bottom w:w="36" w:type="dxa"/>
          <w:right w:w="58" w:type="dxa"/>
        </w:tblCellMar>
      </w:tblPr>
      <w:tblGrid>
        <w:gridCol w:w="1314"/>
        <w:gridCol w:w="889"/>
        <w:gridCol w:w="2249"/>
        <w:gridCol w:w="1144"/>
        <w:gridCol w:w="4376"/>
      </w:tblGrid>
      <w:tr>
        <w:trPr>
          <w:tblHeader w:val="true"/>
          <w:cantSplit/>
        </w:trPr>
        <w:tc>
          <w:tcPr>
            <w:tcW w:w="1314"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leg</w:t>
            </w:r>
          </w:p>
        </w:tc>
        <w:tc>
          <w:tcPr>
            <w:tcW w:w="889"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rows</w:t>
            </w:r>
          </w:p>
        </w:tc>
        <w:tc>
          <w:tcPr>
            <w:tcW w:w="2249"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fitted n / long / share</w:t>
            </w:r>
          </w:p>
        </w:tc>
        <w:tc>
          <w:tcPr>
            <w:tcW w:w="1144" w:type="dxa"/>
            <w:tcBorders>
              <w:top w:val="single" w:sz="6" w:space="0" w:color="000000"/>
              <w:bottom w:val="single" w:sz="6" w:space="0" w:color="000000"/>
            </w:tcBorders>
            <w:shd w:fill="EEEEEE" w:val="clear"/>
          </w:tcPr>
          <w:p>
            <w:pPr>
              <w:pStyle w:val="TableHeading"/>
              <w:bidi w:val="0"/>
              <w:spacing w:lineRule="auto" w:line="240" w:before="0" w:after="0"/>
              <w:jc w:val="right"/>
              <w:rPr>
                <w:b/>
                <w:sz w:val="17"/>
                <w:szCs w:val="17"/>
              </w:rPr>
            </w:pPr>
            <w:r>
              <w:rPr>
                <w:b/>
                <w:sz w:val="17"/>
                <w:szCs w:val="17"/>
              </w:rPr>
              <w:t>class rows</w:t>
            </w:r>
          </w:p>
        </w:tc>
        <w:tc>
          <w:tcPr>
            <w:tcW w:w="4376" w:type="dxa"/>
            <w:tcBorders>
              <w:top w:val="single" w:sz="6" w:space="0" w:color="000000"/>
              <w:bottom w:val="single" w:sz="6" w:space="0" w:color="000000"/>
            </w:tcBorders>
            <w:shd w:fill="EEEEEE" w:val="clear"/>
          </w:tcPr>
          <w:p>
            <w:pPr>
              <w:pStyle w:val="TableHeading"/>
              <w:bidi w:val="0"/>
              <w:spacing w:lineRule="auto" w:line="240" w:before="0" w:after="0"/>
              <w:jc w:val="left"/>
              <w:rPr>
                <w:b/>
                <w:sz w:val="17"/>
                <w:szCs w:val="17"/>
              </w:rPr>
            </w:pPr>
            <w:r>
              <w:rPr>
                <w:b/>
                <w:sz w:val="17"/>
                <w:szCs w:val="17"/>
              </w:rPr>
              <w:t>the class's rows (s)</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forward Dec</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165,677</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forward Jul</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190,713</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2 / 1 / 0.500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1</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LIRF: recorded 87,002, rule 44,062, stored 5,214</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Jan</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153,706</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Feb</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143,732</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2 / 2 / 0.750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1</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LIRF: recorded 13,865, rule 12,710, stored 5,646</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Mar</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164,449</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2 / 1 / 0.500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1</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LFPG: recorded 21,308, rule 11,048, stored 5,038</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Apr</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175,288</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May</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185,202</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Jun</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183,142</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Jul</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190,713</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2 / 1 / 0.500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1</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LIRF: recorded 87,002, rule 44,065, stored 6,743</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Aug</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191,182</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Sep</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183,950</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Oct</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185,674</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2" w:space="0" w:color="BBBBBB"/>
            </w:tcBorders>
          </w:tcPr>
          <w:p>
            <w:pPr>
              <w:pStyle w:val="TableContents"/>
              <w:bidi w:val="0"/>
              <w:spacing w:lineRule="auto" w:line="240" w:before="0" w:after="0"/>
              <w:jc w:val="left"/>
              <w:rPr>
                <w:sz w:val="17"/>
                <w:szCs w:val="17"/>
              </w:rPr>
            </w:pPr>
            <w:r>
              <w:rPr>
                <w:sz w:val="17"/>
                <w:szCs w:val="17"/>
              </w:rPr>
              <w:t>held out Nov</w:t>
            </w:r>
          </w:p>
        </w:tc>
        <w:tc>
          <w:tcPr>
            <w:tcW w:w="889" w:type="dxa"/>
            <w:tcBorders>
              <w:bottom w:val="single" w:sz="2" w:space="0" w:color="BBBBBB"/>
            </w:tcBorders>
          </w:tcPr>
          <w:p>
            <w:pPr>
              <w:pStyle w:val="TableContents"/>
              <w:bidi w:val="0"/>
              <w:spacing w:lineRule="auto" w:line="240" w:before="0" w:after="0"/>
              <w:jc w:val="right"/>
              <w:rPr>
                <w:sz w:val="17"/>
                <w:szCs w:val="17"/>
              </w:rPr>
            </w:pPr>
            <w:r>
              <w:rPr>
                <w:sz w:val="17"/>
                <w:szCs w:val="17"/>
              </w:rPr>
              <w:t>162,332</w:t>
            </w:r>
          </w:p>
        </w:tc>
        <w:tc>
          <w:tcPr>
            <w:tcW w:w="2249" w:type="dxa"/>
            <w:tcBorders>
              <w:bottom w:val="single" w:sz="2" w:space="0" w:color="BBBBBB"/>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2" w:space="0" w:color="BBBBBB"/>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2" w:space="0" w:color="BBBBBB"/>
            </w:tcBorders>
          </w:tcPr>
          <w:p>
            <w:pPr>
              <w:pStyle w:val="TableContents"/>
              <w:bidi w:val="0"/>
              <w:spacing w:lineRule="auto" w:line="240" w:before="0" w:after="0"/>
              <w:jc w:val="left"/>
              <w:rPr>
                <w:sz w:val="17"/>
                <w:szCs w:val="17"/>
              </w:rPr>
            </w:pPr>
            <w:r>
              <w:rPr>
                <w:sz w:val="17"/>
                <w:szCs w:val="17"/>
              </w:rPr>
              <w:t>none</w:t>
            </w:r>
          </w:p>
        </w:tc>
      </w:tr>
      <w:tr>
        <w:trPr>
          <w:cantSplit/>
        </w:trPr>
        <w:tc>
          <w:tcPr>
            <w:tcW w:w="1314" w:type="dxa"/>
            <w:tcBorders>
              <w:bottom w:val="single" w:sz="6" w:space="0" w:color="000000"/>
            </w:tcBorders>
          </w:tcPr>
          <w:p>
            <w:pPr>
              <w:pStyle w:val="TableContents"/>
              <w:bidi w:val="0"/>
              <w:spacing w:lineRule="auto" w:line="240" w:before="0" w:after="0"/>
              <w:jc w:val="left"/>
              <w:rPr>
                <w:sz w:val="17"/>
                <w:szCs w:val="17"/>
              </w:rPr>
            </w:pPr>
            <w:r>
              <w:rPr>
                <w:sz w:val="17"/>
                <w:szCs w:val="17"/>
              </w:rPr>
              <w:t>held out Dec</w:t>
            </w:r>
          </w:p>
        </w:tc>
        <w:tc>
          <w:tcPr>
            <w:tcW w:w="889" w:type="dxa"/>
            <w:tcBorders>
              <w:bottom w:val="single" w:sz="6" w:space="0" w:color="000000"/>
            </w:tcBorders>
          </w:tcPr>
          <w:p>
            <w:pPr>
              <w:pStyle w:val="TableContents"/>
              <w:bidi w:val="0"/>
              <w:spacing w:lineRule="auto" w:line="240" w:before="0" w:after="0"/>
              <w:jc w:val="right"/>
              <w:rPr>
                <w:sz w:val="17"/>
                <w:szCs w:val="17"/>
              </w:rPr>
            </w:pPr>
            <w:r>
              <w:rPr>
                <w:sz w:val="17"/>
                <w:szCs w:val="17"/>
              </w:rPr>
              <w:t>165,677</w:t>
            </w:r>
          </w:p>
        </w:tc>
        <w:tc>
          <w:tcPr>
            <w:tcW w:w="2249" w:type="dxa"/>
            <w:tcBorders>
              <w:bottom w:val="single" w:sz="6" w:space="0" w:color="000000"/>
            </w:tcBorders>
          </w:tcPr>
          <w:p>
            <w:pPr>
              <w:pStyle w:val="TableContents"/>
              <w:bidi w:val="0"/>
              <w:spacing w:lineRule="auto" w:line="240" w:before="0" w:after="0"/>
              <w:jc w:val="left"/>
              <w:rPr>
                <w:sz w:val="17"/>
                <w:szCs w:val="17"/>
              </w:rPr>
            </w:pPr>
            <w:r>
              <w:rPr>
                <w:sz w:val="17"/>
                <w:szCs w:val="17"/>
              </w:rPr>
              <w:t>3 / 2 / 0.600</w:t>
            </w:r>
          </w:p>
        </w:tc>
        <w:tc>
          <w:tcPr>
            <w:tcW w:w="1144" w:type="dxa"/>
            <w:tcBorders>
              <w:bottom w:val="single" w:sz="6" w:space="0" w:color="000000"/>
            </w:tcBorders>
          </w:tcPr>
          <w:p>
            <w:pPr>
              <w:pStyle w:val="TableContents"/>
              <w:bidi w:val="0"/>
              <w:spacing w:lineRule="auto" w:line="240" w:before="0" w:after="0"/>
              <w:jc w:val="right"/>
              <w:rPr>
                <w:sz w:val="17"/>
                <w:szCs w:val="17"/>
              </w:rPr>
            </w:pPr>
            <w:r>
              <w:rPr>
                <w:sz w:val="17"/>
                <w:szCs w:val="17"/>
              </w:rPr>
              <w:t>0</w:t>
            </w:r>
          </w:p>
        </w:tc>
        <w:tc>
          <w:tcPr>
            <w:tcW w:w="4376" w:type="dxa"/>
            <w:tcBorders>
              <w:bottom w:val="single" w:sz="6" w:space="0" w:color="000000"/>
            </w:tcBorders>
          </w:tcPr>
          <w:p>
            <w:pPr>
              <w:pStyle w:val="TableContents"/>
              <w:bidi w:val="0"/>
              <w:spacing w:lineRule="auto" w:line="240" w:before="0" w:after="0"/>
              <w:jc w:val="left"/>
              <w:rPr>
                <w:sz w:val="17"/>
                <w:szCs w:val="17"/>
              </w:rPr>
            </w:pPr>
            <w:r>
              <w:rPr>
                <w:sz w:val="17"/>
                <w:szCs w:val="17"/>
              </w:rPr>
              <w:t>none</w:t>
            </w:r>
          </w:p>
        </w:tc>
      </w:tr>
    </w:tbl>
    <w:p>
      <w:pPr>
        <w:spacing w:before="0" w:after="0" w:line="160" w:lineRule="exact"/>
      </w:pPr>
    </w:p>
    <w:tbl>
      <w:tblPr>
        <w:tblW w:w="9972" w:type="dxa"/>
        <w:jc w:val="left"/>
        <w:tblInd w:w="58" w:type="dxa"/>
        <w:tblLayout w:type="fixed"/>
        <w:tblCellMar>
          <w:top w:w="36" w:type="dxa"/>
          <w:left w:w="58" w:type="dxa"/>
          <w:bottom w:w="36" w:type="dxa"/>
          <w:right w:w="58" w:type="dxa"/>
        </w:tblCellMar>
      </w:tblPr>
      <w:tblGrid>
        <w:gridCol w:w="810"/>
        <w:gridCol w:w="1527"/>
        <w:gridCol w:w="1527"/>
        <w:gridCol w:w="1527"/>
        <w:gridCol w:w="1527"/>
        <w:gridCol w:w="1527"/>
        <w:gridCol w:w="1527"/>
      </w:tblGrid>
      <w:tr>
        <w:trPr>
          <w:tblHeader w:val="true"/>
          <w:cantSplit/>
        </w:trPr>
        <w:tc>
          <w:tcPr>
            <w:tcW w:w="810"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leg</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with the term</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with the term and the rule</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change in squared error</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booster only</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booster only and the rule</w:t>
            </w:r>
          </w:p>
        </w:tc>
        <w:tc>
          <w:tcPr>
            <w:tcW w:w="152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change in squared error</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forward Dec</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234.0 [230.0]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234.0 [230.0]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364.8 [240.3]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364.8 [240.3]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forward Jul</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368.2 [300.3]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331.9 [300.3]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-4,845.4 [+0.0; 37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620.5 [293.0]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599.7 [293.0]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-4,845.4 [+0.0; 37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Jan</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356.8 [239.9]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356.8 [239.9]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8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465.7 [241.1]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465.7 [241.1]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8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Feb</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282.2 [274.0]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281.4 [273.1]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-66.2 [-66.2; 7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463.1 [282.6]</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462.6 [281.8]</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-66.2 [-66.2; 7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Mar</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216.8 [210.0]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214.6 [210.0]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-159.4 [+0.0; 5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317.4 [221.6]</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315.9 [221.6]</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-159.4 [+0.0; 5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Apr</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206.2 [203.3]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206.2 [203.3]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288.7 [209.5]</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288.7 [209.5]</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May</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302.7 [214.2]</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302.7 [214.2]</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8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321.6 [222.4]</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321.6 [222.4]</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8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Jun</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318.9 [248.9]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318.9 [248.9]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10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424.3 [253.1]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424.3 [253.1]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10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Jul</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356.2 [290.1]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320.6 [290.1]</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-4,598.0 [+0.0; 37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616.3 [284.9]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596.5 [284.9]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-4,598.0 [+0.0; 37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Aug</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274.1 [251.7]</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274.1 [251.7]</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15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395.8 [253.8]</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395.8 [253.8]</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15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Sep</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251.7 [240.0]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251.7 [240.0]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12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431.3 [241.3]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431.3 [241.3]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12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Oct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229.5 [229.0]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229.5 [229.0]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4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251.1 [234.6]</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251.1 [234.6]</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4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Nov</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230.9 [219.9]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230.9 [219.9]</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4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391.3 [225.8]</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391.3 [225.8]</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4 out]</w:t>
            </w:r>
          </w:p>
        </w:tc>
      </w:tr>
      <w:tr>
        <w:trPr>
          <w:cantSplit/>
        </w:trPr>
        <w:tc>
          <w:tcPr>
            <w:tcW w:w="810" w:type="dxa"/>
            <w:tcBorders>
              <w:bottom w:val="single" w:sz="2" w:space="0" w:color="BBBBBB"/>
            </w:tcBorders>
          </w:tcPr>
          <w:p>
            <w:pPr>
              <w:pStyle w:val="TableContents"/>
              <w:bidi w:val="0"/>
              <w:spacing w:lineRule="auto" w:line="240" w:before="0" w:after="0"/>
              <w:jc w:val="left"/>
              <w:rPr>
                <w:sz w:val="16"/>
                <w:szCs w:val="16"/>
              </w:rPr>
            </w:pPr>
            <w:r>
              <w:rPr>
                <w:sz w:val="16"/>
                <w:szCs w:val="16"/>
              </w:rPr>
              <w:t>held out Dec</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234.0 [230.0]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234.0 [230.0]</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364.8 [240.3]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364.8 [240.3]</w:t>
            </w:r>
          </w:p>
        </w:tc>
        <w:tc>
          <w:tcPr>
            <w:tcW w:w="1527" w:type="dxa"/>
            <w:tcBorders>
              <w:bottom w:val="single" w:sz="2" w:space="0" w:color="BBBBBB"/>
            </w:tcBorders>
          </w:tcPr>
          <w:p>
            <w:pPr>
              <w:pStyle w:val="TableContents"/>
              <w:bidi w:val="0"/>
              <w:spacing w:lineRule="auto" w:line="240" w:before="0" w:after="0"/>
              <w:jc w:val="right"/>
              <w:rPr>
                <w:sz w:val="16"/>
                <w:szCs w:val="16"/>
              </w:rPr>
            </w:pPr>
            <w:r>
              <w:rPr>
                <w:sz w:val="16"/>
                <w:szCs w:val="16"/>
              </w:rPr>
              <w:t>+0.0 [+0.0; 6 out]</w:t>
            </w:r>
          </w:p>
        </w:tc>
      </w:tr>
      <w:tr>
        <w:trPr>
          <w:cantSplit/>
        </w:trPr>
        <w:tc>
          <w:tcPr>
            <w:tcW w:w="810" w:type="dxa"/>
            <w:tcBorders>
              <w:bottom w:val="single" w:sz="6" w:space="0" w:color="000000"/>
            </w:tcBorders>
          </w:tcPr>
          <w:p>
            <w:pPr>
              <w:pStyle w:val="TableContents"/>
              <w:bidi w:val="0"/>
              <w:spacing w:lineRule="auto" w:line="240" w:before="0" w:after="0"/>
              <w:jc w:val="left"/>
              <w:rPr>
                <w:sz w:val="16"/>
                <w:szCs w:val="16"/>
              </w:rPr>
            </w:pPr>
            <w:r>
              <w:rPr>
                <w:rStyle w:val="Strong"/>
                <w:sz w:val="16"/>
                <w:szCs w:val="16"/>
              </w:rPr>
              <w:t>the year, twelve held-out months pooled</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276.6 [239.0]</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272.4 [238.9]</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-4,823.6 [-66.2; 122 out]</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405.4 [243.5]</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402.6 [243.5]</w:t>
            </w:r>
          </w:p>
        </w:tc>
        <w:tc>
          <w:tcPr>
            <w:tcW w:w="1527" w:type="dxa"/>
            <w:tcBorders>
              <w:bottom w:val="single" w:sz="6" w:space="0" w:color="000000"/>
            </w:tcBorders>
          </w:tcPr>
          <w:p>
            <w:pPr>
              <w:pStyle w:val="TableContents"/>
              <w:bidi w:val="0"/>
              <w:spacing w:lineRule="auto" w:line="240" w:before="0" w:after="0"/>
              <w:jc w:val="right"/>
              <w:rPr>
                <w:sz w:val="16"/>
                <w:szCs w:val="16"/>
              </w:rPr>
            </w:pPr>
            <w:r>
              <w:rPr>
                <w:sz w:val="16"/>
                <w:szCs w:val="16"/>
              </w:rPr>
              <w:t>-4,823.6 [-66.2; 122 out]</w:t>
            </w:r>
          </w:p>
        </w:tc>
      </w:tr>
    </w:tbl>
    <w:p>
      <w:pPr>
        <w:pStyle w:val="BodyText"/>
        <w:bidi w:val="0"/>
        <w:spacing w:lineRule="auto" w:line="276" w:before="160" w:after="14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SourceNote"/>
        <w:bidi w:val="0"/>
        <w:spacing w:lineRule="auto" w:line="252" w:before="0" w:after="200"/>
        <w:jc w:val="left"/>
        <w:rPr/>
      </w:pPr>
      <w:r>
        <w:rPr/>
        <w:t xml:space="preserve">Sources: </w:t>
      </w:r>
      <w:r>
        <w:rPr>
          <w:rStyle w:val="SourceText"/>
          <w:sz w:val="18"/>
          <w:szCs w:val="18"/>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 xml:space="preserve">; </w:t>
      </w:r>
      <w:r>
        <w:rPr>
          <w:rStyle w:val="SourceText"/>
          <w:sz w:val="18"/>
          <w:szCs w:val="18"/>
        </w:rPr>
        <w:t>reports/window.md</w:t>
      </w:r>
      <w:r>
        <w:rPr/>
        <w:t xml:space="preserve">, </w:t>
      </w:r>
      <w:r>
        <w:rPr>
          <w:rStyle w:val="Emphasis"/>
        </w:rPr>
        <w:t>The verdict</w:t>
      </w:r>
      <w:r>
        <w:rPr/>
        <w:t>.</w:t>
      </w:r>
    </w:p>
    <w:p>
      <w:pPr>
        <w:pStyle w:val="Heading2"/>
        <w:numPr>
          <w:ilvl w:val="0"/>
          <w:numId w:val="0"/>
        </w:numPr>
        <w:bidi w:val="0"/>
        <w:spacing w:before="200" w:after="120"/>
        <w:jc w:val="left"/>
        <w:rPr/>
      </w:pPr>
      <w:bookmarkStart w:id="243" w:name="annex_J"/>
      <w:bookmarkStart w:id="242" w:name="_Toc000072"/>
      <w:r>
        <w:rPr/>
        <w:t>Annex J: the three candidates measured on the base configuration</w:t>
      </w:r>
      <w:bookmarkEnd w:id="242"/>
      <w:bookmarkEnd w:id="243"/>
    </w:p>
    <w:p>
      <w:pPr>
        <w:pStyle w:val="BodyText"/>
        <w:bidi w:val="0"/>
        <w:spacing w:lineRule="auto" w:line="276" w:before="0" w:after="140"/>
        <w:jc w:val="left"/>
        <w:rPr/>
      </w:pPr>
      <w:r>
        <w:rPr/>
        <w:t>Three candidates, each measured once before the freeze and left on the table, were fitted on top of the base configuration and read under a rule fixed in writing before any of their figures existed. The first pre-registration named the candidates, the legs, the reference and four conditions. The second kept all of those, read every figure over the rows that neither the term nor the plan-shift rule covers, added a fifth condition on the twelve held-out months, and changed what adoption would mean: a candidate would be added to the existing model rather than trigger a full refit of the final configuration. Both are published in the repository as dated records. The candidates: the runway-saturation block appended to the base configuration's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spacing w:lineRule="auto" w:line="276" w:before="0" w:after="14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9972" w:type="dxa"/>
        <w:jc w:val="left"/>
        <w:tblInd w:w="58" w:type="dxa"/>
        <w:tblLayout w:type="fixed"/>
        <w:tblCellMar>
          <w:top w:w="36" w:type="dxa"/>
          <w:left w:w="58" w:type="dxa"/>
          <w:bottom w:w="36" w:type="dxa"/>
          <w:right w:w="58" w:type="dxa"/>
        </w:tblCellMar>
      </w:tblPr>
      <w:tblGrid>
        <w:gridCol w:w="2270"/>
        <w:gridCol w:w="1291"/>
        <w:gridCol w:w="1017"/>
        <w:gridCol w:w="1017"/>
        <w:gridCol w:w="937"/>
        <w:gridCol w:w="1028"/>
        <w:gridCol w:w="1371"/>
        <w:gridCol w:w="1041"/>
      </w:tblGrid>
      <w:tr>
        <w:trPr>
          <w:tblHeader w:val="true"/>
          <w:cantSplit/>
        </w:trPr>
        <w:tc>
          <w:tcPr>
            <w:tcW w:w="2270"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candidate</w:t>
            </w:r>
          </w:p>
        </w:tc>
        <w:tc>
          <w:tcPr>
            <w:tcW w:w="129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read on</w:t>
            </w:r>
          </w:p>
        </w:tc>
        <w:tc>
          <w:tcPr>
            <w:tcW w:w="101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reference (s)</w:t>
            </w:r>
          </w:p>
        </w:tc>
        <w:tc>
          <w:tcPr>
            <w:tcW w:w="101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candidate (s)</w:t>
            </w:r>
          </w:p>
        </w:tc>
        <w:tc>
          <w:tcPr>
            <w:tcW w:w="937" w:type="dxa"/>
            <w:tcBorders>
              <w:top w:val="single" w:sz="6" w:space="0" w:color="000000"/>
              <w:bottom w:val="single" w:sz="6" w:space="0" w:color="000000"/>
            </w:tcBorders>
            <w:shd w:fill="EEEEEE" w:val="clear"/>
          </w:tcPr>
          <w:p>
            <w:pPr>
              <w:pStyle w:val="TableHeading"/>
              <w:bidi w:val="0"/>
              <w:spacing w:lineRule="auto" w:line="240" w:before="0" w:after="0"/>
              <w:jc w:val="right"/>
              <w:rPr>
                <w:b/>
                <w:sz w:val="16"/>
                <w:szCs w:val="16"/>
              </w:rPr>
            </w:pPr>
            <w:r>
              <w:rPr>
                <w:b/>
                <w:sz w:val="16"/>
                <w:szCs w:val="16"/>
              </w:rPr>
              <w:t>contrast (s)</w:t>
            </w:r>
          </w:p>
        </w:tc>
        <w:tc>
          <w:tcPr>
            <w:tcW w:w="102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interval (s)</w:t>
            </w:r>
          </w:p>
        </w:tc>
        <w:tc>
          <w:tcPr>
            <w:tcW w:w="137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condition, floor (s)</w:t>
            </w:r>
          </w:p>
        </w:tc>
        <w:tc>
          <w:tcPr>
            <w:tcW w:w="104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verdict</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saturation on top of </w:t>
            </w:r>
            <w:r>
              <w:rPr>
                <w:rStyle w:val="SourceText"/>
                <w:sz w:val="16"/>
                <w:szCs w:val="16"/>
              </w:rPr>
              <w:t>+ plan differences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214.66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214.83</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+0.17</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[-0.32, +0.74]</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0.23</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saturation on top of </w:t>
            </w:r>
            <w:r>
              <w:rPr>
                <w:rStyle w:val="SourceText"/>
                <w:sz w:val="16"/>
                <w:szCs w:val="16"/>
              </w:rPr>
              <w:t>+ plan differences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203.46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203.16</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-0.30</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[-1.25, +0.69]</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beside the rule</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saturation on top of </w:t>
            </w:r>
            <w:r>
              <w:rPr>
                <w:rStyle w:val="SourceText"/>
                <w:sz w:val="16"/>
                <w:szCs w:val="16"/>
              </w:rPr>
              <w:t>+ plan differences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262.25</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262.25</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+0.00</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[-0.40, +0.41]</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0.54</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saturation on top of </w:t>
            </w:r>
            <w:r>
              <w:rPr>
                <w:rStyle w:val="SourceText"/>
                <w:sz w:val="16"/>
                <w:szCs w:val="16"/>
              </w:rPr>
              <w:t>+ plan differences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235.11</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235.05</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-0.06</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[-0.80, +0.72]</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not worse, 1.02</w:t>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holds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saturation on top of </w:t>
            </w:r>
            <w:r>
              <w:rPr>
                <w:rStyle w:val="SourceText"/>
                <w:sz w:val="16"/>
                <w:szCs w:val="16"/>
              </w:rPr>
              <w:t>+ plan differences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October,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214.44</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214.50</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+0.06</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[-0.34, +0.50]</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not worse, 0.21</w:t>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holds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214.66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214.71</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+0.05</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[-0.43, +0.54]</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0.23</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203.46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203.51</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+0.05</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[-0.80, +0.88]</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beside the rule</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262.25</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262.50</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+0.25</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[-0.21, +0.77]</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0.54</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235.11</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236.15</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+1.04</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[+0.06, +2.05]</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not worse, 1.02</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October,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214.44</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214.67</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+0.23</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[-0.18, +0.70]</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not worse, 0.21</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more trees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214.66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214.38</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-0.28</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[-0.39, -0.18]</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0.23</w:t>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holds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more trees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December,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203.46</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203.23</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-0.23</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[-0.40, -0.07]</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beside the rule</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more trees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all ten</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262.25</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262.34</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+0.09</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[+0.01, +0.17]</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better, 0.54</w:t>
            </w:r>
          </w:p>
        </w:tc>
        <w:tc>
          <w:tcPr>
            <w:tcW w:w="1041" w:type="dxa"/>
            <w:tcBorders>
              <w:bottom w:val="single" w:sz="2" w:space="0" w:color="BBBBBB"/>
            </w:tcBorders>
          </w:tcPr>
          <w:p>
            <w:pPr>
              <w:pStyle w:val="TableContents"/>
              <w:bidi w:val="0"/>
              <w:spacing w:lineRule="auto" w:line="240" w:before="0" w:after="0"/>
              <w:jc w:val="left"/>
              <w:rPr>
                <w:sz w:val="16"/>
                <w:szCs w:val="16"/>
              </w:rPr>
            </w:pPr>
            <w:r>
              <w:rPr>
                <w:rStyle w:val="Strong"/>
                <w:sz w:val="16"/>
                <w:szCs w:val="16"/>
              </w:rPr>
              <w:t>fails</w:t>
            </w:r>
          </w:p>
        </w:tc>
      </w:tr>
      <w:tr>
        <w:trPr>
          <w:cantSplit/>
        </w:trPr>
        <w:tc>
          <w:tcPr>
            <w:tcW w:w="2270" w:type="dxa"/>
            <w:tcBorders>
              <w:bottom w:val="single" w:sz="2" w:space="0" w:color="BBBBBB"/>
            </w:tcBorders>
          </w:tcPr>
          <w:p>
            <w:pPr>
              <w:pStyle w:val="TableContents"/>
              <w:bidi w:val="0"/>
              <w:spacing w:lineRule="auto" w:line="240" w:before="0" w:after="0"/>
              <w:jc w:val="left"/>
              <w:rPr>
                <w:sz w:val="16"/>
                <w:szCs w:val="16"/>
              </w:rPr>
            </w:pPr>
            <w:r>
              <w:rPr>
                <w:sz w:val="16"/>
                <w:szCs w:val="16"/>
              </w:rPr>
              <w:t>more trees</w:t>
            </w:r>
          </w:p>
        </w:tc>
        <w:tc>
          <w:tcPr>
            <w:tcW w:w="1291" w:type="dxa"/>
            <w:tcBorders>
              <w:bottom w:val="single" w:sz="2" w:space="0" w:color="BBBBBB"/>
            </w:tcBorders>
          </w:tcPr>
          <w:p>
            <w:pPr>
              <w:pStyle w:val="TableContents"/>
              <w:bidi w:val="0"/>
              <w:spacing w:lineRule="auto" w:line="240" w:before="0" w:after="0"/>
              <w:jc w:val="left"/>
              <w:rPr>
                <w:sz w:val="16"/>
                <w:szCs w:val="16"/>
              </w:rPr>
            </w:pPr>
            <w:r>
              <w:rPr>
                <w:sz w:val="16"/>
                <w:szCs w:val="16"/>
              </w:rPr>
              <w:t>July, the three</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235.11</w:t>
            </w:r>
          </w:p>
        </w:tc>
        <w:tc>
          <w:tcPr>
            <w:tcW w:w="1017" w:type="dxa"/>
            <w:tcBorders>
              <w:bottom w:val="single" w:sz="2" w:space="0" w:color="BBBBBB"/>
            </w:tcBorders>
          </w:tcPr>
          <w:p>
            <w:pPr>
              <w:pStyle w:val="TableContents"/>
              <w:bidi w:val="0"/>
              <w:spacing w:lineRule="auto" w:line="240" w:before="0" w:after="0"/>
              <w:jc w:val="right"/>
              <w:rPr>
                <w:sz w:val="16"/>
                <w:szCs w:val="16"/>
              </w:rPr>
            </w:pPr>
            <w:r>
              <w:rPr>
                <w:sz w:val="16"/>
                <w:szCs w:val="16"/>
              </w:rPr>
              <w:t>235.34</w:t>
            </w:r>
          </w:p>
        </w:tc>
        <w:tc>
          <w:tcPr>
            <w:tcW w:w="937" w:type="dxa"/>
            <w:tcBorders>
              <w:bottom w:val="single" w:sz="2" w:space="0" w:color="BBBBBB"/>
            </w:tcBorders>
          </w:tcPr>
          <w:p>
            <w:pPr>
              <w:pStyle w:val="TableContents"/>
              <w:bidi w:val="0"/>
              <w:spacing w:lineRule="auto" w:line="240" w:before="0" w:after="0"/>
              <w:jc w:val="right"/>
              <w:rPr>
                <w:sz w:val="16"/>
                <w:szCs w:val="16"/>
              </w:rPr>
            </w:pPr>
            <w:r>
              <w:rPr>
                <w:sz w:val="16"/>
                <w:szCs w:val="16"/>
              </w:rPr>
              <w:t>+0.23</w:t>
            </w:r>
          </w:p>
        </w:tc>
        <w:tc>
          <w:tcPr>
            <w:tcW w:w="1028" w:type="dxa"/>
            <w:tcBorders>
              <w:bottom w:val="single" w:sz="2" w:space="0" w:color="BBBBBB"/>
            </w:tcBorders>
          </w:tcPr>
          <w:p>
            <w:pPr>
              <w:pStyle w:val="TableContents"/>
              <w:bidi w:val="0"/>
              <w:spacing w:lineRule="auto" w:line="240" w:before="0" w:after="0"/>
              <w:jc w:val="left"/>
              <w:rPr>
                <w:sz w:val="16"/>
                <w:szCs w:val="16"/>
              </w:rPr>
            </w:pPr>
            <w:r>
              <w:rPr>
                <w:sz w:val="16"/>
                <w:szCs w:val="16"/>
              </w:rPr>
              <w:t>[+0.11, +0.36]</w:t>
            </w:r>
          </w:p>
        </w:tc>
        <w:tc>
          <w:tcPr>
            <w:tcW w:w="1371" w:type="dxa"/>
            <w:tcBorders>
              <w:bottom w:val="single" w:sz="2" w:space="0" w:color="BBBBBB"/>
            </w:tcBorders>
          </w:tcPr>
          <w:p>
            <w:pPr>
              <w:pStyle w:val="TableContents"/>
              <w:bidi w:val="0"/>
              <w:spacing w:lineRule="auto" w:line="240" w:before="0" w:after="0"/>
              <w:jc w:val="left"/>
              <w:rPr>
                <w:sz w:val="16"/>
                <w:szCs w:val="16"/>
              </w:rPr>
            </w:pPr>
            <w:r>
              <w:rPr>
                <w:sz w:val="16"/>
                <w:szCs w:val="16"/>
              </w:rPr>
              <w:t>not worse, 1.02</w:t>
            </w:r>
          </w:p>
        </w:tc>
        <w:tc>
          <w:tcPr>
            <w:tcW w:w="1041" w:type="dxa"/>
            <w:tcBorders>
              <w:bottom w:val="single" w:sz="2" w:space="0" w:color="BBBBBB"/>
            </w:tcBorders>
          </w:tcPr>
          <w:p>
            <w:pPr>
              <w:pStyle w:val="TableContents"/>
              <w:bidi w:val="0"/>
              <w:spacing w:lineRule="auto" w:line="240" w:before="0" w:after="0"/>
              <w:jc w:val="left"/>
              <w:rPr>
                <w:sz w:val="16"/>
                <w:szCs w:val="16"/>
              </w:rPr>
            </w:pPr>
            <w:r>
              <w:rPr>
                <w:sz w:val="16"/>
                <w:szCs w:val="16"/>
              </w:rPr>
              <w:t>holds</w:t>
            </w:r>
          </w:p>
        </w:tc>
      </w:tr>
      <w:tr>
        <w:trPr>
          <w:cantSplit/>
        </w:trPr>
        <w:tc>
          <w:tcPr>
            <w:tcW w:w="2270" w:type="dxa"/>
            <w:tcBorders>
              <w:bottom w:val="single" w:sz="6" w:space="0" w:color="000000"/>
            </w:tcBorders>
          </w:tcPr>
          <w:p>
            <w:pPr>
              <w:pStyle w:val="TableContents"/>
              <w:bidi w:val="0"/>
              <w:spacing w:lineRule="auto" w:line="240" w:before="0" w:after="0"/>
              <w:jc w:val="left"/>
              <w:rPr>
                <w:sz w:val="16"/>
                <w:szCs w:val="16"/>
              </w:rPr>
            </w:pPr>
            <w:r>
              <w:rPr>
                <w:sz w:val="16"/>
                <w:szCs w:val="16"/>
              </w:rPr>
              <w:t>more trees</w:t>
            </w:r>
          </w:p>
        </w:tc>
        <w:tc>
          <w:tcPr>
            <w:tcW w:w="1291" w:type="dxa"/>
            <w:tcBorders>
              <w:bottom w:val="single" w:sz="6" w:space="0" w:color="000000"/>
            </w:tcBorders>
          </w:tcPr>
          <w:p>
            <w:pPr>
              <w:pStyle w:val="TableContents"/>
              <w:bidi w:val="0"/>
              <w:spacing w:lineRule="auto" w:line="240" w:before="0" w:after="0"/>
              <w:jc w:val="left"/>
              <w:rPr>
                <w:sz w:val="16"/>
                <w:szCs w:val="16"/>
              </w:rPr>
            </w:pPr>
            <w:r>
              <w:rPr>
                <w:sz w:val="16"/>
                <w:szCs w:val="16"/>
              </w:rPr>
              <w:t>October, all ten</w:t>
            </w:r>
          </w:p>
        </w:tc>
        <w:tc>
          <w:tcPr>
            <w:tcW w:w="1017" w:type="dxa"/>
            <w:tcBorders>
              <w:bottom w:val="single" w:sz="6" w:space="0" w:color="000000"/>
            </w:tcBorders>
          </w:tcPr>
          <w:p>
            <w:pPr>
              <w:pStyle w:val="TableContents"/>
              <w:bidi w:val="0"/>
              <w:spacing w:lineRule="auto" w:line="240" w:before="0" w:after="0"/>
              <w:jc w:val="right"/>
              <w:rPr>
                <w:sz w:val="16"/>
                <w:szCs w:val="16"/>
              </w:rPr>
            </w:pPr>
            <w:r>
              <w:rPr>
                <w:sz w:val="16"/>
                <w:szCs w:val="16"/>
              </w:rPr>
              <w:t>214.44</w:t>
            </w:r>
          </w:p>
        </w:tc>
        <w:tc>
          <w:tcPr>
            <w:tcW w:w="1017" w:type="dxa"/>
            <w:tcBorders>
              <w:bottom w:val="single" w:sz="6" w:space="0" w:color="000000"/>
            </w:tcBorders>
          </w:tcPr>
          <w:p>
            <w:pPr>
              <w:pStyle w:val="TableContents"/>
              <w:bidi w:val="0"/>
              <w:spacing w:lineRule="auto" w:line="240" w:before="0" w:after="0"/>
              <w:jc w:val="right"/>
              <w:rPr>
                <w:sz w:val="16"/>
                <w:szCs w:val="16"/>
              </w:rPr>
            </w:pPr>
            <w:r>
              <w:rPr>
                <w:sz w:val="16"/>
                <w:szCs w:val="16"/>
              </w:rPr>
              <w:t>214.42</w:t>
            </w:r>
          </w:p>
        </w:tc>
        <w:tc>
          <w:tcPr>
            <w:tcW w:w="937" w:type="dxa"/>
            <w:tcBorders>
              <w:bottom w:val="single" w:sz="6" w:space="0" w:color="000000"/>
            </w:tcBorders>
          </w:tcPr>
          <w:p>
            <w:pPr>
              <w:pStyle w:val="TableContents"/>
              <w:bidi w:val="0"/>
              <w:spacing w:lineRule="auto" w:line="240" w:before="0" w:after="0"/>
              <w:jc w:val="right"/>
              <w:rPr>
                <w:sz w:val="16"/>
                <w:szCs w:val="16"/>
              </w:rPr>
            </w:pPr>
            <w:r>
              <w:rPr>
                <w:sz w:val="16"/>
                <w:szCs w:val="16"/>
              </w:rPr>
              <w:t>-0.02</w:t>
            </w:r>
          </w:p>
        </w:tc>
        <w:tc>
          <w:tcPr>
            <w:tcW w:w="1028" w:type="dxa"/>
            <w:tcBorders>
              <w:bottom w:val="single" w:sz="6" w:space="0" w:color="000000"/>
            </w:tcBorders>
          </w:tcPr>
          <w:p>
            <w:pPr>
              <w:pStyle w:val="TableContents"/>
              <w:bidi w:val="0"/>
              <w:spacing w:lineRule="auto" w:line="240" w:before="0" w:after="0"/>
              <w:jc w:val="left"/>
              <w:rPr>
                <w:sz w:val="16"/>
                <w:szCs w:val="16"/>
              </w:rPr>
            </w:pPr>
            <w:r>
              <w:rPr>
                <w:sz w:val="16"/>
                <w:szCs w:val="16"/>
              </w:rPr>
              <w:t>[-0.10, +0.05]</w:t>
            </w:r>
          </w:p>
        </w:tc>
        <w:tc>
          <w:tcPr>
            <w:tcW w:w="1371" w:type="dxa"/>
            <w:tcBorders>
              <w:bottom w:val="single" w:sz="6" w:space="0" w:color="000000"/>
            </w:tcBorders>
          </w:tcPr>
          <w:p>
            <w:pPr>
              <w:pStyle w:val="TableContents"/>
              <w:bidi w:val="0"/>
              <w:spacing w:lineRule="auto" w:line="240" w:before="0" w:after="0"/>
              <w:jc w:val="left"/>
              <w:rPr>
                <w:sz w:val="16"/>
                <w:szCs w:val="16"/>
              </w:rPr>
            </w:pPr>
            <w:r>
              <w:rPr>
                <w:sz w:val="16"/>
                <w:szCs w:val="16"/>
              </w:rPr>
              <w:t>not worse, 0.21</w:t>
            </w:r>
          </w:p>
        </w:tc>
        <w:tc>
          <w:tcPr>
            <w:tcW w:w="1041" w:type="dxa"/>
            <w:tcBorders>
              <w:bottom w:val="single" w:sz="6" w:space="0" w:color="000000"/>
            </w:tcBorders>
          </w:tcPr>
          <w:p>
            <w:pPr>
              <w:pStyle w:val="TableContents"/>
              <w:bidi w:val="0"/>
              <w:spacing w:lineRule="auto" w:line="240" w:before="0" w:after="0"/>
              <w:jc w:val="left"/>
              <w:rPr>
                <w:sz w:val="16"/>
                <w:szCs w:val="16"/>
              </w:rPr>
            </w:pPr>
            <w:r>
              <w:rPr>
                <w:sz w:val="16"/>
                <w:szCs w:val="16"/>
              </w:rPr>
              <w:t>holds</w:t>
            </w:r>
          </w:p>
        </w:tc>
      </w:tr>
    </w:tbl>
    <w:p>
      <w:pPr>
        <w:pStyle w:val="BodyText"/>
        <w:bidi w:val="0"/>
        <w:spacing w:lineRule="auto" w:line="276" w:before="160" w:after="140"/>
        <w:jc w:val="left"/>
        <w:rPr/>
      </w:pPr>
      <w:r>
        <w:rPr>
          <w:rStyle w:val="Strong"/>
        </w:rPr>
        <w:t>The rule adopts nothing.</w:t>
      </w:r>
      <w:r>
        <w:rPr/>
        <w:t xml:space="preserve"> No candidate holds the four conditions, so the fifth was not reached, no second seed was fitted, and the submission was not rebuilt.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SourceNote"/>
        <w:bidi w:val="0"/>
        <w:spacing w:lineRule="auto" w:line="252" w:before="0" w:after="200"/>
        <w:jc w:val="left"/>
        <w:rPr/>
      </w:pPr>
      <w:r>
        <w:rPr/>
        <w:t xml:space="preserve">Sources: </w:t>
      </w:r>
      <w:r>
        <w:rPr>
          <w:rStyle w:val="SourceText"/>
          <w:sz w:val="18"/>
          <w:szCs w:val="18"/>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sz w:val="18"/>
          <w:szCs w:val="18"/>
        </w:rPr>
        <w:t>reports/preregistered-2026-09-28.md</w:t>
      </w:r>
      <w:r>
        <w:rPr/>
        <w:t xml:space="preserve"> and </w:t>
      </w:r>
      <w:r>
        <w:rPr>
          <w:rStyle w:val="SourceText"/>
          <w:sz w:val="18"/>
          <w:szCs w:val="18"/>
        </w:rPr>
        <w:t>reports/preregistered-2026-10-03.md</w:t>
      </w:r>
      <w:r>
        <w:rPr/>
        <w:t>, dated records.</w:t>
      </w:r>
    </w:p>
    <w:p>
      <w:pPr>
        <w:pStyle w:val="Heading2"/>
        <w:numPr>
          <w:ilvl w:val="0"/>
          <w:numId w:val="0"/>
        </w:numPr>
        <w:bidi w:val="0"/>
        <w:spacing w:before="200" w:after="120"/>
        <w:jc w:val="left"/>
        <w:rPr/>
      </w:pPr>
      <w:bookmarkStart w:id="245" w:name="annex_K"/>
      <w:bookmarkStart w:id="244" w:name="_Toc000073"/>
      <w:r>
        <w:rPr/>
        <w:t>Annex K: every candidate measured after the freeze</w:t>
      </w:r>
      <w:bookmarkEnd w:id="244"/>
      <w:bookmarkEnd w:id="245"/>
    </w:p>
    <w:p>
      <w:pPr>
        <w:pStyle w:val="BodyText"/>
        <w:bidi w:val="0"/>
        <w:spacing w:lineRule="auto" w:line="276" w:before="0" w:after="140"/>
        <w:jc w:val="left"/>
        <w:rPr/>
      </w:pPr>
      <w:r>
        <w:rPr/>
        <w:t>This annex lists every candidate measured after the base configuration was frozen, one row each, in the order in which its figures were seen, with the two decisions taken on figures rather than under a rule fixed before them: the restoration of both rules on a score, and the continuation of the adsb.lol source past its failed gate. Each row names the pre-registration that governs it and says whether its definition was fixed before any of its figures existed or chosen after figures it reacts to, which is the case for four candidates: the row weights corrected for the class ratio, the coverage gate, the airport gate and Fiumicino's schedule layer on late departures. The deciding figures are quoted from the report the row names; where a result stands only in a working record that the repository does not publish, the row states the verdict in words and gives no figure. Two candidates that were to be read only if another cleared were never measured, and are listed so that every candidate the pre-registrations name appears here.</w:t>
      </w:r>
    </w:p>
    <w:p>
      <w:pPr>
        <w:pStyle w:val="BodyText"/>
        <w:bidi w:val="0"/>
        <w:spacing w:lineRule="auto" w:line="276" w:before="0" w:after="140"/>
        <w:jc w:val="left"/>
        <w:rPr/>
      </w:pPr>
      <w:r>
        <w:rPr/>
        <w:t xml:space="preserve">Unless a row says otherwise, a candidate is read by the five conditions of </w:t>
      </w:r>
      <w:r>
        <w:rPr>
          <w:rStyle w:val="SourceText"/>
        </w:rPr>
        <w:t>reports/preregistered-2026-10-04.md</w:t>
      </w:r>
      <w:r>
        <w:rPr/>
        <w:t xml:space="preserve">, </w:t>
      </w:r>
      <w:hyperlink w:anchor="sec_4" w:history="1">
        <w:r>
          <w:rPr>
            <w:rStyle w:val="InternalRef"/>
          </w:rPr>
          <w:t xml:space="preserve">§4</w:t>
        </w:r>
      </w:hyperlink>
      <w:r>
        <w:rPr/>
        <w:t xml:space="preserve">, on the paired contrast against its reference at the same seed, its RMSE less the reference's in seconds, so that negative is better: better by more than 0.23 on December and by more than 0.54 on July over all ten airports, not worse by more than 1.02 on the three July airports (Frankfurt, Heathrow and Schiphol) or by more than 0.21 on October, and not worse by more than 0.16 over the twelve held-out months, with both signs kept at a second seed. The ground-movement correction and its gates are read by three conditions over the days with a source table: better pooled over the twelve months by more than 0.16, not worse in any month by more than that month's floor, and better on December by more than 0.23. The candidates for the record-quality rows are read by mean squared error on the term's rows, each month predicted from the other eleven. All dates are in 2026.</w:t>
      </w:r>
    </w:p>
    <w:tbl>
      <w:tblPr>
        <w:tblW w:w="9972" w:type="dxa"/>
        <w:jc w:val="left"/>
        <w:tblInd w:w="58" w:type="dxa"/>
        <w:tblLayout w:type="fixed"/>
        <w:tblCellMar>
          <w:top w:w="36" w:type="dxa"/>
          <w:left w:w="58" w:type="dxa"/>
          <w:bottom w:w="36" w:type="dxa"/>
          <w:right w:w="58" w:type="dxa"/>
        </w:tblCellMar>
      </w:tblPr>
      <w:tblGrid>
        <w:gridCol w:w="1774"/>
        <w:gridCol w:w="1841"/>
        <w:gridCol w:w="1908"/>
        <w:gridCol w:w="767"/>
        <w:gridCol w:w="1774"/>
        <w:gridCol w:w="1908"/>
      </w:tblGrid>
      <w:tr>
        <w:trPr>
          <w:tblHeader w:val="true"/>
          <w:cantSplit/>
        </w:trPr>
        <w:tc>
          <w:tcPr>
            <w:tcW w:w="1774"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what the paper calls it</w:t>
            </w:r>
          </w:p>
        </w:tc>
        <w:tc>
          <w:tcPr>
            <w:tcW w:w="1841"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governed by</w:t>
            </w:r>
          </w:p>
        </w:tc>
        <w:tc>
          <w:tcPr>
            <w:tcW w:w="190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fixed before its figures, or chosen after which</w:t>
            </w:r>
          </w:p>
        </w:tc>
        <w:tc>
          <w:tcPr>
            <w:tcW w:w="767"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date</w:t>
            </w:r>
          </w:p>
        </w:tc>
        <w:tc>
          <w:tcPr>
            <w:tcW w:w="1774"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verdict</w:t>
            </w:r>
          </w:p>
        </w:tc>
        <w:tc>
          <w:tcPr>
            <w:tcW w:w="1908" w:type="dxa"/>
            <w:tcBorders>
              <w:top w:val="single" w:sz="6" w:space="0" w:color="000000"/>
              <w:bottom w:val="single" w:sz="6" w:space="0" w:color="000000"/>
            </w:tcBorders>
            <w:shd w:fill="EEEEEE" w:val="clear"/>
          </w:tcPr>
          <w:p>
            <w:pPr>
              <w:pStyle w:val="TableHeading"/>
              <w:bidi w:val="0"/>
              <w:spacing w:lineRule="auto" w:line="240" w:before="0" w:after="0"/>
              <w:jc w:val="left"/>
              <w:rPr>
                <w:b/>
                <w:sz w:val="16"/>
                <w:szCs w:val="16"/>
              </w:rPr>
            </w:pPr>
            <w:r>
              <w:rPr>
                <w:b/>
                <w:sz w:val="16"/>
                <w:szCs w:val="16"/>
              </w:rPr>
              <w:t>the deciding figures, and where they are printed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rule for the plan-shifted departures</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reports/preregistered-2026-10-02.md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rule fixed before it was evaluated on any fold; the decision to have a rule taken after the class was seen in the ranking set (</w:t>
            </w:r>
            <w:hyperlink w:anchor="sec_4" w:history="1">
              <w:r>
                <w:rPr>
                  <w:rStyle w:val="InternalRef"/>
                  <w:sz w:val="16"/>
                  <w:szCs w:val="16"/>
                </w:rPr>
                <w:t xml:space="preserve">§4</w:t>
              </w:r>
            </w:hyperlink>
            <w:r>
              <w:rPr>
                <w:sz w:val="16"/>
                <w:szCs w:val="16"/>
              </w:rPr>
              <w:t xml:space="preserv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2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applied, with no adoption test (</w:t>
            </w:r>
            <w:hyperlink w:anchor="annex_I" w:history="1">
              <w:r>
                <w:rPr>
                  <w:rStyle w:val="InternalRef"/>
                  <w:sz w:val="16"/>
                  <w:szCs w:val="16"/>
                </w:rPr>
                <w:t xml:space="preserve">Annex I</w:t>
              </w:r>
            </w:hyperlink>
            <w:r>
              <w:rPr>
                <w:sz w:val="16"/>
                <w:szCs w:val="16"/>
              </w:rPr>
              <w:t xml:space="preserv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over the twelve held-out months it touches three rows, and the RMSE over every row moves from 276.6 to 272.4 s, arithmetic on those rows and not evidence; </w:t>
            </w:r>
            <w:r>
              <w:rPr>
                <w:rStyle w:val="SourceText"/>
                <w:sz w:val="16"/>
                <w:szCs w:val="16"/>
              </w:rPr>
              <w:t>reports/planshift.md</w:t>
            </w:r>
            <w:r>
              <w:rPr>
                <w:sz w:val="16"/>
                <w:szCs w:val="16"/>
              </w:rPr>
              <w:t xml:space="preserve">, </w:t>
            </w:r>
            <w:r>
              <w:rPr>
                <w:rStyle w:val="Emphasis"/>
                <w:sz w:val="16"/>
                <w:szCs w:val="16"/>
              </w:rPr>
              <w:t>Per held-out month and on the two forward legs</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runway-saturation block on top of the base configuration</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reports/preregistered-2026-09-28.md</w:t>
            </w:r>
            <w:r>
              <w:rPr>
                <w:sz w:val="16"/>
                <w:szCs w:val="16"/>
              </w:rPr>
              <w:t xml:space="preserve">; </w:t>
            </w:r>
            <w:r>
              <w:rPr>
                <w:rStyle w:val="SourceText"/>
                <w:sz w:val="16"/>
                <w:szCs w:val="16"/>
              </w:rPr>
              <w:t>reports/preregistered-2026-10-03.md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3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+0.17, July +0.00, each against a required gain; </w:t>
            </w:r>
            <w:r>
              <w:rPr>
                <w:rStyle w:val="SourceText"/>
                <w:sz w:val="16"/>
                <w:szCs w:val="16"/>
              </w:rPr>
              <w:t>reports/candidates-2026-10-03.md</w:t>
            </w:r>
            <w:r>
              <w:rPr>
                <w:sz w:val="16"/>
                <w:szCs w:val="16"/>
              </w:rPr>
              <w:t xml:space="preserve">, </w:t>
            </w:r>
            <w:r>
              <w:rPr>
                <w:rStyle w:val="Emphasis"/>
                <w:sz w:val="16"/>
                <w:szCs w:val="16"/>
              </w:rPr>
              <w:t>The four conditions of 28 September</w:t>
            </w:r>
            <w:r>
              <w:rPr>
                <w:sz w:val="16"/>
                <w:szCs w:val="16"/>
              </w:rPr>
              <w:t xml:space="preserve">; </w:t>
            </w:r>
            <w:hyperlink w:anchor="annex_J" w:history="1">
              <w:r>
                <w:rPr>
                  <w:rStyle w:val="InternalRef"/>
                  <w:sz w:val="16"/>
                  <w:szCs w:val="16"/>
                </w:rPr>
                <w:t xml:space="preserve">Annex J</w:t>
              </w:r>
            </w:hyperlink>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mild recency schedule</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3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fails all four, among them the three July airports at +1.04 against 1.02 allowed and October at +0.23 against 0.21; the same report and section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8,000 trees in place of 6,000</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3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December -0.28 holds, against a required gain of 0.23; July +0.09 fails, against a required gain of 0.54; the same report and section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upload with both rules switched off</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1" w:history="1">
              <w:r>
                <w:rPr>
                  <w:rStyle w:val="InternalRef"/>
                  <w:sz w:val="16"/>
                  <w:szCs w:val="16"/>
                </w:rPr>
                <w:t xml:space="preserve">§1</w:t>
              </w:r>
            </w:hyperlink>
            <w:r>
              <w:rPr>
                <w:sz w:val="16"/>
                <w:szCs w:val="16"/>
              </w:rPr>
              <w:t xml:space="preserve"> and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written after the base configuration's score existed, on an analysis computed before it; no rule read the score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uploaded once, then withdrawn on its score (next row)</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533.1066 s against the base configuration's 313.169 s over the same pairs; </w:t>
            </w:r>
            <w:r>
              <w:rPr>
                <w:rStyle w:val="SourceText"/>
                <w:sz w:val="16"/>
                <w:szCs w:val="16"/>
              </w:rPr>
              <w:t>reports/submission-2026-10-04-v8.md</w:t>
            </w:r>
            <w:r>
              <w:rPr>
                <w:sz w:val="16"/>
                <w:szCs w:val="16"/>
              </w:rPr>
              <w:t xml:space="preserve"> and </w:t>
            </w:r>
            <w:r>
              <w:rPr>
                <w:rStyle w:val="SourceText"/>
                <w:sz w:val="16"/>
                <w:szCs w:val="16"/>
              </w:rPr>
              <w:t>reports/submission-2026-10-04.md</w:t>
            </w:r>
            <w:r>
              <w:rPr>
                <w:sz w:val="16"/>
                <w:szCs w:val="16"/>
              </w:rPr>
              <w:t xml:space="preserve">, </w:t>
            </w:r>
            <w:r>
              <w:rPr>
                <w:rStyle w:val="Emphasis"/>
                <w:sz w:val="16"/>
                <w:szCs w:val="16"/>
              </w:rPr>
              <w:t>The file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both rules restored</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reports/preregistered-2026-10-04-tails.md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chosen after the score of the row above, and on it (</w:t>
            </w:r>
            <w:hyperlink w:anchor="sec_8_7_2" w:history="1">
              <w:r>
                <w:rPr>
                  <w:rStyle w:val="InternalRef"/>
                  <w:sz w:val="16"/>
                  <w:szCs w:val="16"/>
                </w:rPr>
                <w:t xml:space="preserve">§8.7.2</w:t>
              </w:r>
            </w:hyperlink>
            <w:r>
              <w:rPr>
                <w:sz w:val="16"/>
                <w:szCs w:val="16"/>
              </w:rPr>
              <w:t xml:space="preserv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 every later file applies both rules, with the classifier for the record-quality rows on the term's rows once it was 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two scores of the row above; </w:t>
            </w:r>
            <w:r>
              <w:rPr>
                <w:rStyle w:val="SourceText"/>
                <w:sz w:val="16"/>
                <w:szCs w:val="16"/>
              </w:rPr>
              <w:t>reports/preregistered-2026-10-04-tails.md</w:t>
            </w:r>
            <w:r>
              <w:rPr>
                <w:sz w:val="16"/>
                <w:szCs w:val="16"/>
              </w:rPr>
              <w:t xml:space="preserve">, </w:t>
            </w:r>
            <w:r>
              <w:rPr>
                <w:rStyle w:val="Emphasis"/>
                <w:sz w:val="16"/>
                <w:szCs w:val="16"/>
              </w:rPr>
              <w:t>Why §1 is withdrawn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adsb.lol pilot gate</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5" w:history="1">
              <w:r>
                <w:rPr>
                  <w:rStyle w:val="InternalRef"/>
                  <w:sz w:val="16"/>
                  <w:szCs w:val="16"/>
                </w:rPr>
                <w:t xml:space="preserve">§5</w:t>
              </w:r>
            </w:hyperlink>
            <w:r>
              <w:rPr>
                <w:sz w:val="16"/>
                <w:szCs w:val="16"/>
              </w:rPr>
              <w:t xml:space="preserve">, with </w:t>
            </w:r>
            <w:r>
              <w:rPr>
                <w:rStyle w:val="SourceText"/>
                <w:sz w:val="16"/>
                <w:szCs w:val="16"/>
              </w:rPr>
              <w:t>reports/preregistered-2026-10-04-adsb-leg.md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 under the gate the source stops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seven airports reach a covered share of 30% or more; over their 5,054 covered rows the best estimator, the first ground position, lies within 120 s of the recorded off-block time on 32.73% of rows, against the 50% required; </w:t>
            </w:r>
            <w:r>
              <w:rPr>
                <w:rStyle w:val="SourceText"/>
                <w:sz w:val="16"/>
                <w:szCs w:val="16"/>
              </w:rPr>
              <w:t>reports/preregistered-2026-10-04-adsb-after-gate.md</w:t>
            </w:r>
            <w:r>
              <w:rPr>
                <w:sz w:val="16"/>
                <w:szCs w:val="16"/>
              </w:rPr>
              <w:t xml:space="preserve">, </w:t>
            </w:r>
            <w:r>
              <w:rPr>
                <w:rStyle w:val="Emphasis"/>
                <w:sz w:val="16"/>
                <w:szCs w:val="16"/>
              </w:rPr>
              <w:t>What exists as this is written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adsb.lol source continued into the ground-movement correction</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reports/preregistered-2026-10-04-adsb-after-gate.md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chosen after the gate's figures and after an exploratory check on the two training pilot days</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continued as features of the correction, the two pilot days left out of every fit and reading; the gate's verdict stands as a measurement</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the exploratory check: a per-airport linear correction by the time from the first ground position to take-off, fitted on one pilot day and applied to the other, moved the pooled RMSE from 232.2 to 229.5 s; the same report and section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schedule share by lag, for the record-quality rows</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reports/preregistered-2026-10-04-tails.md</w:t>
            </w:r>
            <w:r>
              <w:rPr>
                <w:sz w:val="16"/>
                <w:szCs w:val="16"/>
              </w:rPr>
              <w:t xml:space="preserv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higher than the term in January and July</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January 18,146,115 against the term's 16,974,921 s²; July 19,282,867 against 16,724,722 s²; </w:t>
            </w:r>
            <w:r>
              <w:rPr>
                <w:rStyle w:val="SourceText"/>
                <w:sz w:val="16"/>
                <w:szCs w:val="16"/>
              </w:rPr>
              <w:t>reports/c6.md</w:t>
            </w:r>
            <w:r>
              <w:rPr>
                <w:sz w:val="16"/>
                <w:szCs w:val="16"/>
              </w:rPr>
              <w:t xml:space="preserve">, </w:t>
            </w:r>
            <w:r>
              <w:rPr>
                <w:rStyle w:val="Emphasis"/>
                <w:sz w:val="16"/>
                <w:szCs w:val="16"/>
              </w:rPr>
              <w:t>The intervals and the conditions</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classifier for the record-quality rows</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4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 it predicts the term's ranking rows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pooled 17,687,795 s² against the term's 23,585,522, with the interval of the difference wholly below zero and both January and July lower; </w:t>
            </w:r>
            <w:r>
              <w:rPr>
                <w:rStyle w:val="SourceText"/>
                <w:sz w:val="16"/>
                <w:szCs w:val="16"/>
              </w:rPr>
              <w:t>reports/c6.md</w:t>
            </w:r>
            <w:r>
              <w:rPr>
                <w:sz w:val="16"/>
                <w:szCs w:val="16"/>
              </w:rPr>
              <w:t xml:space="preserve">, </w:t>
            </w:r>
            <w:r>
              <w:rPr>
                <w:rStyle w:val="Emphasis"/>
                <w:sz w:val="16"/>
                <w:szCs w:val="16"/>
              </w:rPr>
              <w:t>Mean squared error, s²</w:t>
            </w:r>
            <w:r>
              <w:rPr>
                <w:sz w:val="16"/>
                <w:szCs w:val="16"/>
              </w:rPr>
              <w:t xml:space="preserve"> and </w:t>
            </w:r>
            <w:r>
              <w:rPr>
                <w:rStyle w:val="Emphasis"/>
                <w:sz w:val="16"/>
                <w:szCs w:val="16"/>
              </w:rPr>
              <w:t>The intervals and the conditions</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 winter layer on the prediction</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3" w:history="1">
              <w:r>
                <w:rPr>
                  <w:rStyle w:val="InternalRef"/>
                  <w:sz w:val="16"/>
                  <w:szCs w:val="16"/>
                </w:rPr>
                <w:t xml:space="preserve">§3</w:t>
              </w:r>
            </w:hyperlink>
            <w:r>
              <w:rPr>
                <w:sz w:val="16"/>
                <w:szCs w:val="16"/>
              </w:rPr>
              <w:t xml:space="preserve"> and </w:t>
            </w:r>
            <w:hyperlink w:anchor="sec_4" w:history="1">
              <w:r>
                <w:rPr>
                  <w:rStyle w:val="InternalRef"/>
                  <w:sz w:val="16"/>
                  <w:szCs w:val="16"/>
                </w:rPr>
                <w:t xml:space="preserve">§4</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+0.64 and July +0.00, each against a required gain; </w:t>
            </w:r>
            <w:r>
              <w:rPr>
                <w:rStyle w:val="SourceText"/>
                <w:sz w:val="16"/>
                <w:szCs w:val="16"/>
              </w:rPr>
              <w:t>reports/candidates-2026-10-05.md</w:t>
            </w:r>
            <w:r>
              <w:rPr>
                <w:sz w:val="16"/>
                <w:szCs w:val="16"/>
              </w:rPr>
              <w:t xml:space="preserve">, </w:t>
            </w:r>
            <w:r>
              <w:rPr>
                <w:rStyle w:val="Emphasis"/>
                <w:sz w:val="16"/>
                <w:szCs w:val="16"/>
              </w:rPr>
              <w:t>C2a, the winter layer</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winter feature block</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measured: it was to be read only if the winter layer cleared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 per-airport recalibration</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+0.42 and July +0.75, each against a required gain; </w:t>
            </w:r>
            <w:r>
              <w:rPr>
                <w:rStyle w:val="SourceText"/>
                <w:sz w:val="16"/>
                <w:szCs w:val="16"/>
              </w:rPr>
              <w:t>reports/candidates-2026-10-05.md</w:t>
            </w:r>
            <w:r>
              <w:rPr>
                <w:sz w:val="16"/>
                <w:szCs w:val="16"/>
              </w:rPr>
              <w:t xml:space="preserve">, </w:t>
            </w:r>
            <w:r>
              <w:rPr>
                <w:rStyle w:val="Emphasis"/>
                <w:sz w:val="16"/>
                <w:szCs w:val="16"/>
              </w:rPr>
              <w:t>C5, per-airport recalibration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feature group on the network manager's recorded off-block time</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fixed before; admitting the field was decided after the group cleared, as </w:t>
            </w:r>
            <w:hyperlink w:anchor="sec_3" w:history="1">
              <w:r>
                <w:rPr>
                  <w:rStyle w:val="InternalRef"/>
                  <w:sz w:val="16"/>
                  <w:szCs w:val="16"/>
                </w:rPr>
                <w:t xml:space="preserve">§3</w:t>
              </w:r>
            </w:hyperlink>
            <w:r>
              <w:rPr>
                <w:sz w:val="16"/>
                <w:szCs w:val="16"/>
              </w:rPr>
              <w:t xml:space="preserve"> of the pre-registration required (</w:t>
            </w:r>
            <w:hyperlink w:anchor="sec_8_7_3" w:history="1">
              <w:r>
                <w:rPr>
                  <w:rStyle w:val="InternalRef"/>
                  <w:sz w:val="16"/>
                  <w:szCs w:val="16"/>
                </w:rPr>
                <w:t xml:space="preserve">§8.7.3</w:t>
              </w:r>
            </w:hyperlink>
            <w:r>
              <w:rPr>
                <w:sz w:val="16"/>
                <w:szCs w:val="16"/>
              </w:rPr>
              <w:t xml:space="preserv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clears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-16.62, July -9.21, the three -15.20, October -6.33, the twelve months -9.50; both signs kept at the second seed; </w:t>
            </w:r>
            <w:r>
              <w:rPr>
                <w:rStyle w:val="SourceText"/>
                <w:sz w:val="16"/>
                <w:szCs w:val="16"/>
              </w:rPr>
              <w:t>reports/candidates-2026-10-05.md</w:t>
            </w:r>
            <w:r>
              <w:rPr>
                <w:sz w:val="16"/>
                <w:szCs w:val="16"/>
              </w:rPr>
              <w:t xml:space="preserve">, </w:t>
            </w:r>
            <w:r>
              <w:rPr>
                <w:rStyle w:val="Emphasis"/>
                <w:sz w:val="16"/>
                <w:szCs w:val="16"/>
              </w:rPr>
              <w:t xml:space="preserve">C1, </w:t>
            </w:r>
            <w:r>
              <w:rPr>
                <w:rStyle w:val="SourceText"/>
                <w:sz w:val="16"/>
                <w:szCs w:val="16"/>
              </w:rPr>
              <w:t>AOBT_3_flt</w:t>
            </w:r>
            <w:r>
              <w:rPr>
                <w:rStyle w:val="Emphasis"/>
                <w:sz w:val="16"/>
                <w:szCs w:val="16"/>
              </w:rPr>
              <w:t xml:space="preserve"> and its queue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 gamma-deviance learner, blended with the booster at equal weight</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 its objective chosen by a test fixed in advance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+13.16, July +30.50, October +1,061.28; </w:t>
            </w:r>
            <w:r>
              <w:rPr>
                <w:rStyle w:val="SourceText"/>
                <w:sz w:val="16"/>
                <w:szCs w:val="16"/>
              </w:rPr>
              <w:t>reports/candidates-2026-10-05.md</w:t>
            </w:r>
            <w:r>
              <w:rPr>
                <w:sz w:val="16"/>
                <w:szCs w:val="16"/>
              </w:rPr>
              <w:t xml:space="preserve">, </w:t>
            </w:r>
            <w:r>
              <w:rPr>
                <w:rStyle w:val="Emphasis"/>
                <w:sz w:val="16"/>
                <w:szCs w:val="16"/>
              </w:rPr>
              <w:t>C3a, the variance-matched LightGBM member</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flight number's own history</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clears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-0.66, July -1.47, the three +0.17, October -0.09, the twelve months -0.12; both signs kept at the second seed; </w:t>
            </w:r>
            <w:r>
              <w:rPr>
                <w:rStyle w:val="SourceText"/>
                <w:sz w:val="16"/>
                <w:szCs w:val="16"/>
              </w:rPr>
              <w:t>reports/candidates-2026-10-05.md</w:t>
            </w:r>
            <w:r>
              <w:rPr>
                <w:sz w:val="16"/>
                <w:szCs w:val="16"/>
              </w:rPr>
              <w:t xml:space="preserve">, </w:t>
            </w:r>
            <w:r>
              <w:rPr>
                <w:rStyle w:val="Emphasis"/>
                <w:sz w:val="16"/>
                <w:szCs w:val="16"/>
              </w:rPr>
              <w:t>C4, the flight's own history</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thunderstorm flags from the METAR</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reports/preregistered-2026-10-04-c7c8.md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+0.25 and July -0.25, each against a required gain; </w:t>
            </w:r>
            <w:r>
              <w:rPr>
                <w:rStyle w:val="SourceText"/>
                <w:sz w:val="16"/>
                <w:szCs w:val="16"/>
              </w:rPr>
              <w:t>reports/candidates-2026-10-05.md</w:t>
            </w:r>
            <w:r>
              <w:rPr>
                <w:sz w:val="16"/>
                <w:szCs w:val="16"/>
              </w:rPr>
              <w:t xml:space="preserve">, </w:t>
            </w:r>
            <w:r>
              <w:rPr>
                <w:rStyle w:val="Emphasis"/>
                <w:sz w:val="16"/>
                <w:szCs w:val="16"/>
              </w:rPr>
              <w:t>C7, thunderstorms from the METAR</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row weights toward the target month</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-0.16, July +2.70, the three +4.05; </w:t>
            </w:r>
            <w:r>
              <w:rPr>
                <w:rStyle w:val="SourceText"/>
                <w:sz w:val="16"/>
                <w:szCs w:val="16"/>
              </w:rPr>
              <w:t>reports/candidates-2026-10-05.md</w:t>
            </w:r>
            <w:r>
              <w:rPr>
                <w:sz w:val="16"/>
                <w:szCs w:val="16"/>
              </w:rPr>
              <w:t xml:space="preserve">, </w:t>
            </w:r>
            <w:r>
              <w:rPr>
                <w:rStyle w:val="Emphasis"/>
                <w:sz w:val="16"/>
                <w:szCs w:val="16"/>
              </w:rPr>
              <w:t>C8, the training rows weighted toward the target month</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CatBoost learner, blended with the booster at equal weight</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3" w:history="1">
              <w:r>
                <w:rPr>
                  <w:rStyle w:val="InternalRef"/>
                  <w:sz w:val="16"/>
                  <w:szCs w:val="16"/>
                </w:rPr>
                <w:t xml:space="preserve">§3</w:t>
              </w:r>
            </w:hyperlink>
            <w:r>
              <w:rPr>
                <w:sz w:val="16"/>
                <w:szCs w:val="16"/>
              </w:rPr>
              <w:t xml:space="preserve"> and </w:t>
            </w:r>
            <w:hyperlink w:anchor="sec_4" w:history="1">
              <w:r>
                <w:rPr>
                  <w:rStyle w:val="InternalRef"/>
                  <w:sz w:val="16"/>
                  <w:szCs w:val="16"/>
                </w:rPr>
                <w:t xml:space="preserve">§4</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5 to 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clears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-1.15, July -4.10, the three -4.95, October -2.59, the twelve months -1.03; both signs kept at the second seed; </w:t>
            </w:r>
            <w:r>
              <w:rPr>
                <w:rStyle w:val="SourceText"/>
                <w:sz w:val="16"/>
                <w:szCs w:val="16"/>
              </w:rPr>
              <w:t>reports/candidates-2026-10-05.md</w:t>
            </w:r>
            <w:r>
              <w:rPr>
                <w:sz w:val="16"/>
                <w:szCs w:val="16"/>
              </w:rPr>
              <w:t xml:space="preserve">, </w:t>
            </w:r>
            <w:r>
              <w:rPr>
                <w:rStyle w:val="Emphasis"/>
                <w:sz w:val="16"/>
                <w:szCs w:val="16"/>
              </w:rPr>
              <w:t>C3b, the CatBoost member</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configuration with the feature groups and a second learner</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4" w:history="1">
              <w:r>
                <w:rPr>
                  <w:rStyle w:val="InternalRef"/>
                  <w:sz w:val="16"/>
                  <w:szCs w:val="16"/>
                </w:rPr>
                <w:t xml:space="preserve">§4</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adopted (</w:t>
            </w:r>
            <w:hyperlink w:anchor="sec_8_7_3" w:history="1">
              <w:r>
                <w:rPr>
                  <w:rStyle w:val="InternalRef"/>
                  <w:sz w:val="16"/>
                  <w:szCs w:val="16"/>
                </w:rPr>
                <w:t xml:space="preserve">§8.7.3</w:t>
              </w:r>
            </w:hyperlink>
            <w:r>
              <w:rPr>
                <w:sz w:val="16"/>
                <w:szCs w:val="16"/>
              </w:rPr>
              <w:t xml:space="preserv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-13.81, July -12.10, the three -16.49, October -7.75, the twelve months -8.25; </w:t>
            </w:r>
            <w:r>
              <w:rPr>
                <w:rStyle w:val="SourceText"/>
                <w:sz w:val="16"/>
                <w:szCs w:val="16"/>
              </w:rPr>
              <w:t>reports/candidates-2026-10-05.md</w:t>
            </w:r>
            <w:r>
              <w:rPr>
                <w:sz w:val="16"/>
                <w:szCs w:val="16"/>
              </w:rPr>
              <w:t xml:space="preserve">, </w:t>
            </w:r>
            <w:r>
              <w:rPr>
                <w:rStyle w:val="Emphasis"/>
                <w:sz w:val="16"/>
                <w:szCs w:val="16"/>
              </w:rPr>
              <w:t>Section 4's combination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row weights corrected for the class ratio</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reports/preregistered-2026-10-06-c8-prior.md</w:t>
            </w:r>
            <w:r>
              <w:rPr>
                <w:sz w:val="16"/>
                <w:szCs w:val="16"/>
              </w:rPr>
              <w:t xml:space="preserve">, </w:t>
            </w:r>
            <w:hyperlink w:anchor="sec_1" w:history="1">
              <w:r>
                <w:rPr>
                  <w:rStyle w:val="InternalRef"/>
                  <w:sz w:val="16"/>
                  <w:szCs w:val="16"/>
                </w:rPr>
                <w:t xml:space="preserve">§1</w:t>
              </w:r>
            </w:hyperlink>
            <w:r>
              <w:rPr>
                <w:sz w:val="16"/>
                <w:szCs w:val="16"/>
              </w:rPr>
              <w:t xml:space="preserve"> and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chosen after the figures of the row weights toward the target month, whose weights had been set by their clip rather than by their classifier</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 nothing changes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+0.35, July +2.31, the three +2.30; </w:t>
            </w:r>
            <w:r>
              <w:rPr>
                <w:rStyle w:val="SourceText"/>
                <w:sz w:val="16"/>
                <w:szCs w:val="16"/>
              </w:rPr>
              <w:t>reports/candidates-2026-10-07.md</w:t>
            </w:r>
            <w:r>
              <w:rPr>
                <w:sz w:val="16"/>
                <w:szCs w:val="16"/>
              </w:rPr>
              <w:t xml:space="preserve">, </w:t>
            </w:r>
            <w:r>
              <w:rPr>
                <w:rStyle w:val="Emphasis"/>
                <w:sz w:val="16"/>
                <w:szCs w:val="16"/>
              </w:rPr>
              <w:t>C8c, C8's weights corrected for the class ratio</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ground-movement correction on every row, under its rule as first written</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reports/preregistered-2026-10-04.md</w:t>
            </w:r>
            <w:r>
              <w:rPr>
                <w:sz w:val="16"/>
                <w:szCs w:val="16"/>
              </w:rPr>
              <w:t xml:space="preserve">, </w:t>
            </w:r>
            <w:hyperlink w:anchor="sec_5" w:history="1">
              <w:r>
                <w:rPr>
                  <w:rStyle w:val="InternalRef"/>
                  <w:sz w:val="16"/>
                  <w:szCs w:val="16"/>
                </w:rPr>
                <w:t xml:space="preserve">§5</w:t>
              </w:r>
            </w:hyperlink>
            <w:r>
              <w:rPr>
                <w:sz w:val="16"/>
                <w:szCs w:val="16"/>
              </w:rPr>
              <w:t xml:space="preserve">, as amended by </w:t>
            </w:r>
            <w:r>
              <w:rPr>
                <w:rStyle w:val="SourceText"/>
                <w:sz w:val="16"/>
                <w:szCs w:val="16"/>
              </w:rPr>
              <w:t>reports/preregistered-2026-10-04-adsb-leg.md</w:t>
            </w:r>
            <w:r>
              <w:rPr>
                <w:sz w:val="16"/>
                <w:szCs w:val="16"/>
              </w:rPr>
              <w:t xml:space="preserve">, </w:t>
            </w:r>
            <w:r>
              <w:rPr>
                <w:rStyle w:val="SourceText"/>
                <w:sz w:val="16"/>
                <w:szCs w:val="16"/>
              </w:rPr>
              <w:t>reports/preregistered-2026-10-04-opdi.md</w:t>
            </w:r>
            <w:r>
              <w:rPr>
                <w:sz w:val="16"/>
                <w:szCs w:val="16"/>
              </w:rPr>
              <w:t xml:space="preserve">, </w:t>
            </w:r>
            <w:r>
              <w:rPr>
                <w:rStyle w:val="SourceText"/>
                <w:sz w:val="16"/>
                <w:szCs w:val="16"/>
              </w:rPr>
              <w:t>reports/preregistered-2026-10-04-adsb-after-gate.md</w:t>
            </w:r>
            <w:r>
              <w:rPr>
                <w:sz w:val="16"/>
                <w:szCs w:val="16"/>
              </w:rPr>
              <w:t xml:space="preserve"> and </w:t>
            </w:r>
            <w:r>
              <w:rPr>
                <w:rStyle w:val="SourceText"/>
                <w:sz w:val="16"/>
                <w:szCs w:val="16"/>
              </w:rPr>
              <w:t>reports/preregistered-2026-10-04-opdi-tie.md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pooled -3.89 and December -5.19 hold; January +1.68 against 0.33 allowed and July +3.35 against 0.58 fail; </w:t>
            </w:r>
            <w:r>
              <w:rPr>
                <w:rStyle w:val="SourceText"/>
                <w:sz w:val="16"/>
                <w:szCs w:val="16"/>
              </w:rPr>
              <w:t>reports/fusion.md</w:t>
            </w:r>
            <w:r>
              <w:rPr>
                <w:sz w:val="16"/>
                <w:szCs w:val="16"/>
              </w:rPr>
              <w:t xml:space="preserve">, </w:t>
            </w:r>
            <w:r>
              <w:rPr>
                <w:rStyle w:val="Emphasis"/>
                <w:sz w:val="16"/>
                <w:szCs w:val="16"/>
              </w:rPr>
              <w:t>1. The fusion under §5's rule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coverage gate: the correction on covered rows only</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reports/preregistered-2026-10-06-last-week.md</w:t>
            </w:r>
            <w:r>
              <w:rPr>
                <w:sz w:val="16"/>
                <w:szCs w:val="16"/>
              </w:rPr>
              <w:t xml:space="preserv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chosen after the figures of the row above, its per-airport table among them</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pooled -7.49, December -9.67, no month worse than its floor; beside the rule, worse on covered rows at EGLL by +8.52, LFPG by +0.77 and LIRF by +10.71; </w:t>
            </w:r>
            <w:r>
              <w:rPr>
                <w:rStyle w:val="SourceText"/>
                <w:sz w:val="16"/>
                <w:szCs w:val="16"/>
              </w:rPr>
              <w:t>reports/fusion.md</w:t>
            </w:r>
            <w:r>
              <w:rPr>
                <w:sz w:val="16"/>
                <w:szCs w:val="16"/>
              </w:rPr>
              <w:t xml:space="preserve">, </w:t>
            </w:r>
            <w:r>
              <w:rPr>
                <w:rStyle w:val="Emphasis"/>
                <w:sz w:val="16"/>
                <w:szCs w:val="16"/>
              </w:rPr>
              <w:t>2. G1, the fusion gated by coverage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classifier for the record-quality rows, with the same-month arrivals</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lower than the classifier pooled, and not higher in January or July, but the interval of the pooled difference did not lie wholly below zero</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result stands in a working record that is not published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Fiumicino's schedule layer</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worse than the base pooled by 0.20 s, missing December and failing July and August; </w:t>
            </w:r>
            <w:r>
              <w:rPr>
                <w:rStyle w:val="SourceText"/>
                <w:sz w:val="16"/>
                <w:szCs w:val="16"/>
              </w:rPr>
              <w:t>reports/preregistered-2026-10-06-g1n.md</w:t>
            </w:r>
            <w:r>
              <w:rPr>
                <w:sz w:val="16"/>
                <w:szCs w:val="16"/>
              </w:rPr>
              <w:t xml:space="preserve">, </w:t>
            </w:r>
            <w:r>
              <w:rPr>
                <w:rStyle w:val="Emphasis"/>
                <w:sz w:val="16"/>
                <w:szCs w:val="16"/>
              </w:rPr>
              <w:t>What exists as this is written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airport gate: the correction kept only at airports where it helped, out of fold</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reports/preregistered-2026-10-06-g1n.md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chosen after the figures of the coverage gate, Fiumicino's layer and the classifier with arrivals, a review of the coverage gate airport by airport among them</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against the coverage gate, pooled -2.40 and December -4.75, no month worse than its floor; against the uncorrected prediction, pooled -9.89; </w:t>
            </w:r>
            <w:r>
              <w:rPr>
                <w:rStyle w:val="SourceText"/>
                <w:sz w:val="16"/>
                <w:szCs w:val="16"/>
              </w:rPr>
              <w:t>reports/fusion.md</w:t>
            </w:r>
            <w:r>
              <w:rPr>
                <w:sz w:val="16"/>
                <w:szCs w:val="16"/>
              </w:rPr>
              <w:t xml:space="preserve">, </w:t>
            </w:r>
            <w:r>
              <w:rPr>
                <w:rStyle w:val="Emphasis"/>
                <w:sz w:val="16"/>
                <w:szCs w:val="16"/>
              </w:rPr>
              <w:t>3. G1n, the fusion gated by coverage and by airport, out of fold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Fiumicino's schedule layer on late departures only</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chosen after the figures of Fiumicino's schedule layer, which gained on late departures at the schedule and lost on Fiumicino's other rows</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all three conditions fail</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result stands in a working record that is not published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winter layer on the winter months</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reports/preregistered-2026-10-06-last-week.md</w:t>
            </w:r>
            <w:r>
              <w:rPr>
                <w:sz w:val="16"/>
                <w:szCs w:val="16"/>
              </w:rPr>
              <w:t xml:space="preserve">, </w:t>
            </w:r>
            <w:hyperlink w:anchor="sec_3" w:history="1">
              <w:r>
                <w:rPr>
                  <w:rStyle w:val="InternalRef"/>
                  <w:sz w:val="16"/>
                  <w:szCs w:val="16"/>
                </w:rPr>
                <w:t xml:space="preserve">§3</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January +0.58 against a required gain of 0.47; December +0.65 against 0.23 allowed; the twelve months +0.16 against 0.15 allowed; the December leg +0.65 against 0.23 allowed; </w:t>
            </w:r>
            <w:r>
              <w:rPr>
                <w:rStyle w:val="SourceText"/>
                <w:sz w:val="16"/>
                <w:szCs w:val="16"/>
              </w:rPr>
              <w:t>reports/group-b.md</w:t>
            </w:r>
            <w:r>
              <w:rPr>
                <w:sz w:val="16"/>
                <w:szCs w:val="16"/>
              </w:rPr>
              <w:t xml:space="preserve">, </w:t>
            </w:r>
            <w:r>
              <w:rPr>
                <w:rStyle w:val="Emphasis"/>
                <w:sz w:val="16"/>
                <w:szCs w:val="16"/>
              </w:rPr>
              <w:t>W, C2a's winter layer on the base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winter feature block on the winter months</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measured: it was to be read only if the winter layer cleared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none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booster's weight in the blend</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3" w:history="1">
              <w:r>
                <w:rPr>
                  <w:rStyle w:val="InternalRef"/>
                  <w:sz w:val="16"/>
                  <w:szCs w:val="16"/>
                </w:rPr>
                <w:t xml:space="preserve">§3</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 the weight is a selection among four, as the note fixed</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clears at 0.7; it enters only through the per-airport choice, which takes it at Fiumicino</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-2.86, July -0.96, the three -1.06, October -0.53, the twelve months -1.67; </w:t>
            </w:r>
            <w:r>
              <w:rPr>
                <w:rStyle w:val="SourceText"/>
                <w:sz w:val="16"/>
                <w:szCs w:val="16"/>
              </w:rPr>
              <w:t>reports/group-b.md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CatBoost learner refitted with the feature groups of </w:t>
            </w:r>
            <w:hyperlink w:anchor="sec_8_7_3" w:history="1">
              <w:r>
                <w:rPr>
                  <w:rStyle w:val="InternalRef"/>
                  <w:sz w:val="16"/>
                  <w:szCs w:val="16"/>
                </w:rPr>
                <w:t xml:space="preserve">§8.7.3</w:t>
              </w:r>
            </w:hyperlink>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3" w:history="1">
              <w:r>
                <w:rPr>
                  <w:rStyle w:val="InternalRef"/>
                  <w:sz w:val="16"/>
                  <w:szCs w:val="16"/>
                </w:rPr>
                <w:t xml:space="preserve">§3</w:t>
              </w:r>
            </w:hyperlink>
            <w:r>
              <w:rPr>
                <w:sz w:val="16"/>
                <w:szCs w:val="16"/>
              </w:rPr>
              <w:t xml:space="preserve">, and </w:t>
            </w:r>
            <w:r>
              <w:rPr>
                <w:rStyle w:val="SourceText"/>
                <w:sz w:val="16"/>
                <w:szCs w:val="16"/>
              </w:rPr>
              <w:t>reports/preregistered-2026-10-06-airports.md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clears; it ships through the per-airport choice at nine airports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-4.32, July -2.10, the three -3.20, October -0.45, the twelve months -3.03; </w:t>
            </w:r>
            <w:r>
              <w:rPr>
                <w:rStyle w:val="SourceText"/>
                <w:sz w:val="16"/>
                <w:szCs w:val="16"/>
              </w:rPr>
              <w:t>reports/group-b.md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9,000 trees with the feature groups</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the same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July -0.05 against a required gain of 0.54; </w:t>
            </w:r>
            <w:r>
              <w:rPr>
                <w:rStyle w:val="SourceText"/>
                <w:sz w:val="16"/>
                <w:szCs w:val="16"/>
              </w:rPr>
              <w:t>reports/group-b.md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one booster per airport</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reports/preregistered-2026-10-06-airports.md</w:t>
            </w:r>
            <w:r>
              <w:rPr>
                <w:sz w:val="16"/>
                <w:szCs w:val="16"/>
              </w:rPr>
              <w:t xml:space="preserv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fails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July -0.23 against a required gain of 0.54; </w:t>
            </w:r>
            <w:r>
              <w:rPr>
                <w:rStyle w:val="SourceText"/>
                <w:sz w:val="16"/>
                <w:szCs w:val="16"/>
              </w:rPr>
              <w:t>reports/group-b.md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per-airport choice of blend</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3" w:history="1">
              <w:r>
                <w:rPr>
                  <w:rStyle w:val="InternalRef"/>
                  <w:sz w:val="16"/>
                  <w:szCs w:val="16"/>
                </w:rPr>
                <w:t xml:space="preserve">§3</w:t>
              </w:r>
            </w:hyperlink>
            <w:r>
              <w:rPr>
                <w:sz w:val="16"/>
                <w:szCs w:val="16"/>
              </w:rPr>
              <w:t xml:space="preserve"> and </w:t>
            </w:r>
            <w:hyperlink w:anchor="sec_4" w:history="1">
              <w:r>
                <w:rPr>
                  <w:rStyle w:val="InternalRef"/>
                  <w:sz w:val="16"/>
                  <w:szCs w:val="16"/>
                </w:rPr>
                <w:t xml:space="preserve">§4</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 on its forward legs, months after the leg's month informed the choice, as the note fixed and disclosed</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6 to 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 as the combination</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December -4.52, July -1.91, the three -3.20, October -0.59, the twelve months -2.49; </w:t>
            </w:r>
            <w:r>
              <w:rPr>
                <w:rStyle w:val="SourceText"/>
                <w:sz w:val="16"/>
                <w:szCs w:val="16"/>
              </w:rPr>
              <w:t>reports/group-b.md</w:t>
            </w:r>
            <w:r>
              <w:rPr>
                <w:sz w:val="16"/>
                <w:szCs w:val="16"/>
              </w:rPr>
              <w:t xml:space="preserve"> and </w:t>
            </w:r>
            <w:r>
              <w:rPr>
                <w:rStyle w:val="Emphasis"/>
                <w:sz w:val="16"/>
                <w:szCs w:val="16"/>
              </w:rPr>
              <w:t>The combination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correction and both gates refitted on the per-airport choice</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4" w:history="1">
              <w:r>
                <w:rPr>
                  <w:rStyle w:val="InternalRef"/>
                  <w:sz w:val="16"/>
                  <w:szCs w:val="16"/>
                </w:rPr>
                <w:t xml:space="preserve">§4</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both hold; the airport gate ships</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coverage gate against the new base, pooled -6.59 and December -8.05; the airport gate against the coverage gate, -2.42 and -4.96; </w:t>
            </w:r>
            <w:r>
              <w:rPr>
                <w:rStyle w:val="SourceText"/>
                <w:sz w:val="16"/>
                <w:szCs w:val="16"/>
              </w:rPr>
              <w:t>reports/fusion-new-base.md</w:t>
            </w:r>
            <w:r>
              <w:rPr>
                <w:sz w:val="16"/>
                <w:szCs w:val="16"/>
              </w:rPr>
              <w:t xml:space="preserve">, </w:t>
            </w:r>
            <w:r>
              <w:rPr>
                <w:rStyle w:val="Emphasis"/>
                <w:sz w:val="16"/>
                <w:szCs w:val="16"/>
              </w:rPr>
              <w:t>G1 against the new base</w:t>
            </w:r>
            <w:r>
              <w:rPr>
                <w:sz w:val="16"/>
                <w:szCs w:val="16"/>
              </w:rPr>
              <w:t xml:space="preserve"> and </w:t>
            </w:r>
            <w:r>
              <w:rPr>
                <w:rStyle w:val="Emphasis"/>
                <w:sz w:val="16"/>
                <w:szCs w:val="16"/>
              </w:rPr>
              <w:t>G1n against G1 (its rule)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booster's weight in the refitted blend</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reports/preregistered-2026-10-07-group-c.md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 a selection among four weights, as the note fixed</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the weight it selected failed the December and July conditions, and its July contrast changed sign at the second seed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result stands in a working record that is not published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 larger stacker for the correction</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7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0.11 s better pooled, short of the 0.16 s floor; </w:t>
            </w:r>
            <w:r>
              <w:rPr>
                <w:rStyle w:val="SourceText"/>
                <w:sz w:val="16"/>
                <w:szCs w:val="16"/>
              </w:rPr>
              <w:t>reports/preregistered-2026-10-08-all-days.md</w:t>
            </w:r>
            <w:r>
              <w:rPr>
                <w:sz w:val="16"/>
                <w:szCs w:val="16"/>
              </w:rPr>
              <w:t xml:space="preserve">, </w:t>
            </w:r>
            <w:r>
              <w:rPr>
                <w:rStyle w:val="Emphasis"/>
                <w:sz w:val="16"/>
                <w:szCs w:val="16"/>
              </w:rPr>
              <w:t>What exists as this is written</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correction refitted on every day of 2025</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reports/preregistered-2026-10-08-all-days.md</w:t>
            </w:r>
            <w:r>
              <w:rPr>
                <w:sz w:val="16"/>
                <w:szCs w:val="16"/>
              </w:rPr>
              <w:t xml:space="preserve">, </w:t>
            </w:r>
            <w:hyperlink w:anchor="sec_1" w:history="1">
              <w:r>
                <w:rPr>
                  <w:rStyle w:val="InternalRef"/>
                  <w:sz w:val="16"/>
                  <w:szCs w:val="16"/>
                </w:rPr>
                <w:t xml:space="preserve">§1</w:t>
              </w:r>
            </w:hyperlink>
            <w:r>
              <w:rPr>
                <w:sz w:val="16"/>
                <w:szCs w:val="16"/>
              </w:rPr>
              <w:t xml:space="preserve"> and </w:t>
            </w:r>
            <w:hyperlink w:anchor="sec_2" w:history="1">
              <w:r>
                <w:rPr>
                  <w:rStyle w:val="InternalRef"/>
                  <w:sz w:val="16"/>
                  <w:szCs w:val="16"/>
                </w:rPr>
                <w:t xml:space="preserve">§2</w:t>
              </w:r>
            </w:hyperlink>
            <w:r>
              <w:rPr>
                <w:sz w:val="16"/>
                <w:szCs w:val="16"/>
              </w:rPr>
              <w:t xml:space="preserve">, its </w:t>
            </w:r>
            <w:hyperlink w:anchor="sec_3" w:history="1">
              <w:r>
                <w:rPr>
                  <w:rStyle w:val="InternalRef"/>
                  <w:sz w:val="16"/>
                  <w:szCs w:val="16"/>
                </w:rPr>
                <w:t xml:space="preserve">§3</w:t>
              </w:r>
            </w:hyperlink>
            <w:r>
              <w:rPr>
                <w:sz w:val="16"/>
                <w:szCs w:val="16"/>
              </w:rPr>
              <w:t xml:space="preserve"> replaced by </w:t>
            </w:r>
            <w:r>
              <w:rPr>
                <w:rStyle w:val="SourceText"/>
                <w:sz w:val="16"/>
                <w:szCs w:val="16"/>
              </w:rPr>
              <w:t>reports/preregistered-2026-10-08-four-months.md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8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adopted</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rule's own reading, over the days with an adsb.lol table, stands in a working record that is not published; over the core rows of the held-out year the step reads -0.27, and on December -0.60; </w:t>
            </w:r>
            <w:r>
              <w:rPr>
                <w:rStyle w:val="SourceText"/>
                <w:sz w:val="16"/>
                <w:szCs w:val="16"/>
              </w:rPr>
              <w:t>reports/v12-ladder.md</w:t>
            </w:r>
            <w:r>
              <w:rPr>
                <w:sz w:val="16"/>
                <w:szCs w:val="16"/>
              </w:rPr>
              <w:t xml:space="preserve">, </w:t>
            </w:r>
            <w:r>
              <w:rPr>
                <w:rStyle w:val="Emphasis"/>
                <w:sz w:val="16"/>
                <w:szCs w:val="16"/>
              </w:rPr>
              <w:t>Core rows: each step less the one before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surface state from arrivals' taxi-in times</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reports/preregistered-2026-10-08-c18-c19.md</w:t>
            </w:r>
            <w:r>
              <w:rPr>
                <w:sz w:val="16"/>
                <w:szCs w:val="16"/>
              </w:rPr>
              <w:t xml:space="preserve">, </w:t>
            </w:r>
            <w:hyperlink w:anchor="sec_1" w:history="1">
              <w:r>
                <w:rPr>
                  <w:rStyle w:val="InternalRef"/>
                  <w:sz w:val="16"/>
                  <w:szCs w:val="16"/>
                </w:rPr>
                <w:t xml:space="preserve">§1</w:t>
              </w:r>
            </w:hyperlink>
            <w:r>
              <w:rPr>
                <w:sz w:val="16"/>
                <w:szCs w:val="16"/>
              </w:rPr>
              <w:t xml:space="preserve"> and </w:t>
            </w:r>
            <w:hyperlink w:anchor="sec_3" w:history="1">
              <w:r>
                <w:rPr>
                  <w:rStyle w:val="InternalRef"/>
                  <w:sz w:val="16"/>
                  <w:szCs w:val="16"/>
                </w:rPr>
                <w:t xml:space="preserve">§3</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9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it failed the December and July conditions; the twelve-month condition held, but that gain lay in one airport and month, Istanbul in February, where the candidates' blend differs from the shipped base's, and not in the candidate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result stands in a working record that is not published</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booster held monotone in route length</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r>
              <w:rPr>
                <w:sz w:val="16"/>
                <w:szCs w:val="16"/>
              </w:rPr>
              <w:t xml:space="preserve"> and </w:t>
            </w:r>
            <w:hyperlink w:anchor="sec_3" w:history="1">
              <w:r>
                <w:rPr>
                  <w:rStyle w:val="InternalRef"/>
                  <w:sz w:val="16"/>
                  <w:szCs w:val="16"/>
                </w:rPr>
                <w:t xml:space="preserve">§3</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9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not adopted, on the same conditions and for the same reason as the row above</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same</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flight-plan window</w:t>
            </w:r>
          </w:p>
        </w:tc>
        <w:tc>
          <w:tcPr>
            <w:tcW w:w="1841" w:type="dxa"/>
            <w:tcBorders>
              <w:bottom w:val="single" w:sz="2" w:space="0" w:color="BBBBBB"/>
            </w:tcBorders>
          </w:tcPr>
          <w:p>
            <w:pPr>
              <w:pStyle w:val="TableContents"/>
              <w:bidi w:val="0"/>
              <w:spacing w:lineRule="auto" w:line="240" w:before="0" w:after="0"/>
              <w:jc w:val="left"/>
              <w:rPr>
                <w:sz w:val="16"/>
                <w:szCs w:val="16"/>
              </w:rPr>
            </w:pPr>
            <w:r>
              <w:rPr>
                <w:rStyle w:val="SourceText"/>
                <w:sz w:val="16"/>
                <w:szCs w:val="16"/>
              </w:rPr>
              <w:t>reports/preregistered-2026-10-09-records.md</w:t>
            </w:r>
            <w:r>
              <w:rPr>
                <w:sz w:val="16"/>
                <w:szCs w:val="16"/>
              </w:rPr>
              <w:t xml:space="preserve">, </w:t>
            </w:r>
            <w:hyperlink w:anchor="sec_1" w:history="1">
              <w:r>
                <w:rPr>
                  <w:rStyle w:val="InternalRef"/>
                  <w:sz w:val="16"/>
                  <w:szCs w:val="16"/>
                </w:rPr>
                <w:t xml:space="preserve">§1</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fixed before any count of this entry's; the edge other teams had reported was known when the thresholds were set (</w:t>
            </w:r>
            <w:hyperlink w:anchor="sec_8_7_6" w:history="1">
              <w:r>
                <w:rPr>
                  <w:rStyle w:val="InternalRef"/>
                  <w:sz w:val="16"/>
                  <w:szCs w:val="16"/>
                </w:rPr>
                <w:t xml:space="preserve">§8.7.6</w:t>
              </w:r>
            </w:hyperlink>
            <w:r>
              <w:rPr>
                <w:sz w:val="16"/>
                <w:szCs w:val="16"/>
              </w:rPr>
              <w:t xml:space="preserve">)</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9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valid; applied last in the final configuration</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largest difference, 3,606 s, at most 3,900 s; 4,315 rows in the 300 s below it against 5,763 in the 300 s before, so at least half of the latter, 2,881.5; </w:t>
            </w:r>
            <w:r>
              <w:rPr>
                <w:rStyle w:val="SourceText"/>
                <w:sz w:val="16"/>
                <w:szCs w:val="16"/>
              </w:rPr>
              <w:t>reports/window.md</w:t>
            </w:r>
            <w:r>
              <w:rPr>
                <w:sz w:val="16"/>
                <w:szCs w:val="16"/>
              </w:rPr>
              <w:t xml:space="preserve">, </w:t>
            </w:r>
            <w:r>
              <w:rPr>
                <w:rStyle w:val="Emphasis"/>
                <w:sz w:val="16"/>
                <w:szCs w:val="16"/>
              </w:rPr>
              <w:t>The verdict</w:t>
            </w:r>
          </w:p>
        </w:tc>
      </w:tr>
      <w:tr>
        <w:trPr>
          <w:cantSplit/>
        </w:trPr>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the tests of records shifted by a day or by a UTC offset</w:t>
            </w:r>
          </w:p>
        </w:tc>
        <w:tc>
          <w:tcPr>
            <w:tcW w:w="1841" w:type="dxa"/>
            <w:tcBorders>
              <w:bottom w:val="single" w:sz="2" w:space="0" w:color="BBBBBB"/>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fixed before; the offset test was read as worded after its count had been seen, and before any figure of the row below</w:t>
            </w:r>
          </w:p>
        </w:tc>
        <w:tc>
          <w:tcPr>
            <w:tcW w:w="767" w:type="dxa"/>
            <w:tcBorders>
              <w:bottom w:val="single" w:sz="2" w:space="0" w:color="BBBBBB"/>
            </w:tcBorders>
          </w:tcPr>
          <w:p>
            <w:pPr>
              <w:pStyle w:val="TableContents"/>
              <w:bidi w:val="0"/>
              <w:spacing w:lineRule="auto" w:line="240" w:before="0" w:after="0"/>
              <w:jc w:val="left"/>
              <w:rPr>
                <w:sz w:val="16"/>
                <w:szCs w:val="16"/>
              </w:rPr>
            </w:pPr>
            <w:r>
              <w:rPr>
                <w:sz w:val="16"/>
                <w:szCs w:val="16"/>
              </w:rPr>
              <w:t>9 October</w:t>
            </w:r>
          </w:p>
        </w:tc>
        <w:tc>
          <w:tcPr>
            <w:tcW w:w="1774" w:type="dxa"/>
            <w:tcBorders>
              <w:bottom w:val="single" w:sz="2" w:space="0" w:color="BBBBBB"/>
            </w:tcBorders>
          </w:tcPr>
          <w:p>
            <w:pPr>
              <w:pStyle w:val="TableContents"/>
              <w:bidi w:val="0"/>
              <w:spacing w:lineRule="auto" w:line="240" w:before="0" w:after="0"/>
              <w:jc w:val="left"/>
              <w:rPr>
                <w:sz w:val="16"/>
                <w:szCs w:val="16"/>
              </w:rPr>
            </w:pPr>
            <w:r>
              <w:rPr>
                <w:sz w:val="16"/>
                <w:szCs w:val="16"/>
              </w:rPr>
              <w:t>both survive, so the candidate below was fitted: the day shift in the UTC calendar, at its bound; the offset only on rows whose UTC offset is zero</w:t>
            </w:r>
          </w:p>
        </w:tc>
        <w:tc>
          <w:tcPr>
            <w:tcW w:w="1908" w:type="dxa"/>
            <w:tcBorders>
              <w:bottom w:val="single" w:sz="2" w:space="0" w:color="BBBBBB"/>
            </w:tcBorders>
          </w:tcPr>
          <w:p>
            <w:pPr>
              <w:pStyle w:val="TableContents"/>
              <w:bidi w:val="0"/>
              <w:spacing w:lineRule="auto" w:line="240" w:before="0" w:after="0"/>
              <w:jc w:val="left"/>
              <w:rPr>
                <w:sz w:val="16"/>
                <w:szCs w:val="16"/>
              </w:rPr>
            </w:pPr>
            <w:r>
              <w:rPr>
                <w:sz w:val="16"/>
                <w:szCs w:val="16"/>
              </w:rPr>
              <w:t>no figure: the result stands in a working record that is not published</w:t>
            </w:r>
          </w:p>
        </w:tc>
      </w:tr>
      <w:tr>
        <w:trPr>
          <w:cantSplit/>
        </w:trPr>
        <w:tc>
          <w:tcPr>
            <w:tcW w:w="1774" w:type="dxa"/>
            <w:tcBorders>
              <w:bottom w:val="single" w:sz="6" w:space="0" w:color="000000"/>
            </w:tcBorders>
          </w:tcPr>
          <w:p>
            <w:pPr>
              <w:pStyle w:val="TableContents"/>
              <w:bidi w:val="0"/>
              <w:spacing w:lineRule="auto" w:line="240" w:before="0" w:after="0"/>
              <w:jc w:val="left"/>
              <w:rPr>
                <w:sz w:val="16"/>
                <w:szCs w:val="16"/>
              </w:rPr>
            </w:pPr>
            <w:r>
              <w:rPr>
                <w:sz w:val="16"/>
                <w:szCs w:val="16"/>
              </w:rPr>
              <w:t>the candidate built on shifted records</w:t>
            </w:r>
          </w:p>
        </w:tc>
        <w:tc>
          <w:tcPr>
            <w:tcW w:w="1841" w:type="dxa"/>
            <w:tcBorders>
              <w:bottom w:val="single" w:sz="6" w:space="0" w:color="000000"/>
            </w:tcBorders>
          </w:tcPr>
          <w:p>
            <w:pPr>
              <w:pStyle w:val="TableContents"/>
              <w:bidi w:val="0"/>
              <w:spacing w:lineRule="auto" w:line="240" w:before="0" w:after="0"/>
              <w:jc w:val="left"/>
              <w:rPr>
                <w:sz w:val="16"/>
                <w:szCs w:val="16"/>
              </w:rPr>
            </w:pPr>
            <w:r>
              <w:rPr>
                <w:sz w:val="16"/>
                <w:szCs w:val="16"/>
              </w:rPr>
              <w:t xml:space="preserve">the same, </w:t>
            </w:r>
            <w:hyperlink w:anchor="sec_2" w:history="1">
              <w:r>
                <w:rPr>
                  <w:rStyle w:val="InternalRef"/>
                  <w:sz w:val="16"/>
                  <w:szCs w:val="16"/>
                </w:rPr>
                <w:t xml:space="preserve">§2</w:t>
              </w:r>
            </w:hyperlink>
          </w:p>
        </w:tc>
        <w:tc>
          <w:tcPr>
            <w:tcW w:w="1908" w:type="dxa"/>
            <w:tcBorders>
              <w:bottom w:val="single" w:sz="6" w:space="0" w:color="000000"/>
            </w:tcBorders>
          </w:tcPr>
          <w:p>
            <w:pPr>
              <w:pStyle w:val="TableContents"/>
              <w:bidi w:val="0"/>
              <w:spacing w:lineRule="auto" w:line="240" w:before="0" w:after="0"/>
              <w:jc w:val="left"/>
              <w:rPr>
                <w:sz w:val="16"/>
                <w:szCs w:val="16"/>
              </w:rPr>
            </w:pPr>
            <w:r>
              <w:rPr>
                <w:sz w:val="16"/>
                <w:szCs w:val="16"/>
              </w:rPr>
              <w:t>fixed before</w:t>
            </w:r>
          </w:p>
        </w:tc>
        <w:tc>
          <w:tcPr>
            <w:tcW w:w="767" w:type="dxa"/>
            <w:tcBorders>
              <w:bottom w:val="single" w:sz="6" w:space="0" w:color="000000"/>
            </w:tcBorders>
          </w:tcPr>
          <w:p>
            <w:pPr>
              <w:pStyle w:val="TableContents"/>
              <w:bidi w:val="0"/>
              <w:spacing w:lineRule="auto" w:line="240" w:before="0" w:after="0"/>
              <w:jc w:val="left"/>
              <w:rPr>
                <w:sz w:val="16"/>
                <w:szCs w:val="16"/>
              </w:rPr>
            </w:pPr>
            <w:r>
              <w:rPr>
                <w:sz w:val="16"/>
                <w:szCs w:val="16"/>
              </w:rPr>
              <w:t>9 October</w:t>
            </w:r>
          </w:p>
        </w:tc>
        <w:tc>
          <w:tcPr>
            <w:tcW w:w="1774" w:type="dxa"/>
            <w:tcBorders>
              <w:bottom w:val="single" w:sz="6" w:space="0" w:color="000000"/>
            </w:tcBorders>
          </w:tcPr>
          <w:p>
            <w:pPr>
              <w:pStyle w:val="TableContents"/>
              <w:bidi w:val="0"/>
              <w:spacing w:lineRule="auto" w:line="240" w:before="0" w:after="0"/>
              <w:jc w:val="left"/>
              <w:rPr>
                <w:sz w:val="16"/>
                <w:szCs w:val="16"/>
              </w:rPr>
            </w:pPr>
            <w:r>
              <w:rPr>
                <w:sz w:val="16"/>
                <w:szCs w:val="16"/>
              </w:rPr>
              <w:t>not adopted: the pooled squared error over the twelve months rose, and held-out June and the July leg were worse</w:t>
            </w:r>
          </w:p>
        </w:tc>
        <w:tc>
          <w:tcPr>
            <w:tcW w:w="1908" w:type="dxa"/>
            <w:tcBorders>
              <w:bottom w:val="single" w:sz="6" w:space="0" w:color="000000"/>
            </w:tcBorders>
          </w:tcPr>
          <w:p>
            <w:pPr>
              <w:pStyle w:val="TableContents"/>
              <w:bidi w:val="0"/>
              <w:spacing w:lineRule="auto" w:line="240" w:before="0" w:after="0"/>
              <w:jc w:val="left"/>
              <w:rPr>
                <w:sz w:val="16"/>
                <w:szCs w:val="16"/>
              </w:rPr>
            </w:pPr>
            <w:r>
              <w:rPr>
                <w:sz w:val="16"/>
                <w:szCs w:val="16"/>
              </w:rPr>
              <w:t>no figure: the same</w:t>
            </w:r>
          </w:p>
        </w:tc>
      </w:tr>
    </w:tbl>
    <w:p>
      <w:pPr>
        <w:pStyle w:val="BodyText"/>
        <w:bidi w:val="0"/>
        <w:spacing w:lineRule="auto" w:line="276" w:before="160" w:after="140"/>
        <w:jc w:val="left"/>
        <w:rPr/>
      </w:pPr>
      <w:r>
        <w:rPr/>
        <w:t xml:space="preserve">Every pre-registration and amendment named in the table is published in </w:t>
      </w:r>
      <w:r>
        <w:rPr>
          <w:rStyle w:val="SourceText"/>
        </w:rPr>
        <w:t>reports/</w:t>
      </w:r>
      <w:r>
        <w:rPr/>
        <w:t xml:space="preserve">. Seven results rest only on working records the repository does not publish: the classifier with the same-month arrivals, Fiumicino's layer on late departures, the booster's weight in the refitted blend, the two candidates for the final phase, the tests of shifted records and the candidate built on them. For those the table gives the verdict and no figure, and the correction refitted on every day of 2025 is read from the ladder of </w:t>
      </w:r>
      <w:hyperlink w:anchor="sec_8_8" w:history="1">
        <w:r>
          <w:rPr>
            <w:rStyle w:val="InternalRef"/>
          </w:rPr>
          <w:t xml:space="preserve">§8.8</w:t>
        </w:r>
      </w:hyperlink>
      <w:r>
        <w:rPr/>
        <w:t xml:space="preserve"> rather than from its rule.</w:t>
      </w:r>
    </w:p>
    <w:p>
      <w:pPr>
        <w:pStyle w:val="SourceNote"/>
        <w:bidi w:val="0"/>
        <w:spacing w:lineRule="auto" w:line="252" w:before="0" w:after="200"/>
        <w:jc w:val="left"/>
        <w:rPr/>
      </w:pPr>
      <w:r>
        <w:rPr/>
        <w:t xml:space="preserve">Sources: </w:t>
      </w:r>
      <w:r>
        <w:rPr>
          <w:rStyle w:val="SourceText"/>
          <w:sz w:val="18"/>
          <w:szCs w:val="18"/>
        </w:rPr>
        <w:t>reports/planshift.md</w:t>
      </w:r>
      <w:r>
        <w:rPr/>
        <w:t xml:space="preserve">, </w:t>
      </w:r>
      <w:r>
        <w:rPr>
          <w:rStyle w:val="Emphasis"/>
        </w:rPr>
        <w:t>Per held-out month and on the two forward legs</w:t>
      </w:r>
      <w:r>
        <w:rPr/>
        <w:t xml:space="preserve">; </w:t>
      </w:r>
      <w:r>
        <w:rPr>
          <w:rStyle w:val="SourceText"/>
          <w:sz w:val="18"/>
          <w:szCs w:val="18"/>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Every fit</w:t>
      </w:r>
      <w:r>
        <w:rPr/>
        <w:t xml:space="preserve">; </w:t>
      </w:r>
      <w:r>
        <w:rPr>
          <w:rStyle w:val="SourceText"/>
          <w:sz w:val="18"/>
          <w:szCs w:val="18"/>
        </w:rPr>
        <w:t>reports/submission-2026-10-04.md</w:t>
      </w:r>
      <w:r>
        <w:rPr/>
        <w:t xml:space="preserve"> and </w:t>
      </w:r>
      <w:r>
        <w:rPr>
          <w:rStyle w:val="SourceText"/>
          <w:sz w:val="18"/>
          <w:szCs w:val="18"/>
        </w:rPr>
        <w:t>reports/submission-2026-10-04-v8.md</w:t>
      </w:r>
      <w:r>
        <w:rPr/>
        <w:t xml:space="preserve">, </w:t>
      </w:r>
      <w:r>
        <w:rPr>
          <w:rStyle w:val="Emphasis"/>
        </w:rPr>
        <w:t>The file</w:t>
      </w:r>
      <w:r>
        <w:rPr/>
        <w:t xml:space="preserve">, dated records; </w:t>
      </w:r>
      <w:r>
        <w:rPr>
          <w:rStyle w:val="SourceText"/>
          <w:sz w:val="18"/>
          <w:szCs w:val="18"/>
        </w:rPr>
        <w:t>reports/preregistered-2026-10-04-adsb-after-gate.md</w:t>
      </w:r>
      <w:r>
        <w:rPr/>
        <w:t xml:space="preserve">, </w:t>
      </w:r>
      <w:r>
        <w:rPr>
          <w:rStyle w:val="Emphasis"/>
        </w:rPr>
        <w:t>What exists as this is written</w:t>
      </w:r>
      <w:r>
        <w:rPr/>
        <w:t xml:space="preserve">; </w:t>
      </w:r>
      <w:r>
        <w:rPr>
          <w:rStyle w:val="SourceText"/>
          <w:sz w:val="18"/>
          <w:szCs w:val="18"/>
        </w:rPr>
        <w:t>reports/c6.md</w:t>
      </w:r>
      <w:r>
        <w:rPr/>
        <w:t xml:space="preserve">, </w:t>
      </w:r>
      <w:r>
        <w:rPr>
          <w:rStyle w:val="Emphasis"/>
        </w:rPr>
        <w:t>Mean squared error, s²</w:t>
      </w:r>
      <w:r>
        <w:rPr/>
        <w:t xml:space="preserve"> and </w:t>
      </w:r>
      <w:r>
        <w:rPr>
          <w:rStyle w:val="Emphasis"/>
        </w:rPr>
        <w:t>The intervals and the conditions</w:t>
      </w:r>
      <w:r>
        <w:rPr/>
        <w:t xml:space="preserve">; </w:t>
      </w:r>
      <w:r>
        <w:rPr>
          <w:rStyle w:val="SourceText"/>
          <w:sz w:val="18"/>
          <w:szCs w:val="18"/>
        </w:rPr>
        <w:t>reports/candidates-2026-10-05.md</w:t>
      </w:r>
      <w:r>
        <w:rPr/>
        <w:t xml:space="preserve">, </w:t>
      </w:r>
      <w:r>
        <w:rPr>
          <w:rStyle w:val="Emphasis"/>
        </w:rPr>
        <w:t>C2a, the winter layer</w:t>
      </w:r>
      <w:r>
        <w:rPr/>
        <w:t xml:space="preserve">, </w:t>
      </w:r>
      <w:r>
        <w:rPr>
          <w:rStyle w:val="Emphasis"/>
        </w:rPr>
        <w:t>C5, per-airport recalibration</w:t>
      </w:r>
      <w:r>
        <w:rPr/>
        <w:t xml:space="preserve">, </w:t>
      </w:r>
      <w:r>
        <w:rPr>
          <w:rStyle w:val="Emphasis"/>
        </w:rPr>
        <w:t xml:space="preserve">C1, </w:t>
      </w:r>
      <w:r>
        <w:rPr>
          <w:rStyle w:val="SourceText"/>
          <w:sz w:val="18"/>
          <w:szCs w:val="18"/>
        </w:rPr>
        <w:t>AOBT_3_flt</w:t>
      </w:r>
      <w:r>
        <w:rPr>
          <w:rStyle w:val="Emphasis"/>
        </w:rPr>
        <w:t xml:space="preserve"> and its queue</w:t>
      </w:r>
      <w:r>
        <w:rPr/>
        <w:t xml:space="preserve">, </w:t>
      </w:r>
      <w:r>
        <w:rPr>
          <w:rStyle w:val="Emphasis"/>
        </w:rPr>
        <w:t>C3a, the variance-matched LightGBM member</w:t>
      </w:r>
      <w:r>
        <w:rPr/>
        <w:t xml:space="preserve">, </w:t>
      </w:r>
      <w:r>
        <w:rPr>
          <w:rStyle w:val="Emphasis"/>
        </w:rPr>
        <w:t>C4, the flight's own history</w:t>
      </w:r>
      <w:r>
        <w:rPr/>
        <w:t xml:space="preserve">, </w:t>
      </w:r>
      <w:r>
        <w:rPr>
          <w:rStyle w:val="Emphasis"/>
        </w:rPr>
        <w:t>C7, thunderstorms from the METAR</w:t>
      </w:r>
      <w:r>
        <w:rPr/>
        <w:t xml:space="preserve">, </w:t>
      </w:r>
      <w:r>
        <w:rPr>
          <w:rStyle w:val="Emphasis"/>
        </w:rPr>
        <w:t>C8, the training rows weighted toward the target month</w:t>
      </w:r>
      <w:r>
        <w:rPr/>
        <w:t xml:space="preserve">, </w:t>
      </w:r>
      <w:r>
        <w:rPr>
          <w:rStyle w:val="Emphasis"/>
        </w:rPr>
        <w:t>C3b, the CatBoost member</w:t>
      </w:r>
      <w:r>
        <w:rPr/>
        <w:t xml:space="preserve"> and </w:t>
      </w:r>
      <w:r>
        <w:rPr>
          <w:rStyle w:val="Emphasis"/>
        </w:rPr>
        <w:t>Section 4's combination</w:t>
      </w:r>
      <w:r>
        <w:rPr/>
        <w:t xml:space="preserve">; </w:t>
      </w:r>
      <w:r>
        <w:rPr>
          <w:rStyle w:val="SourceText"/>
          <w:sz w:val="18"/>
          <w:szCs w:val="18"/>
        </w:rPr>
        <w:t>reports/candidates-2026-10-07.md</w:t>
      </w:r>
      <w:r>
        <w:rPr/>
        <w:t xml:space="preserve">, </w:t>
      </w:r>
      <w:r>
        <w:rPr>
          <w:rStyle w:val="Emphasis"/>
        </w:rPr>
        <w:t>C8c, C8's weights corrected for the class ratio</w:t>
      </w:r>
      <w:r>
        <w:rPr/>
        <w:t xml:space="preserve">; </w:t>
      </w:r>
      <w:r>
        <w:rPr>
          <w:rStyle w:val="SourceText"/>
          <w:sz w:val="18"/>
          <w:szCs w:val="18"/>
        </w:rPr>
        <w:t>reports/fusion.md</w:t>
      </w:r>
      <w:r>
        <w:rPr/>
        <w:t xml:space="preserve">, </w:t>
      </w:r>
      <w:r>
        <w:rPr>
          <w:rStyle w:val="Emphasis"/>
        </w:rPr>
        <w:t>1. The fusion under §5's rule</w:t>
      </w:r>
      <w:r>
        <w:rPr/>
        <w:t xml:space="preserve">, </w:t>
      </w:r>
      <w:r>
        <w:rPr>
          <w:rStyle w:val="Emphasis"/>
        </w:rPr>
        <w:t>2. G1, the fusion gated by coverage</w:t>
      </w:r>
      <w:r>
        <w:rPr/>
        <w:t xml:space="preserve"> and </w:t>
      </w:r>
      <w:r>
        <w:rPr>
          <w:rStyle w:val="Emphasis"/>
        </w:rPr>
        <w:t>3. G1n, the fusion gated by coverage and by airport, out of fold</w:t>
      </w:r>
      <w:r>
        <w:rPr/>
        <w:t xml:space="preserve">; </w:t>
      </w:r>
      <w:r>
        <w:rPr>
          <w:rStyle w:val="SourceText"/>
          <w:sz w:val="18"/>
          <w:szCs w:val="18"/>
        </w:rPr>
        <w:t>reports/preregistered-2026-10-06-g1n.md</w:t>
      </w:r>
      <w:r>
        <w:rPr/>
        <w:t xml:space="preserve">, </w:t>
      </w:r>
      <w:r>
        <w:rPr>
          <w:rStyle w:val="Emphasis"/>
        </w:rPr>
        <w:t>What exists as this is written</w:t>
      </w:r>
      <w:r>
        <w:rPr/>
        <w:t xml:space="preserve">; </w:t>
      </w:r>
      <w:r>
        <w:rPr>
          <w:rStyle w:val="SourceText"/>
          <w:sz w:val="18"/>
          <w:szCs w:val="18"/>
        </w:rPr>
        <w:t>reports/group-b.md</w:t>
      </w:r>
      <w:r>
        <w:rPr/>
        <w:t xml:space="preserve">; </w:t>
      </w:r>
      <w:r>
        <w:rPr>
          <w:rStyle w:val="SourceText"/>
          <w:sz w:val="18"/>
          <w:szCs w:val="18"/>
        </w:rPr>
        <w:t>reports/fusion-new-base.md</w:t>
      </w:r>
      <w:r>
        <w:rPr/>
        <w:t xml:space="preserve">, </w:t>
      </w:r>
      <w:r>
        <w:rPr>
          <w:rStyle w:val="Emphasis"/>
        </w:rPr>
        <w:t>G1 against the new base</w:t>
      </w:r>
      <w:r>
        <w:rPr/>
        <w:t xml:space="preserve"> and </w:t>
      </w:r>
      <w:r>
        <w:rPr>
          <w:rStyle w:val="Emphasis"/>
        </w:rPr>
        <w:t>G1n against G1 (its rule)</w:t>
      </w:r>
      <w:r>
        <w:rPr/>
        <w:t xml:space="preserve">; </w:t>
      </w:r>
      <w:r>
        <w:rPr>
          <w:rStyle w:val="SourceText"/>
          <w:sz w:val="18"/>
          <w:szCs w:val="18"/>
        </w:rPr>
        <w:t>reports/preregistered-2026-10-08-all-days.md</w:t>
      </w:r>
      <w:r>
        <w:rPr/>
        <w:t xml:space="preserve">, </w:t>
      </w:r>
      <w:r>
        <w:rPr>
          <w:rStyle w:val="Emphasis"/>
        </w:rPr>
        <w:t>What exists as this is written</w:t>
      </w:r>
      <w:r>
        <w:rPr/>
        <w:t xml:space="preserve">; </w:t>
      </w:r>
      <w:r>
        <w:rPr>
          <w:rStyle w:val="SourceText"/>
          <w:sz w:val="18"/>
          <w:szCs w:val="18"/>
        </w:rPr>
        <w:t>reports/v12-ladder.md</w:t>
      </w:r>
      <w:r>
        <w:rPr/>
        <w:t xml:space="preserve">, </w:t>
      </w:r>
      <w:r>
        <w:rPr>
          <w:rStyle w:val="Emphasis"/>
        </w:rPr>
        <w:t>Core rows: each step less the one before</w:t>
      </w:r>
      <w:r>
        <w:rPr/>
        <w:t xml:space="preserve">; </w:t>
      </w:r>
      <w:r>
        <w:rPr>
          <w:rStyle w:val="SourceText"/>
          <w:sz w:val="18"/>
          <w:szCs w:val="18"/>
        </w:rPr>
        <w:t>reports/window.md</w:t>
      </w:r>
      <w:r>
        <w:rPr/>
        <w:t xml:space="preserve">, </w:t>
      </w:r>
      <w:r>
        <w:rPr>
          <w:rStyle w:val="Emphasis"/>
        </w:rPr>
        <w:t>The verdict</w:t>
      </w:r>
      <w:r>
        <w:rPr/>
        <w:t>.</w:t>
      </w:r>
    </w:p>
    <w:p>
      <w:pPr>
        <w:pStyle w:val="Heading2"/>
        <w:numPr>
          <w:ilvl w:val="0"/>
          <w:numId w:val="0"/>
        </w:numPr>
        <w:bidi w:val="0"/>
        <w:spacing w:before="200" w:after="120"/>
        <w:jc w:val="left"/>
        <w:rPr/>
      </w:pPr>
      <w:bookmarkStart w:id="247" w:name="references"/>
      <w:bookmarkStart w:id="246" w:name="_Toc000074"/>
      <w:r>
        <w:rPr/>
        <w:t>References</w:t>
      </w:r>
      <w:bookmarkEnd w:id="246"/>
      <w:bookmarkEnd w:id="247"/>
    </w:p>
    <w:p>
      <w:pPr>
        <w:pStyle w:val="BodyText"/>
        <w:bidi w:val="0"/>
        <w:spacing w:lineRule="auto" w:line="276" w:before="0" w:after="140"/>
        <w:jc w:val="left"/>
        <w:rPr/>
      </w:pPr>
      <w:r>
        <w:rPr/>
        <w:t xml:space="preserve">adsb.lol. (n.d.). </w:t>
      </w:r>
      <w:r>
        <w:rPr>
          <w:rStyle w:val="Emphasis"/>
        </w:rPr>
        <w:t>Globe history</w:t>
      </w:r>
      <w:r>
        <w:rPr/>
        <w:t xml:space="preserve"> [Data set]. </w:t>
      </w:r>
      <w:hyperlink r:id="rId21">
        <w:r>
          <w:rPr>
            <w:rStyle w:val="Hyperlink"/>
          </w:rPr>
          <w:t>https://github.com/adsblol</w:t>
        </w:r>
      </w:hyperlink>
    </w:p>
    <w:p>
      <w:pPr>
        <w:pStyle w:val="BodyText"/>
        <w:bidi w:val="0"/>
        <w:spacing w:lineRule="auto" w:line="276" w:before="0" w:after="140"/>
        <w:jc w:val="left"/>
        <w:rPr/>
      </w:pPr>
      <w:r>
        <w:rPr/>
        <w:t xml:space="preserve">Angrist, J. D., &amp; Pischke, J.-S. (2009). </w:t>
      </w:r>
      <w:r>
        <w:rPr>
          <w:rStyle w:val="Emphasis"/>
        </w:rPr>
        <w:t>Mostly harmless econometrics: An empiricist's companion</w:t>
      </w:r>
      <w:r>
        <w:rPr/>
        <w:t>. Princeton University Press.</w:t>
      </w:r>
    </w:p>
    <w:p>
      <w:pPr>
        <w:pStyle w:val="BodyText"/>
        <w:bidi w:val="0"/>
        <w:spacing w:lineRule="auto" w:line="276" w:before="0" w:after="140"/>
        <w:jc w:val="left"/>
        <w:rPr/>
      </w:pPr>
      <w:r>
        <w:rPr/>
        <w:t xml:space="preserve">Bell, H. (2026a). </w:t>
      </w:r>
      <w:r>
        <w:rPr>
          <w:rStyle w:val="Emphasis"/>
        </w:rPr>
        <w:t>Data caches for taxi-out prediction at eleven European airports: OpenStreetMap stand-to-runway distance matrices, METAR observations, airport tables and adsb.lol event tables (team funny-firefly, EUROCONTROL PRC Data Challenge 2026)</w:t>
      </w:r>
      <w:r>
        <w:rPr/>
        <w:t xml:space="preserve"> [Data set]. Zenodo. </w:t>
      </w:r>
      <w:hyperlink r:id="rId22">
        <w:r>
          <w:rPr>
            <w:rStyle w:val="Hyperlink"/>
          </w:rPr>
          <w:t>https://doi.org/10.5281/zenodo.23133051</w:t>
        </w:r>
      </w:hyperlink>
    </w:p>
    <w:p>
      <w:pPr>
        <w:pStyle w:val="BodyText"/>
        <w:bidi w:val="0"/>
        <w:spacing w:lineRule="auto" w:line="276" w:before="0" w:after="140"/>
        <w:jc w:val="left"/>
        <w:rPr/>
      </w:pPr>
      <w:r>
        <w:rPr/>
        <w:t xml:space="preserve">Bell, H. (2026b). </w:t>
      </w:r>
      <w:r>
        <w:rPr>
          <w:rStyle w:val="Emphasis"/>
        </w:rPr>
        <w:t>funny-firefly: Taxi-out prediction from OpenStreetMap geometry (PRC Data Challenge 2026), code, paper and reports</w:t>
      </w:r>
      <w:r>
        <w:rPr/>
        <w:t xml:space="preserve"> (Version V1.1) [Computer software]. Zenodo. </w:t>
      </w:r>
      <w:hyperlink r:id="rId23">
        <w:r>
          <w:rPr>
            <w:rStyle w:val="Hyperlink"/>
          </w:rPr>
          <w:t>https://doi.org/10.5281/zenodo.23320026</w:t>
        </w:r>
      </w:hyperlink>
    </w:p>
    <w:p>
      <w:pPr>
        <w:pStyle w:val="BodyText"/>
        <w:bidi w:val="0"/>
        <w:spacing w:lineRule="auto" w:line="276" w:before="0" w:after="140"/>
        <w:jc w:val="left"/>
        <w:rPr/>
      </w:pPr>
      <w:r>
        <w:rPr/>
        <w:t xml:space="preserve">Breiman, L., Friedman, J. H., Olshen, R. A., &amp; Stone, C. J. (1984). </w:t>
      </w:r>
      <w:r>
        <w:rPr>
          <w:rStyle w:val="Emphasis"/>
        </w:rPr>
        <w:t>Classification and regression trees</w:t>
      </w:r>
      <w:r>
        <w:rPr/>
        <w:t>. Wadsworth.</w:t>
      </w:r>
    </w:p>
    <w:p>
      <w:pPr>
        <w:pStyle w:val="BodyText"/>
        <w:bidi w:val="0"/>
        <w:spacing w:lineRule="auto" w:line="276" w:before="0" w:after="140"/>
        <w:jc w:val="left"/>
        <w:rPr/>
      </w:pPr>
      <w:r>
        <w:rPr/>
        <w:t xml:space="preserve">Cameron, A. C., Gelbach, J. B., &amp; Miller, D. L. (2008). Bootstrap-based improvements for inference with clustered errors. </w:t>
      </w:r>
      <w:r>
        <w:rPr>
          <w:rStyle w:val="Emphasis"/>
        </w:rPr>
        <w:t>The Review of Economics and Statistics, 90</w:t>
      </w:r>
      <w:r>
        <w:rPr/>
        <w:t>(3), 414–427.</w:t>
      </w:r>
    </w:p>
    <w:p>
      <w:pPr>
        <w:pStyle w:val="BodyText"/>
        <w:bidi w:val="0"/>
        <w:spacing w:lineRule="auto" w:line="276" w:before="0" w:after="140"/>
        <w:jc w:val="left"/>
        <w:rPr/>
      </w:pPr>
      <w:r>
        <w:rPr/>
        <w:t xml:space="preserve">Douglas, D. H., &amp; Peucker, T. K. (1973). Algorithms for the reduction of the number of points required to represent a digitized line or its caricature. </w:t>
      </w:r>
      <w:r>
        <w:rPr>
          <w:rStyle w:val="Emphasis"/>
        </w:rPr>
        <w:t>Cartographica: The International Journal for Geographic Information and Geovisualization, 10</w:t>
      </w:r>
      <w:r>
        <w:rPr/>
        <w:t xml:space="preserve">(2), 112–122. </w:t>
      </w:r>
      <w:hyperlink r:id="rId24">
        <w:r>
          <w:rPr>
            <w:rStyle w:val="Hyperlink"/>
          </w:rPr>
          <w:t>https://doi.org/10.3138/FM57-6770-U75U-7727</w:t>
        </w:r>
      </w:hyperlink>
    </w:p>
    <w:p>
      <w:pPr>
        <w:pStyle w:val="BodyText"/>
        <w:bidi w:val="0"/>
        <w:spacing w:lineRule="auto" w:line="276" w:before="0" w:after="140"/>
        <w:jc w:val="left"/>
        <w:rPr/>
      </w:pPr>
      <w:r>
        <w:rPr/>
        <w:t xml:space="preserve">Efron, B., &amp; Morris, C. (1973). Stein's estimation rule and its competitors: An empirical Bayes approach. </w:t>
      </w:r>
      <w:r>
        <w:rPr>
          <w:rStyle w:val="Emphasis"/>
        </w:rPr>
        <w:t>Journal of the American Statistical Association, 68</w:t>
      </w:r>
      <w:r>
        <w:rPr/>
        <w:t>(341), 117–130.</w:t>
      </w:r>
    </w:p>
    <w:p>
      <w:pPr>
        <w:pStyle w:val="BodyText"/>
        <w:bidi w:val="0"/>
        <w:spacing w:lineRule="auto" w:line="276" w:before="0" w:after="140"/>
        <w:jc w:val="left"/>
        <w:rPr/>
      </w:pPr>
      <w:r>
        <w:rPr/>
        <w:t xml:space="preserve">Efron, B., &amp; Tibshirani, R. J. (1993). </w:t>
      </w:r>
      <w:r>
        <w:rPr>
          <w:rStyle w:val="Emphasis"/>
        </w:rPr>
        <w:t>An introduction to the bootstrap</w:t>
      </w:r>
      <w:r>
        <w:rPr/>
        <w:t>. Chapman &amp; Hall.</w:t>
      </w:r>
    </w:p>
    <w:p>
      <w:pPr>
        <w:pStyle w:val="BodyText"/>
        <w:bidi w:val="0"/>
        <w:spacing w:lineRule="auto" w:line="276" w:before="0" w:after="140"/>
        <w:jc w:val="left"/>
        <w:rPr/>
      </w:pPr>
      <w:r>
        <w:rPr/>
        <w:t xml:space="preserve">EUROCONTROL. (n.d.). </w:t>
      </w:r>
      <w:r>
        <w:rPr>
          <w:rStyle w:val="Emphasis"/>
        </w:rPr>
        <w:t>Open Performance Data Initiative (OPDI), version 0.0.2</w:t>
      </w:r>
      <w:r>
        <w:rPr/>
        <w:t xml:space="preserve"> [Data set]. </w:t>
      </w:r>
      <w:hyperlink r:id="rId25">
        <w:r>
          <w:rPr>
            <w:rStyle w:val="Hyperlink"/>
          </w:rPr>
          <w:t>https://www.eurocontrol.int/performance/data/download/OPDI/v002/</w:t>
        </w:r>
      </w:hyperlink>
    </w:p>
    <w:p>
      <w:pPr>
        <w:pStyle w:val="BodyText"/>
        <w:bidi w:val="0"/>
        <w:spacing w:lineRule="auto" w:line="276" w:before="0" w:after="140"/>
        <w:jc w:val="left"/>
        <w:rPr/>
      </w:pPr>
      <w:r>
        <w:rPr/>
        <w:t xml:space="preserve">EUROCONTROL Performance Review Commission. (n.d.). </w:t>
      </w:r>
      <w:r>
        <w:rPr>
          <w:rStyle w:val="Emphasis"/>
        </w:rPr>
        <w:t>PRC Data Challenge 2026</w:t>
      </w:r>
      <w:r>
        <w:rPr/>
        <w:t xml:space="preserve">. </w:t>
      </w:r>
      <w:hyperlink r:id="rId26">
        <w:r>
          <w:rPr>
            <w:rStyle w:val="Hyperlink"/>
          </w:rPr>
          <w:t>https://ansperformance.eu/study/data-challenge/dc2026/</w:t>
        </w:r>
      </w:hyperlink>
    </w:p>
    <w:p>
      <w:pPr>
        <w:pStyle w:val="BodyText"/>
        <w:bidi w:val="0"/>
        <w:spacing w:lineRule="auto" w:line="276" w:before="0" w:after="140"/>
        <w:jc w:val="left"/>
        <w:rPr/>
      </w:pPr>
      <w:r>
        <w:rPr/>
        <w:t xml:space="preserve">Idris, H., Clarke, J.-P., Bhuva, R., &amp; Kang, L. (2002). Queuing model for taxi-out time estimation. </w:t>
      </w:r>
      <w:r>
        <w:rPr>
          <w:rStyle w:val="Emphasis"/>
        </w:rPr>
        <w:t>Air Traffic Control Quarterly, 10</w:t>
      </w:r>
      <w:r>
        <w:rPr/>
        <w:t>(1), 1–22.</w:t>
      </w:r>
    </w:p>
    <w:p>
      <w:pPr>
        <w:pStyle w:val="BodyText"/>
        <w:bidi w:val="0"/>
        <w:spacing w:lineRule="auto" w:line="276" w:before="0" w:after="140"/>
        <w:jc w:val="left"/>
        <w:rPr/>
      </w:pPr>
      <w:r>
        <w:rPr/>
        <w:t xml:space="preserve">Iowa State University. (n.d.). </w:t>
      </w:r>
      <w:r>
        <w:rPr>
          <w:rStyle w:val="Emphasis"/>
        </w:rPr>
        <w:t>Iowa Environmental Mesonet: ASOS, AWOS and METAR observations</w:t>
      </w:r>
      <w:r>
        <w:rPr/>
        <w:t xml:space="preserve"> [Data set]. </w:t>
      </w:r>
      <w:hyperlink r:id="rId27">
        <w:r>
          <w:rPr>
            <w:rStyle w:val="Hyperlink"/>
          </w:rPr>
          <w:t>https://mesonet.agron.iastate.edu/</w:t>
        </w:r>
      </w:hyperlink>
    </w:p>
    <w:p>
      <w:pPr>
        <w:pStyle w:val="BodyText"/>
        <w:bidi w:val="0"/>
        <w:spacing w:lineRule="auto" w:line="276" w:before="0" w:after="140"/>
        <w:jc w:val="left"/>
        <w:rPr/>
      </w:pPr>
      <w:r>
        <w:rPr/>
        <w:t xml:space="preserve">Ke, G., Meng, Q., Finley, T., Wang, T., Chen, W., Ma, W., Ye, Q., &amp; Liu, T.-Y. (2017). LightGBM: A highly efficient gradient boosting decision tree. In </w:t>
      </w:r>
      <w:r>
        <w:rPr>
          <w:rStyle w:val="Emphasis"/>
        </w:rPr>
        <w:t>Advances in Neural Information Processing Systems</w:t>
      </w:r>
      <w:r>
        <w:rPr/>
        <w:t xml:space="preserve"> (Vol. 30, pp. 3146–3154). Curran Associates.</w:t>
      </w:r>
    </w:p>
    <w:p>
      <w:pPr>
        <w:pStyle w:val="BodyText"/>
        <w:bidi w:val="0"/>
        <w:spacing w:lineRule="auto" w:line="276" w:before="0" w:after="140"/>
        <w:jc w:val="left"/>
        <w:rPr/>
      </w:pPr>
      <w:r>
        <w:rPr/>
        <w:t xml:space="preserve">Lee, H., Malik, W., &amp; Jung, Y. C. (2016). </w:t>
      </w:r>
      <w:r>
        <w:rPr>
          <w:rStyle w:val="Emphasis"/>
        </w:rPr>
        <w:t>Taxi-out time prediction for departures at Charlotte airport using machine learning techniques</w:t>
      </w:r>
      <w:r>
        <w:rPr/>
        <w:t xml:space="preserve"> (AIAA Paper 2016-3910). American Institute of Aeronautics and Astronautics.</w:t>
      </w:r>
    </w:p>
    <w:p>
      <w:pPr>
        <w:pStyle w:val="BodyText"/>
        <w:bidi w:val="0"/>
        <w:spacing w:lineRule="auto" w:line="276" w:before="0" w:after="140"/>
        <w:jc w:val="left"/>
        <w:rPr/>
      </w:pPr>
      <w:r>
        <w:rPr/>
        <w:t xml:space="preserve">Micci-Barreca, D. (2001). A preprocessing scheme for high-cardinality categorical attributes in classification and prediction problems. </w:t>
      </w:r>
      <w:r>
        <w:rPr>
          <w:rStyle w:val="Emphasis"/>
        </w:rPr>
        <w:t>ACM SIGKDD Explorations Newsletter, 3</w:t>
      </w:r>
      <w:r>
        <w:rPr/>
        <w:t xml:space="preserve">(1), 27–32. </w:t>
      </w:r>
      <w:hyperlink r:id="rId28">
        <w:r>
          <w:rPr>
            <w:rStyle w:val="Hyperlink"/>
          </w:rPr>
          <w:t>https://doi.org/10.1145/507533.507538</w:t>
        </w:r>
      </w:hyperlink>
    </w:p>
    <w:p>
      <w:pPr>
        <w:pStyle w:val="BodyText"/>
        <w:bidi w:val="0"/>
        <w:spacing w:lineRule="auto" w:line="276" w:before="0" w:after="140"/>
        <w:jc w:val="left"/>
        <w:rPr/>
      </w:pPr>
      <w:r>
        <w:rPr/>
        <w:t xml:space="preserve">Olbricht, R. (n.d.). </w:t>
      </w:r>
      <w:r>
        <w:rPr>
          <w:rStyle w:val="Emphasis"/>
        </w:rPr>
        <w:t>Overpass API</w:t>
      </w:r>
      <w:r>
        <w:rPr/>
        <w:t xml:space="preserve"> [Computer software]. </w:t>
      </w:r>
      <w:hyperlink r:id="rId29">
        <w:r>
          <w:rPr>
            <w:rStyle w:val="Hyperlink"/>
          </w:rPr>
          <w:t>https://github.com/drolbr/Overpass-API</w:t>
        </w:r>
      </w:hyperlink>
    </w:p>
    <w:p>
      <w:pPr>
        <w:pStyle w:val="BodyText"/>
        <w:bidi w:val="0"/>
        <w:spacing w:lineRule="auto" w:line="276" w:before="0" w:after="140"/>
        <w:jc w:val="left"/>
        <w:rPr/>
      </w:pPr>
      <w:r>
        <w:rPr/>
        <w:t xml:space="preserve">Olive, X. (2019). traffic, a toolbox for processing and analysing air traffic data. </w:t>
      </w:r>
      <w:r>
        <w:rPr>
          <w:rStyle w:val="Emphasis"/>
        </w:rPr>
        <w:t>Journal of Open Source Software, 4</w:t>
      </w:r>
      <w:r>
        <w:rPr/>
        <w:t xml:space="preserve">(39), Article 1518. </w:t>
      </w:r>
      <w:hyperlink r:id="rId30">
        <w:r>
          <w:rPr>
            <w:rStyle w:val="Hyperlink"/>
          </w:rPr>
          <w:t>https://doi.org/10.21105/joss.01518</w:t>
        </w:r>
      </w:hyperlink>
    </w:p>
    <w:p>
      <w:pPr>
        <w:pStyle w:val="BodyText"/>
        <w:bidi w:val="0"/>
        <w:spacing w:lineRule="auto" w:line="276" w:before="0" w:after="140"/>
        <w:jc w:val="left"/>
        <w:rPr/>
      </w:pPr>
      <w:r>
        <w:rPr/>
        <w:t xml:space="preserve">Olive, X., Waltert, M., &amp; Schultz, M. (2025). </w:t>
      </w:r>
      <w:r>
        <w:rPr>
          <w:rStyle w:val="Emphasis"/>
        </w:rPr>
        <w:t>Assessing airport surface traffic performance from open sources of aviation data</w:t>
      </w:r>
      <w:r>
        <w:rPr/>
        <w:t xml:space="preserve"> [Paper presentation]. Air Transportation Research and Development Symposium. </w:t>
      </w:r>
      <w:hyperlink r:id="rId31">
        <w:r>
          <w:rPr>
            <w:rStyle w:val="Hyperlink"/>
          </w:rPr>
          <w:t>https://www.unibw.de/lvk-en/publications/2025_zhr_surface</w:t>
        </w:r>
      </w:hyperlink>
    </w:p>
    <w:p>
      <w:pPr>
        <w:pStyle w:val="BodyText"/>
        <w:bidi w:val="0"/>
        <w:spacing w:lineRule="auto" w:line="276" w:before="0" w:after="140"/>
        <w:jc w:val="left"/>
        <w:rPr/>
      </w:pPr>
      <w:r>
        <w:rPr/>
        <w:t xml:space="preserve">OpenStreetMap contributors. (n.d.). </w:t>
      </w:r>
      <w:r>
        <w:rPr>
          <w:rStyle w:val="Emphasis"/>
        </w:rPr>
        <w:t>OpenStreetMap</w:t>
      </w:r>
      <w:r>
        <w:rPr/>
        <w:t xml:space="preserve"> [Map data]. </w:t>
      </w:r>
      <w:hyperlink r:id="rId32">
        <w:r>
          <w:rPr>
            <w:rStyle w:val="Hyperlink"/>
          </w:rPr>
          <w:t>https://www.openstreetmap.org/copyright</w:t>
        </w:r>
      </w:hyperlink>
    </w:p>
    <w:p>
      <w:pPr>
        <w:pStyle w:val="BodyText"/>
        <w:bidi w:val="0"/>
        <w:spacing w:lineRule="auto" w:line="276" w:before="0" w:after="140"/>
        <w:jc w:val="left"/>
        <w:rPr/>
      </w:pPr>
      <w:r>
        <w:rPr/>
        <w:t xml:space="preserve">OurAirports. (n.d.). </w:t>
      </w:r>
      <w:r>
        <w:rPr>
          <w:rStyle w:val="Emphasis"/>
        </w:rPr>
        <w:t>OurAirports open data</w:t>
      </w:r>
      <w:r>
        <w:rPr/>
        <w:t xml:space="preserve"> [Data set]. </w:t>
      </w:r>
      <w:hyperlink r:id="rId33">
        <w:r>
          <w:rPr>
            <w:rStyle w:val="Hyperlink"/>
          </w:rPr>
          <w:t>https://ourairports.com/data/</w:t>
        </w:r>
      </w:hyperlink>
    </w:p>
    <w:p>
      <w:pPr>
        <w:pStyle w:val="BodyText"/>
        <w:bidi w:val="0"/>
        <w:spacing w:lineRule="auto" w:line="276" w:before="0" w:after="140"/>
        <w:jc w:val="left"/>
        <w:rPr/>
      </w:pPr>
      <w:r>
        <w:rPr/>
        <w:t xml:space="preserve">Prokhorenkova, L., Gusev, G., Vorobev, A., Dorogush, A. V., &amp; Gulin, A. (2018). CatBoost: Unbiased boosting with categorical features. In </w:t>
      </w:r>
      <w:r>
        <w:rPr>
          <w:rStyle w:val="Emphasis"/>
        </w:rPr>
        <w:t>Advances in Neural Information Processing Systems</w:t>
      </w:r>
      <w:r>
        <w:rPr/>
        <w:t xml:space="preserve"> (Vol. 31). Curran Associates.</w:t>
      </w:r>
    </w:p>
    <w:p>
      <w:pPr>
        <w:pStyle w:val="BodyText"/>
        <w:bidi w:val="0"/>
        <w:spacing w:lineRule="auto" w:line="276" w:before="0" w:after="140"/>
        <w:jc w:val="left"/>
        <w:rPr/>
      </w:pPr>
      <w:r>
        <w:rPr/>
        <w:t xml:space="preserve">Ravizza, S., Atkin, J. A. D., Maathuis, M. H., &amp; Burke, E. K. (2013). A combined statistical approach and ground movement model for improving taxi time estimations at airports. </w:t>
      </w:r>
      <w:r>
        <w:rPr>
          <w:rStyle w:val="Emphasis"/>
        </w:rPr>
        <w:t>Journal of the Operational Research Society, 64</w:t>
      </w:r>
      <w:r>
        <w:rPr/>
        <w:t>(9), 1347–1360.</w:t>
      </w:r>
    </w:p>
    <w:p>
      <w:pPr>
        <w:pStyle w:val="BodyText"/>
        <w:bidi w:val="0"/>
        <w:spacing w:lineRule="auto" w:line="276" w:before="0" w:after="140"/>
        <w:jc w:val="left"/>
        <w:rPr/>
      </w:pPr>
      <w:r>
        <w:rPr/>
        <w:t xml:space="preserve">Ravizza, S., Chen, J., Atkin, J. A. D., Stewart, P., &amp; Burke, E. K. (2014). Aircraft taxi time prediction: Comparisons and insights. </w:t>
      </w:r>
      <w:r>
        <w:rPr>
          <w:rStyle w:val="Emphasis"/>
        </w:rPr>
        <w:t>Applied Soft Computing, 14</w:t>
      </w:r>
      <w:r>
        <w:rPr/>
        <w:t xml:space="preserve">, 397–406. </w:t>
      </w:r>
      <w:hyperlink r:id="rId34">
        <w:r>
          <w:rPr>
            <w:rStyle w:val="Hyperlink"/>
          </w:rPr>
          <w:t>https://doi.org/10.1016/j.asoc.2013.10.004</w:t>
        </w:r>
      </w:hyperlink>
    </w:p>
    <w:p>
      <w:pPr>
        <w:pStyle w:val="BodyText"/>
        <w:bidi w:val="0"/>
        <w:spacing w:lineRule="auto" w:line="276" w:before="0" w:after="140"/>
        <w:jc w:val="left"/>
        <w:rPr/>
      </w:pPr>
      <w:r>
        <w:rPr/>
        <w:t xml:space="preserve">Schäfer, M., Strohmeier, M., Lenders, V., Martinovic, I., &amp; Wilhelm, M. (2014). Bringing up OpenSky: A large-scale ADS-B sensor network for research. In </w:t>
      </w:r>
      <w:r>
        <w:rPr>
          <w:rStyle w:val="Emphasis"/>
        </w:rPr>
        <w:t>Proceedings of the 13th International Symposium on Information Processing in Sensor Networks</w:t>
      </w:r>
      <w:r>
        <w:rPr/>
        <w:t xml:space="preserve"> (pp. 83–94). IEEE.</w:t>
      </w:r>
    </w:p>
    <w:p>
      <w:pPr>
        <w:pStyle w:val="BodyText"/>
        <w:bidi w:val="0"/>
        <w:spacing w:lineRule="auto" w:line="276" w:before="0" w:after="140"/>
        <w:jc w:val="left"/>
        <w:rPr/>
      </w:pPr>
      <w:r>
        <w:rPr/>
        <w:t xml:space="preserve">Simaiakis, I., &amp; Balakrishnan, H. (2016). A queuing model of the airport departure process. </w:t>
      </w:r>
      <w:r>
        <w:rPr>
          <w:rStyle w:val="Emphasis"/>
        </w:rPr>
        <w:t>Transportation Science, 50</w:t>
      </w:r>
      <w:r>
        <w:rPr/>
        <w:t xml:space="preserve">(1), 94–109. </w:t>
      </w:r>
      <w:hyperlink r:id="rId35">
        <w:r>
          <w:rPr>
            <w:rStyle w:val="Hyperlink"/>
          </w:rPr>
          <w:t>https://doi.org/10.1287/trsc.2015.0603</w:t>
        </w:r>
      </w:hyperlink>
    </w:p>
    <w:p>
      <w:pPr>
        <w:pStyle w:val="BodyText"/>
        <w:bidi w:val="0"/>
        <w:spacing w:lineRule="auto" w:line="276" w:before="0" w:after="140"/>
        <w:jc w:val="left"/>
        <w:rPr/>
      </w:pPr>
      <w:r>
        <w:rPr/>
        <w:t xml:space="preserve">Vacanza Team. (n.d.). </w:t>
      </w:r>
      <w:r>
        <w:rPr>
          <w:rStyle w:val="Emphasis"/>
        </w:rPr>
        <w:t>Open World Holidays Framework</w:t>
      </w:r>
      <w:r>
        <w:rPr/>
        <w:t xml:space="preserve"> (Version 0.104) [Computer software]. </w:t>
      </w:r>
      <w:hyperlink r:id="rId36">
        <w:r>
          <w:rPr>
            <w:rStyle w:val="Hyperlink"/>
          </w:rPr>
          <w:t>https://doi.org/10.5281/zenodo.14884702</w:t>
        </w:r>
      </w:hyperlink>
    </w:p>
    <w:sectPr>
      <w:footerReference w:type="default" r:id="rIdFtr1"/>
      <w:footerReference w:type="first" r:id="rIdFtr2"/>
      <w:type w:val="nextPage"/>
      <w:pgSz w:w="12240" w:h="15840"/>
      <w:pgMar w:left="1134" w:right="1134" w:gutter="0" w:header="567" w:top="1134" w:footer="567" w:bottom="1134"/>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val="true"/>
      <w:kinsoku w:val="true"/>
      <w:overflowPunct w:val="true"/>
      <w:autoSpaceDE w:val="true"/>
      <w:bidi w:val="0"/>
    </w:pPr>
    <w:rPr>
      <w:rFonts w:ascii="Liberation Serif" w:hAnsi="Liberation Serif" w:eastAsia="Noto Serif CJK SC" w:cs="DejaVu Sans"/>
      <w:color w:val="auto"/>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DejaVu Sans"/>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DejaVu Sans"/>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DejaVu Sans"/>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DejaVu Sans"/>
      <w:b/>
      <w:bCs/>
      <w:sz w:val="24"/>
      <w:szCs w:val="24"/>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sz w:val="21"/>
      <w:szCs w:val="21"/>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BodyText"/>
    <w:next w:val="BodyText"/>
    <w:qFormat/>
    <w:pPr>
      <w:keepNext/>
      <w:spacing w:before="0" w:after="200"/>
    </w:pPr>
    <w:rPr>
      <w:rFonts w:ascii="Liberation Serif" w:hAnsi="Liberation Serif" w:eastAsia="Noto Serif CJK SC" w:cs="Noto Sans Devanagari"/>
      <w:b/>
      <w:bCs/>
      <w:color w:val="1F3A5F"/>
      <w:sz w:val="40"/>
      <w:szCs w:val="40"/>
    </w:rPr>
  </w:style>
  <w:style w:type="paragraph" w:styleId="CoverKicker">
    <w:name w:val="Cover Kicker"/>
    <w:basedOn w:val="BodyText"/>
    <w:next w:val="BodyText"/>
    <w:pPr>
      <w:spacing w:before="3000" w:after="240"/>
    </w:pPr>
    <w:rPr>
      <w:rFonts w:ascii="Liberation Serif" w:hAnsi="Liberation Serif" w:eastAsia="Noto Serif CJK SC" w:cs="Noto Sans Devanagari"/>
      <w:b/>
      <w:caps/>
      <w:spacing w:val="40"/>
      <w:color w:val="1F3A5F"/>
      <w:sz w:val="24"/>
      <w:szCs w:val="24"/>
    </w:rPr>
  </w:style>
  <w:style w:type="paragraph" w:styleId="CoverTitle">
    <w:name w:val="Cover Title"/>
    <w:basedOn w:val="BodyText"/>
    <w:next w:val="BodyText"/>
    <w:pPr>
      <w:pBdr>
        <w:bottom w:val="single" w:sz="12" w:space="12" w:color="1F3A5F"/>
      </w:pBdr>
      <w:spacing w:before="0" w:after="360" w:line="240" w:lineRule="auto"/>
    </w:pPr>
    <w:rPr>
      <w:rFonts w:ascii="Liberation Serif" w:hAnsi="Liberation Serif" w:eastAsia="Noto Serif CJK SC" w:cs="Noto Sans Devanagari"/>
      <w:b/>
      <w:bCs/>
      <w:sz w:val="64"/>
      <w:szCs w:val="64"/>
    </w:rPr>
  </w:style>
  <w:style w:type="paragraph" w:styleId="CoverSub">
    <w:name w:val="Cover Subtitle"/>
    <w:basedOn w:val="BodyText"/>
    <w:next w:val="BodyText"/>
    <w:pPr>
      <w:spacing w:before="0" w:after="120"/>
    </w:pPr>
    <w:rPr>
      <w:rFonts w:ascii="Liberation Serif" w:hAnsi="Liberation Serif" w:eastAsia="Noto Serif CJK SC" w:cs="Noto Sans Devanagari"/>
      <w:sz w:val="32"/>
      <w:szCs w:val="32"/>
    </w:rPr>
  </w:style>
  <w:style w:type="paragraph" w:styleId="CoverMeta">
    <w:name w:val="Cover Meta"/>
    <w:basedOn w:val="BodyText"/>
    <w:next w:val="BodyText"/>
    <w:pPr>
      <w:spacing w:before="0" w:after="80"/>
    </w:pPr>
    <w:rPr>
      <w:rFonts w:ascii="Liberation Serif" w:hAnsi="Liberation Serif" w:eastAsia="Noto Serif CJK SC" w:cs="Noto Sans Devanagari"/>
      <w:sz w:val="26"/>
      <w:szCs w:val="26"/>
    </w:rPr>
  </w:style>
  <w:style w:type="paragraph" w:styleId="ContentsHeading">
    <w:name w:val="Contents Heading"/>
    <w:basedOn w:val="BodyText"/>
    <w:next w:val="Normal"/>
    <w:pPr>
      <w:keepNext/>
      <w:pageBreakBefore/>
      <w:spacing w:before="0" w:after="240"/>
    </w:pPr>
    <w:rPr>
      <w:rFonts w:ascii="Liberation Serif" w:hAnsi="Liberation Serif" w:eastAsia="Noto Serif CJK SC" w:cs="Noto Sans Devanagari"/>
      <w:b/>
      <w:bCs/>
      <w:color w:val="1F3A5F"/>
      <w:sz w:val="36"/>
      <w:szCs w:val="36"/>
    </w:rPr>
  </w:style>
  <w:style w:type="paragraph" w:styleId="TOC2">
    <w:name w:val="toc 2"/>
    <w:basedOn w:val="BodyText"/>
    <w:next w:val="BodyText"/>
    <w:uiPriority w:val="39"/>
    <w:pPr>
      <w:spacing w:before="100" w:after="20"/>
      <w:ind w:left="0"/>
    </w:pPr>
    <w:rPr>
      <w:rFonts w:ascii="Liberation Serif" w:hAnsi="Liberation Serif" w:eastAsia="Noto Serif CJK SC" w:cs="Noto Sans Devanagari"/>
      <w:b/>
      <w:bCs/>
      <w:sz w:val="22"/>
      <w:szCs w:val="22"/>
    </w:rPr>
  </w:style>
  <w:style w:type="paragraph" w:styleId="TOC3">
    <w:name w:val="toc 3"/>
    <w:basedOn w:val="BodyText"/>
    <w:next w:val="BodyText"/>
    <w:uiPriority w:val="39"/>
    <w:pPr>
      <w:spacing w:before="0" w:after="0"/>
      <w:ind w:left="340"/>
    </w:pPr>
    <w:rPr>
      <w:rFonts w:ascii="Liberation Serif" w:hAnsi="Liberation Serif" w:eastAsia="Noto Serif CJK SC" w:cs="Noto Sans Devanagari"/>
      <w:sz w:val="21"/>
      <w:szCs w:val="21"/>
    </w:rPr>
  </w:style>
  <w:style w:type="paragraph" w:styleId="TOC4">
    <w:name w:val="toc 4"/>
    <w:basedOn w:val="BodyText"/>
    <w:next w:val="BodyText"/>
    <w:uiPriority w:val="39"/>
    <w:pPr>
      <w:spacing w:before="0" w:after="0"/>
      <w:ind w:left="680"/>
    </w:pPr>
    <w:rPr>
      <w:rFonts w:ascii="Liberation Serif" w:hAnsi="Liberation Serif" w:eastAsia="Noto Serif CJK SC" w:cs="Noto Sans Devanagari"/>
      <w:sz w:val="20"/>
      <w:szCs w:val="20"/>
    </w:rPr>
  </w:style>
  <w:style w:type="paragraph" w:styleId="Footer">
    <w:name w:val="footer"/>
    <w:basedOn w:val="Normal"/>
    <w:next w:val="Footer"/>
    <w:pPr>
      <w:spacing w:before="0" w:after="0"/>
      <w:jc w:val="center"/>
    </w:pPr>
    <w:rPr>
      <w:rFonts w:ascii="Liberation Serif" w:hAnsi="Liberation Serif" w:eastAsia="Noto Serif CJK SC" w:cs="Noto Sans Devanagari"/>
      <w:sz w:val="20"/>
      <w:szCs w:val="20"/>
    </w:rPr>
  </w:style>
  <w:style w:type="character" w:styleId="InternalRef">
    <w:name w:val="Internal Reference"/>
    <w:basedOn w:val="DefaultParagraphFont"/>
    <w:rPr>
      <w:color w:val="1F3A5F"/>
    </w:rPr>
  </w:style>
  <w:style w:type="paragraph" w:styleId="SourceNote">
    <w:name w:val="Source Note"/>
    <w:basedOn w:val="BodyText"/>
    <w:next w:val="BodyText"/>
    <w:pPr>
      <w:spacing w:before="0" w:after="200" w:line="252" w:lineRule="auto"/>
    </w:pPr>
    <w:rPr>
      <w:rFonts w:ascii="Liberation Serif" w:hAnsi="Liberation Serif" w:eastAsia="Noto Serif CJK SC" w:cs="Noto Sans Devanagari"/>
      <w:i w:val="0"/>
      <w:color w:val="444444"/>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hubell/funny-firefly" TargetMode="External"/><Relationship Id="rId3" Type="http://schemas.openxmlformats.org/officeDocument/2006/relationships/hyperlink" Target="https://doi.org/10.5281/zenodo.23320026" TargetMode="External"/><Relationship Id="rId4" Type="http://schemas.openxmlformats.org/officeDocument/2006/relationships/hyperlink" Target="https://doi.org/10.5281/zenodo.23133051" TargetMode="External"/><Relationship Id="rId5" Type="http://schemas.openxmlformats.org/officeDocument/2006/relationships/hyperlink" Target="https://doi.org/10.5281/zenodo.23133051" TargetMode="External"/><Relationship Id="rId6" Type="http://schemas.openxmlformats.org/officeDocument/2006/relationships/image" Target="media/image1.png"/><Relationship Id="rId7" Type="http://schemas.openxmlformats.org/officeDocument/2006/relationships/image" Target="media/image2.svg"/><Relationship Id="rId8" Type="http://schemas.openxmlformats.org/officeDocument/2006/relationships/image" Target="media/image3.png"/><Relationship Id="rId9" Type="http://schemas.openxmlformats.org/officeDocument/2006/relationships/image" Target="media/image4.svg"/><Relationship Id="rId10" Type="http://schemas.openxmlformats.org/officeDocument/2006/relationships/image" Target="media/image5.png"/><Relationship Id="rId11" Type="http://schemas.openxmlformats.org/officeDocument/2006/relationships/image" Target="media/image6.svg"/><Relationship Id="rId12" Type="http://schemas.openxmlformats.org/officeDocument/2006/relationships/image" Target="media/image7.png"/><Relationship Id="rId13" Type="http://schemas.openxmlformats.org/officeDocument/2006/relationships/image" Target="media/image8.svg"/><Relationship Id="rId14" Type="http://schemas.openxmlformats.org/officeDocument/2006/relationships/image" Target="media/image9.png"/><Relationship Id="rId15" Type="http://schemas.openxmlformats.org/officeDocument/2006/relationships/image" Target="media/image10.svg"/><Relationship Id="rId16" Type="http://schemas.openxmlformats.org/officeDocument/2006/relationships/image" Target="media/image11.png"/><Relationship Id="rId17" Type="http://schemas.openxmlformats.org/officeDocument/2006/relationships/image" Target="media/image12.svg"/><Relationship Id="rId18" Type="http://schemas.openxmlformats.org/officeDocument/2006/relationships/image" Target="media/image13.png"/><Relationship Id="rId19" Type="http://schemas.openxmlformats.org/officeDocument/2006/relationships/image" Target="media/image14.svg"/><Relationship Id="rId20" Type="http://schemas.openxmlformats.org/officeDocument/2006/relationships/hyperlink" Target="https://github.com/hubell/funny-firefly" TargetMode="External"/><Relationship Id="rId21" Type="http://schemas.openxmlformats.org/officeDocument/2006/relationships/hyperlink" Target="https://github.com/adsblol" TargetMode="External"/><Relationship Id="rId22" Type="http://schemas.openxmlformats.org/officeDocument/2006/relationships/hyperlink" Target="https://doi.org/10.5281/zenodo.23133051" TargetMode="External"/><Relationship Id="rId23" Type="http://schemas.openxmlformats.org/officeDocument/2006/relationships/hyperlink" Target="https://doi.org/10.5281/zenodo.23320026" TargetMode="External"/><Relationship Id="rId24" Type="http://schemas.openxmlformats.org/officeDocument/2006/relationships/hyperlink" Target="https://doi.org/10.3138/FM57-6770-U75U-7727" TargetMode="External"/><Relationship Id="rId25" Type="http://schemas.openxmlformats.org/officeDocument/2006/relationships/hyperlink" Target="https://www.eurocontrol.int/performance/data/download/OPDI/v002/" TargetMode="External"/><Relationship Id="rId26" Type="http://schemas.openxmlformats.org/officeDocument/2006/relationships/hyperlink" Target="https://ansperformance.eu/study/data-challenge/dc2026/" TargetMode="External"/><Relationship Id="rId27" Type="http://schemas.openxmlformats.org/officeDocument/2006/relationships/hyperlink" Target="https://mesonet.agron.iastate.edu/" TargetMode="External"/><Relationship Id="rId28" Type="http://schemas.openxmlformats.org/officeDocument/2006/relationships/hyperlink" Target="https://doi.org/10.1145/507533.507538" TargetMode="External"/><Relationship Id="rId29" Type="http://schemas.openxmlformats.org/officeDocument/2006/relationships/hyperlink" Target="https://github.com/drolbr/Overpass-API" TargetMode="External"/><Relationship Id="rId30" Type="http://schemas.openxmlformats.org/officeDocument/2006/relationships/hyperlink" Target="https://doi.org/10.21105/joss.01518" TargetMode="External"/><Relationship Id="rId31" Type="http://schemas.openxmlformats.org/officeDocument/2006/relationships/hyperlink" Target="https://www.unibw.de/lvk-en/publications/2025_zhr_surface" TargetMode="External"/><Relationship Id="rId32" Type="http://schemas.openxmlformats.org/officeDocument/2006/relationships/hyperlink" Target="https://www.openstreetmap.org/copyright" TargetMode="External"/><Relationship Id="rId33" Type="http://schemas.openxmlformats.org/officeDocument/2006/relationships/hyperlink" Target="https://ourairports.com/data/" TargetMode="External"/><Relationship Id="rId34" Type="http://schemas.openxmlformats.org/officeDocument/2006/relationships/hyperlink" Target="https://doi.org/10.1016/j.asoc.2013.10.004" TargetMode="External"/><Relationship Id="rId35" Type="http://schemas.openxmlformats.org/officeDocument/2006/relationships/hyperlink" Target="https://doi.org/10.1287/trsc.2015.0603" TargetMode="External"/><Relationship Id="rId36" Type="http://schemas.openxmlformats.org/officeDocument/2006/relationships/hyperlink" Target="https://doi.org/10.5281/zenodo.14884702" TargetMode="Externa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 Id="rIdCov1" Type="http://schemas.openxmlformats.org/officeDocument/2006/relationships/hyperlink" Target="https://github.com/hubell/funny-firefly" TargetMode="External"/><Relationship Id="rIdCov2" Type="http://schemas.openxmlformats.org/officeDocument/2006/relationships/hyperlink" Target="https://doi.org/10.5281/zenodo.23320026" TargetMode="External"/><Relationship Id="rIdCov3" Type="http://schemas.openxmlformats.org/officeDocument/2006/relationships/hyperlink" Target="https://doi.org/10.5281/zenodo.23133051" TargetMode="External"/><Relationship Id="rIdFtr1" Type="http://schemas.openxmlformats.org/officeDocument/2006/relationships/footer" Target="footer1.xml"/><Relationship Id="rIdFtr2" Type="http://schemas.openxmlformats.org/officeDocument/2006/relationships/footer" Target="footer2.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ages>1</Pages>
  <Words>43445</Words>
  <Characters>212690</Characters>
  <CharactersWithSpaces>252005</CharactersWithSpaces>
  <Paragraphs>4100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