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Barlow" w:hAnsi="Barlow" w:eastAsia="Barlow"/>
          <w:b w:val="0"/>
          <w:i w:val="0"/>
          <w:color w:val="B5995A"/>
          <w:sz w:val="17"/>
          <w:spacing w:val="60"/>
        </w:rPr>
        <w:t>INSTITUTO NTC DO BRASIL</w:t>
      </w:r>
    </w:p>
    <w:p>
      <w:pPr>
        <w:spacing w:before="8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54"/>
        </w:rPr>
        <w:t>Proposta Comercial — Dicionário de Campos</w:t>
      </w:r>
    </w:p>
    <w:p>
      <w:pPr>
        <w:spacing w:before="0" w:after="240"/>
      </w:pPr>
      <w:r>
        <w:rPr>
          <w:rFonts w:ascii="Barlow" w:hAnsi="Barlow" w:eastAsia="Barlow"/>
          <w:b w:val="0"/>
          <w:i w:val="0"/>
          <w:color w:val="6B6B6B"/>
          <w:sz w:val="22"/>
        </w:rPr>
        <w:t>Base para o template visual do PDF · Módulo CRM do Portal Grupo NTC</w:t>
      </w:r>
    </w:p>
    <w:p>
      <w:pPr>
        <w:spacing w:before="0" w:after="80"/>
      </w:pPr>
      <w:r>
        <w:rPr>
          <w:rFonts w:ascii="Barlow" w:hAnsi="Barlow" w:eastAsia="Barlow"/>
          <w:b w:val="0"/>
          <w:i/>
          <w:color w:val="6B6B6B"/>
          <w:sz w:val="18"/>
        </w:rPr>
        <w:t>Documento gerado em 10 de setembro de 2026 a partir do código em vigor: coleção propostas do Payload, formulário do painel (FormProposta.tsx), camada de escrita (painelCrmEscrita.ts) e o motor de PDF atual (documentoProposta/). Nada aqui é aspiracional — é o que existe hoje.</w:t>
      </w:r>
    </w:p>
    <w:p>
      <w:pPr>
        <w:spacing w:before="44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38"/>
        </w:rPr>
        <w:t>Parte 1 · Campos que o operador edita</w:t>
      </w:r>
    </w:p>
    <w:p>
      <w:pPr>
        <w:spacing w:before="0" w:after="200"/>
        <w:pBdr>
          <w:bottom w:val="single" w:sz="12" w:space="1" w:color="B5995A"/>
        </w:pBdr>
      </w:pPr>
    </w:p>
    <w:p>
      <w:pPr>
        <w:spacing w:before="0" w:after="200"/>
      </w:pPr>
      <w:r>
        <w:rPr>
          <w:rFonts w:ascii="Barlow" w:hAnsi="Barlow" w:eastAsia="Barlow"/>
          <w:b w:val="0"/>
          <w:i w:val="0"/>
          <w:color w:val="3A3A3A"/>
          <w:sz w:val="20"/>
        </w:rPr>
        <w:t>São os 19 campos expostos no wizard do painel, em 5 blocos. O mesmo formulário cria e edita — não há tela de edição separada.</w:t>
      </w:r>
    </w:p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Bloco 1 · Identificação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192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RÓTULO NA TELA</w:t>
            </w:r>
          </w:p>
        </w:tc>
        <w:tc>
          <w:tcPr>
            <w:tcW w:type="dxa" w:w="113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TIPO</w:t>
            </w:r>
          </w:p>
        </w:tc>
        <w:tc>
          <w:tcPr>
            <w:tcW w:type="dxa" w:w="4649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OBSERVAÇÃO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oportunidade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Oportunidade (opcional)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Ao escolher, pré-preenche cliente e programa.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cliente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Cliente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Obrigatório. Aponta para clientes-crm.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programa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Programa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Trocar limpa os módulos já marcados. Pode ficar vazio (proposta customizada).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tipo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Tipo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Programa Completo · Módulo Avulso · Produto/Evento Avulso · Customizada.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Status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Rascunho · Enviada · Em análise · Aprovada · Recusada · Substituída · Expirada.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Blocos 2 e 3 · Escopo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192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RÓTULO NA TELA</w:t>
            </w:r>
          </w:p>
        </w:tc>
        <w:tc>
          <w:tcPr>
            <w:tcW w:type="dxa" w:w="113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TIPO</w:t>
            </w:r>
          </w:p>
        </w:tc>
        <w:tc>
          <w:tcPr>
            <w:tcW w:type="dxa" w:w="4649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OBSERVAÇÃO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modulos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Módulos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Múltipla escolha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Lista filtrada pelo programa selecionado.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eventos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Produtos / Eventos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Múltipla escolha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Catálogo inteiro, sem filtro por programa.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Bloco 4 · Quantitativos e valores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192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RÓTULO NA TELA</w:t>
            </w:r>
          </w:p>
        </w:tc>
        <w:tc>
          <w:tcPr>
            <w:tcW w:type="dxa" w:w="113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TIPO</w:t>
            </w:r>
          </w:p>
        </w:tc>
        <w:tc>
          <w:tcPr>
            <w:tcW w:type="dxa" w:w="4649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OBSERVAÇÃO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valorUnitario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Valor unitário (R$)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Número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Um único valor para toda a proposta — não há preço por item.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qtdPagantes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Qtd. pagantes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Número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Base do cálculo do valor bruto.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cortesias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Cortesias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Número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Não entra no cálculo; soma nos acessos totais.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percDesconto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Desconto (%)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Número 0–100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Percentual, não fração.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modalidade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Modalidade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Texto livre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Sem lista fechada. Ex.: “Híbrido · São Paulo”.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replay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Replay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Texto livre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Ex.: “90 dias”. Sem lista fechada.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Bloco 5 · Condições e responsáveis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192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RÓTULO NA TELA</w:t>
            </w:r>
          </w:p>
        </w:tc>
        <w:tc>
          <w:tcPr>
            <w:tcW w:type="dxa" w:w="113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TIPO</w:t>
            </w:r>
          </w:p>
        </w:tc>
        <w:tc>
          <w:tcPr>
            <w:tcW w:type="dxa" w:w="4649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OBSERVAÇÃO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elaborador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Elaborador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Usuário do painel. Assina o documento hoje.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aprovador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Aprovador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Seleção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Usuário do painel. Registrado, mas não impresso no PDF atual.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validadeDias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Validade (dias)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Número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Padrão 30. Ver a ressalva na Parte 3.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condPagto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Condições de pagamento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Texto longo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Vai para o PDF na seção 3.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condEspecificas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Condições específicas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Texto longo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Bloco opcional; some do PDF se vazio.</w:t>
            </w:r>
          </w:p>
        </w:tc>
      </w:tr>
      <w:tr>
        <w:tc>
          <w:tcPr>
            <w:tcW w:type="dxa" w:w="170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observacoes</w:t>
            </w:r>
          </w:p>
        </w:tc>
        <w:tc>
          <w:tcPr>
            <w:tcW w:type="dxa" w:w="192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Observações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Texto longo</w:t>
            </w:r>
          </w:p>
        </w:tc>
        <w:tc>
          <w:tcPr>
            <w:tcW w:type="dxa" w:w="4649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Uso interno — não aparece no PDF atual.</w:t>
            </w:r>
          </w:p>
        </w:tc>
      </w:tr>
    </w:tbl>
    <w:p>
      <w:pPr>
        <w:spacing w:before="44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38"/>
        </w:rPr>
        <w:t>Parte 2 · Campos que o sistema controla</w:t>
      </w:r>
    </w:p>
    <w:p>
      <w:pPr>
        <w:spacing w:before="0" w:after="200"/>
        <w:pBdr>
          <w:bottom w:val="single" w:sz="12" w:space="1" w:color="B5995A"/>
        </w:pBdr>
      </w:pPr>
    </w:p>
    <w:p>
      <w:pPr>
        <w:spacing w:before="0" w:after="200"/>
      </w:pPr>
      <w:r>
        <w:rPr>
          <w:rFonts w:ascii="Barlow" w:hAnsi="Barlow" w:eastAsia="Barlow"/>
          <w:b w:val="0"/>
          <w:i w:val="0"/>
          <w:color w:val="3A3A3A"/>
          <w:sz w:val="20"/>
        </w:rPr>
        <w:t>Ninguém digita estes. Aparecem no documento, mas são calculados ou atribuídos por um fluxo específico.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3402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 QUE É</w:t>
            </w:r>
          </w:p>
        </w:tc>
        <w:tc>
          <w:tcPr>
            <w:tcW w:type="dxa" w:w="4195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QUEM GRAVA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valorBruto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valorUnitario × qtdPagantes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Recalculado a cada salvamento.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desconto</w:t>
            </w:r>
          </w:p>
        </w:tc>
        <w:tc>
          <w:tcPr>
            <w:tcW w:type="dxa" w:w="340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valorBruto × percDesconto ÷ 100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Recalculado a cada salvamento.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valorLiquido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valorBruto − desconto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Recalculado a cada salvamento.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codigoBase</w:t>
            </w:r>
          </w:p>
        </w:tc>
        <w:tc>
          <w:tcPr>
            <w:tcW w:type="dxa" w:w="340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NTC-PROP-ano-PROGRAMA-UF-CLIENTE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Gerado na criação; imutável depois.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codigo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codigoBase + sufixo -vNN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Gerado na criação e a cada nova versão.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versao</w:t>
            </w:r>
          </w:p>
        </w:tc>
        <w:tc>
          <w:tcPr>
            <w:tcW w:type="dxa" w:w="340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Número sequencial da versão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Só muda pelo botão “Nova versão”.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dataCriacao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Data de emissão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Gravada na criação e na nova versão.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validade</w:t>
            </w:r>
          </w:p>
        </w:tc>
        <w:tc>
          <w:tcPr>
            <w:tcW w:type="dxa" w:w="340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Data-limite da proposta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Gravada na criação e na nova versão.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motivoRevisao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Por que a versão nova existe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Digitado no fluxo “Nova versão”, não no formulário.</w:t>
            </w:r>
          </w:p>
        </w:tc>
      </w:tr>
      <w:tr>
        <w:tc>
          <w:tcPr>
            <w:tcW w:type="dxa" w:w="181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substitui</w:t>
            </w:r>
          </w:p>
        </w:tc>
        <w:tc>
          <w:tcPr>
            <w:tcW w:type="dxa" w:w="340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Código da versão anterior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Preenchido pelo fluxo “Nova versão”.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pdfGerado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Vínculo com o PDF salvo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Preenchido pelo botão “Gerar PDF”.</w:t>
            </w:r>
          </w:p>
        </w:tc>
      </w:tr>
    </w:tbl>
    <w:p>
      <w:pPr>
        <w:spacing w:before="160" w:after="120"/>
      </w:pPr>
      <w:r>
        <w:rPr>
          <w:rFonts w:ascii="Barlow" w:hAnsi="Barlow" w:eastAsia="Barlow"/>
          <w:b w:val="0"/>
          <w:i/>
          <w:color w:val="6B6B6B"/>
          <w:sz w:val="18"/>
        </w:rPr>
        <w:t>Há ainda um número que o formulário mostra ao vivo mas que não é campo do banco: acessos totais (pagantes + cortesias). O PDF atual imprime esse total na abertura do Quadro Comercial.</w:t>
      </w:r>
    </w:p>
    <w:p>
      <w:pPr>
        <w:spacing w:before="44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38"/>
        </w:rPr>
        <w:t>Parte 3 · Dados disponíveis por relação</w:t>
      </w:r>
    </w:p>
    <w:p>
      <w:pPr>
        <w:spacing w:before="0" w:after="200"/>
        <w:pBdr>
          <w:bottom w:val="single" w:sz="12" w:space="1" w:color="B5995A"/>
        </w:pBdr>
      </w:pPr>
    </w:p>
    <w:p>
      <w:pPr>
        <w:spacing w:before="0" w:after="200"/>
      </w:pPr>
      <w:r>
        <w:rPr>
          <w:rFonts w:ascii="Barlow" w:hAnsi="Barlow" w:eastAsia="Barlow"/>
          <w:b w:val="0"/>
          <w:i w:val="0"/>
          <w:color w:val="3A3A3A"/>
          <w:sz w:val="20"/>
        </w:rPr>
        <w:t>Não são campos da proposta, mas chegam nela por vínculo e podem ser impressos sem criar nada novo no modelo. Os marcados com ● já vão para o PDF hoje; os demais estão no banco e só não foram mapeados.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3249"/>
        <w:gridCol w:w="3249"/>
        <w:gridCol w:w="3249"/>
      </w:tblGrid>
      <w:tr>
        <w:tc>
          <w:tcPr>
            <w:tcW w:type="dxa" w:w="260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ORIGEM</w:t>
            </w:r>
          </w:p>
        </w:tc>
        <w:tc>
          <w:tcPr>
            <w:tcW w:type="dxa" w:w="4762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CAMPOS</w:t>
            </w:r>
          </w:p>
        </w:tc>
        <w:tc>
          <w:tcPr>
            <w:tcW w:type="dxa" w:w="204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NO PDF HOJE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Cliente (clientes-crm)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orgao ●, sigla ●, uf ●, municipio ●, dirigente ●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Sim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Cliente (clientes-crm)</w:t>
            </w:r>
          </w:p>
        </w:tc>
        <w:tc>
          <w:tcPr>
            <w:tcW w:type="dxa" w:w="476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cnpj, cargoDirigente, email, tipo, esfera, area, responsavel</w:t>
            </w:r>
          </w:p>
        </w:tc>
        <w:tc>
          <w:tcPr>
            <w:tcW w:type="dxa" w:w="204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Não — disponível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Programa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nomeCompleto ●, sigla ●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Sim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Módulo</w:t>
            </w:r>
          </w:p>
        </w:tc>
        <w:tc>
          <w:tcPr>
            <w:tcW w:type="dxa" w:w="476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numero ●, titulo ●, cargaHoraria ●</w:t>
            </w:r>
          </w:p>
        </w:tc>
        <w:tc>
          <w:tcPr>
            <w:tcW w:type="dxa" w:w="204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Sim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Módulo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ementa (texto rico), comercial.certificacao, comercial.replay, comercial.valor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Não — disponível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Evento</w:t>
            </w:r>
          </w:p>
        </w:tc>
        <w:tc>
          <w:tcPr>
            <w:tcW w:type="dxa" w:w="4762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nome ●, cargaHoraria ●</w:t>
            </w:r>
          </w:p>
        </w:tc>
        <w:tc>
          <w:tcPr>
            <w:tcW w:type="dxa" w:w="204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Sim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Elaborador (users)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nome ●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Sim</w:t>
            </w:r>
          </w:p>
        </w:tc>
      </w:tr>
    </w:tbl>
    <w:p>
      <w:r>
        <w:br w:type="page"/>
      </w:r>
    </w:p>
    <w:p>
      <w:pPr>
        <w:spacing w:before="44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38"/>
        </w:rPr>
        <w:t>Parte 4 · Proposta fictícia — a ficha completa</w:t>
      </w:r>
    </w:p>
    <w:p>
      <w:pPr>
        <w:spacing w:before="0" w:after="200"/>
        <w:pBdr>
          <w:bottom w:val="single" w:sz="12" w:space="1" w:color="B5995A"/>
        </w:pBdr>
      </w:pPr>
    </w:p>
    <w:p>
      <w:pPr>
        <w:spacing w:before="0" w:after="200"/>
      </w:pPr>
      <w:r>
        <w:rPr>
          <w:rFonts w:ascii="Barlow" w:hAnsi="Barlow" w:eastAsia="Barlow"/>
          <w:b w:val="0"/>
          <w:i w:val="0"/>
          <w:color w:val="3A3A3A"/>
          <w:sz w:val="20"/>
        </w:rPr>
        <w:t>Dados inventados, mas com o formato exato que o sistema produz — inclusive o código, gerado pela regra real a partir de programa, UF e sigla do cliente.</w:t>
      </w:r>
    </w:p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Identificação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4873"/>
        <w:gridCol w:w="4873"/>
      </w:tblGrid>
      <w:tr>
        <w:tc>
          <w:tcPr>
            <w:tcW w:type="dxa" w:w="260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6803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codigoBase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NTC-PROP-2026-PROGE-SP-SMECAMPINAS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codigo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NTC-PROP-2026-PROGE-SP-SMECAMPINAS-v02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versao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2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substitui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NTC-PROP-2026-PROGE-SP-SMECAMPINAS-v01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motivoRevisao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Ampliação do quantitativo de 80 para 120 inscrições e inclusão do Módulo 03.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status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Enviada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tipo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Programa Completo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dataCriacao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10/09/2026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validadeDias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30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validade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10/10/2026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Vínculos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4873"/>
        <w:gridCol w:w="4873"/>
      </w:tblGrid>
      <w:tr>
        <w:tc>
          <w:tcPr>
            <w:tcW w:type="dxa" w:w="260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6803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oportunidade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OPT-2026-0184 — Secretaria Municipal de Educação de Campinas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cliente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Secretaria Municipal de Educação de Campinas (SME-Campinas) · SP · CNPJ 46.068.425/0001-33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 xml:space="preserve">  ↳ dirigente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Marina Toledo Vasconcelos — Secretária Municipal de Educação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programa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PROGE — Gestão Escolar, Coordenação Pedagógica e Resultados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modulos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M1 · Gestão Escolar em Transformação: Resultados, Recursos e Governança Democrática (40h)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M3 · Coordenação Pedagógica Estratégica: Mentoria, Recomposição e Gestão da Aprendizagem (40h)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eventos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— (nenhum produto avulso vinculado)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elaborador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Ana Paula Ribeiro Duarte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aprovador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Carlos Eduardo Menezes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Quantitativos e valores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2835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VALOR</w:t>
            </w:r>
          </w:p>
        </w:tc>
        <w:tc>
          <w:tcPr>
            <w:tcW w:type="dxa" w:w="4195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ORIGEM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valorUnitario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R$ 1.890,00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digitado</w:t>
            </w:r>
          </w:p>
        </w:tc>
      </w:tr>
      <w:tr>
        <w:tc>
          <w:tcPr>
            <w:tcW w:type="dxa" w:w="238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qtdPagantes</w:t>
            </w:r>
          </w:p>
        </w:tc>
        <w:tc>
          <w:tcPr>
            <w:tcW w:type="dxa" w:w="283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120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digitado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cortesias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8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digitado</w:t>
            </w:r>
          </w:p>
        </w:tc>
      </w:tr>
      <w:tr>
        <w:tc>
          <w:tcPr>
            <w:tcW w:type="dxa" w:w="238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percDesconto</w:t>
            </w:r>
          </w:p>
        </w:tc>
        <w:tc>
          <w:tcPr>
            <w:tcW w:type="dxa" w:w="283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12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digitado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valorBruto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R$ 226.800,00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calculado · 1.890,00 × 120</w:t>
            </w:r>
          </w:p>
        </w:tc>
      </w:tr>
      <w:tr>
        <w:tc>
          <w:tcPr>
            <w:tcW w:type="dxa" w:w="238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desconto</w:t>
            </w:r>
          </w:p>
        </w:tc>
        <w:tc>
          <w:tcPr>
            <w:tcW w:type="dxa" w:w="283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R$ 27.216,00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calculado · 226.800,00 × 12%</w:t>
            </w:r>
          </w:p>
        </w:tc>
      </w:tr>
      <w:tr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valorLiquido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R$ 199.584,00</w:t>
            </w:r>
          </w:p>
        </w:tc>
        <w:tc>
          <w:tcPr>
            <w:tcW w:type="dxa" w:w="4195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calculado · 226.800,00 − 27.216,00</w:t>
            </w:r>
          </w:p>
        </w:tc>
      </w:tr>
      <w:tr>
        <w:tc>
          <w:tcPr>
            <w:tcW w:type="dxa" w:w="238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acessos totais</w:t>
            </w:r>
          </w:p>
        </w:tc>
        <w:tc>
          <w:tcPr>
            <w:tcW w:type="dxa" w:w="283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128</w:t>
            </w:r>
          </w:p>
        </w:tc>
        <w:tc>
          <w:tcPr>
            <w:tcW w:type="dxa" w:w="4195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calculado · 120 + 8 (não é campo do banco)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Condições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4873"/>
        <w:gridCol w:w="4873"/>
      </w:tblGrid>
      <w:tr>
        <w:tc>
          <w:tcPr>
            <w:tcW w:type="dxa" w:w="260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6803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modalidade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Híbrido · encontros presenciais em Campinas e trilha síncrona on-line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replay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90 dias a contar do encerramento de cada módulo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condPagto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Empenho prévio. Pagamento em 2 parcelas iguais, 30 e 60 dias após a emissão da Nota Fiscal.</w:t>
            </w:r>
          </w:p>
        </w:tc>
      </w:tr>
      <w:tr>
        <w:tc>
          <w:tcPr>
            <w:tcW w:type="dxa" w:w="260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condEspecificas</w:t>
            </w:r>
          </w:p>
        </w:tc>
        <w:tc>
          <w:tcPr>
            <w:tcW w:type="dxa" w:w="680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Certificação institucional de 80 horas emitida pelo Instituto NTC do Brasil. Material didático digital incluso. Deslocamento e hospedagem do corpo docente inclusos no valor. Turma mínima de 60 participantes para manutenção do desconto.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observacoes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Cliente sinalizou intenção de ampliar para a rede estadual em 2027. Manter contato com a assessoria técnica após o 2º módulo. (Uso interno — não sai no PDF.)</w:t>
            </w:r>
          </w:p>
        </w:tc>
      </w:tr>
    </w:tbl>
    <w:p>
      <w:r>
        <w:br w:type="page"/>
      </w:r>
    </w:p>
    <w:p>
      <w:pPr>
        <w:spacing w:before="44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38"/>
        </w:rPr>
        <w:t>Parte 5 · Como esses dados saem no PDF de hoje</w:t>
      </w:r>
    </w:p>
    <w:p>
      <w:pPr>
        <w:spacing w:before="0" w:after="200"/>
        <w:pBdr>
          <w:bottom w:val="single" w:sz="12" w:space="1" w:color="B5995A"/>
        </w:pBdr>
      </w:pPr>
    </w:p>
    <w:p>
      <w:pPr>
        <w:spacing w:before="0" w:after="240"/>
      </w:pPr>
      <w:r>
        <w:rPr>
          <w:rFonts w:ascii="Barlow" w:hAnsi="Barlow" w:eastAsia="Barlow"/>
          <w:b w:val="0"/>
          <w:i w:val="0"/>
          <w:color w:val="3A3A3A"/>
          <w:sz w:val="20"/>
        </w:rPr>
        <w:t>Reprodução fiel do que o motor atual gera: uma capa e três seções numeradas. É este o desenho que o template novo vai substituir.</w:t>
      </w:r>
    </w:p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Capa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9746"/>
      </w:tblGrid>
      <w:tr>
        <w:tc>
          <w:tcPr>
            <w:tcW w:type="dxa" w:w="9746"/>
            <w:shd w:val="clear" w:color="auto" w:fill="11365E"/>
          </w:tcPr>
          <w:p>
            <w:r/>
          </w:p>
          <w:p>
            <w:pPr>
              <w:spacing w:before="160" w:after="160"/>
            </w:pPr>
            <w:r>
              <w:rPr>
                <w:rFonts w:ascii="Barlow" w:hAnsi="Barlow"/>
                <w:b w:val="0"/>
                <w:color w:val="B5995A"/>
                <w:sz w:val="16"/>
                <w:spacing w:val="60"/>
              </w:rPr>
              <w:t>INSTITUTO NTC DO BRASIL</w:t>
            </w:r>
          </w:p>
          <w:p>
            <w:pPr>
              <w:spacing w:before="0" w:after="80"/>
            </w:pPr>
            <w:r>
              <w:rPr>
                <w:rFonts w:ascii="Barlow" w:hAnsi="Barlow"/>
                <w:b w:val="0"/>
                <w:color w:val="F4EFE6"/>
                <w:sz w:val="19"/>
              </w:rPr>
              <w:t>Proposta Técnico-Comercial</w:t>
            </w:r>
          </w:p>
          <w:p>
            <w:pPr>
              <w:spacing w:before="0" w:after="320"/>
            </w:pPr>
            <w:r>
              <w:rPr>
                <w:rFonts w:ascii="Barlow" w:hAnsi="Barlow"/>
                <w:b w:val="0"/>
                <w:color w:val="F4EFE6"/>
                <w:sz w:val="19"/>
              </w:rPr>
              <w:t>Trilha Completa de Programa Estratégico</w:t>
            </w:r>
          </w:p>
          <w:p>
            <w:pPr>
              <w:spacing w:before="0" w:after="120"/>
            </w:pPr>
            <w:r>
              <w:rPr>
                <w:rFonts w:ascii="Cormorant Garamond" w:hAnsi="Cormorant Garamond"/>
                <w:b w:val="0"/>
                <w:color w:val="FFFFFF"/>
                <w:sz w:val="40"/>
              </w:rPr>
              <w:t>PROGE — Gestão Escolar, Coordenação Pedagógica e Resultados</w:t>
            </w:r>
          </w:p>
          <w:p>
            <w:pPr>
              <w:spacing w:before="0" w:after="200"/>
            </w:pPr>
            <w:r>
              <w:rPr>
                <w:rFonts w:ascii="Barlow" w:hAnsi="Barlow"/>
                <w:b w:val="0"/>
                <w:color w:val="B5995A"/>
                <w:sz w:val="20"/>
              </w:rPr>
              <w:t>—————</w:t>
            </w:r>
          </w:p>
          <w:p>
            <w:pPr>
              <w:spacing w:before="0" w:after="40"/>
            </w:pPr>
            <w:r>
              <w:rPr>
                <w:rFonts w:ascii="Barlow" w:hAnsi="Barlow"/>
                <w:b w:val="0"/>
                <w:color w:val="F4EFE6"/>
                <w:sz w:val="17"/>
              </w:rPr>
              <w:t>Destinada a</w:t>
            </w:r>
          </w:p>
          <w:p>
            <w:pPr>
              <w:spacing w:before="0" w:after="360"/>
            </w:pPr>
            <w:r>
              <w:rPr>
                <w:rFonts w:ascii="Cormorant Garamond" w:hAnsi="Cormorant Garamond"/>
                <w:b w:val="0"/>
                <w:color w:val="FFFFFF"/>
                <w:sz w:val="25"/>
              </w:rPr>
              <w:t>Secretaria Municipal de Educação de Campinas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Cliente  </w:t>
            </w:r>
            <w:r>
              <w:rPr>
                <w:rFonts w:ascii="Barlow" w:hAnsi="Barlow"/>
                <w:color w:val="F4EFE6"/>
                <w:sz w:val="16"/>
              </w:rPr>
              <w:t>SME-CAMPINAS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UF · Município  </w:t>
            </w:r>
            <w:r>
              <w:rPr>
                <w:rFonts w:ascii="Barlow" w:hAnsi="Barlow"/>
                <w:color w:val="F4EFE6"/>
                <w:sz w:val="16"/>
              </w:rPr>
              <w:t>SP · Campinas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Dirigente  </w:t>
            </w:r>
            <w:r>
              <w:rPr>
                <w:rFonts w:ascii="Barlow" w:hAnsi="Barlow"/>
                <w:color w:val="F4EFE6"/>
                <w:sz w:val="16"/>
              </w:rPr>
              <w:t>Marina Toledo Vasconcelos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Modalidade  </w:t>
            </w:r>
            <w:r>
              <w:rPr>
                <w:rFonts w:ascii="Barlow" w:hAnsi="Barlow"/>
                <w:color w:val="F4EFE6"/>
                <w:sz w:val="16"/>
              </w:rPr>
              <w:t>Híbrido · encontros presenciais em Campinas e trilha síncrona on-line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Emissão  </w:t>
            </w:r>
            <w:r>
              <w:rPr>
                <w:rFonts w:ascii="Barlow" w:hAnsi="Barlow"/>
                <w:color w:val="F4EFE6"/>
                <w:sz w:val="16"/>
              </w:rPr>
              <w:t>10/09/2026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Validade  </w:t>
            </w:r>
            <w:r>
              <w:rPr>
                <w:rFonts w:ascii="Barlow" w:hAnsi="Barlow"/>
                <w:color w:val="F4EFE6"/>
                <w:sz w:val="16"/>
              </w:rPr>
              <w:t>10/10/2026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Versão  </w:t>
            </w:r>
            <w:r>
              <w:rPr>
                <w:rFonts w:ascii="Barlow" w:hAnsi="Barlow"/>
                <w:color w:val="F4EFE6"/>
                <w:sz w:val="16"/>
              </w:rPr>
              <w:t>v02</w:t>
            </w:r>
          </w:p>
          <w:p>
            <w:pPr>
              <w:spacing w:before="0" w:after="40"/>
            </w:pPr>
            <w:r>
              <w:rPr>
                <w:rFonts w:ascii="Barlow" w:hAnsi="Barlow"/>
                <w:b/>
                <w:color w:val="B5995A"/>
                <w:sz w:val="16"/>
              </w:rPr>
              <w:t xml:space="preserve">Elaborador  </w:t>
            </w:r>
            <w:r>
              <w:rPr>
                <w:rFonts w:ascii="Barlow" w:hAnsi="Barlow"/>
                <w:color w:val="F4EFE6"/>
                <w:sz w:val="16"/>
              </w:rPr>
              <w:t>Ana Paula Ribeiro Duarte</w:t>
            </w:r>
          </w:p>
          <w:p>
            <w:pPr>
              <w:spacing w:before="200" w:after="160"/>
            </w:pPr>
            <w:r>
              <w:rPr>
                <w:rFonts w:ascii="Barlow" w:hAnsi="Barlow"/>
                <w:b w:val="0"/>
                <w:color w:val="B5995A"/>
                <w:sz w:val="17"/>
              </w:rPr>
              <w:t>NTC-PROP-2026-PROGE-SP-SMECAMPINAS-v02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1 · Dados de Identificação da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7143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Código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NTC-PROP-2026-PROGE-SP-SMECAMPINAS-v02</w:t>
            </w:r>
          </w:p>
        </w:tc>
      </w:tr>
      <w:tr>
        <w:tc>
          <w:tcPr>
            <w:tcW w:type="dxa" w:w="226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Versão</w:t>
            </w:r>
          </w:p>
        </w:tc>
        <w:tc>
          <w:tcPr>
            <w:tcW w:type="dxa" w:w="714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v02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Cliente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Secretaria Municipal de Educação de Campinas (SME-CAMPINAS)</w:t>
            </w:r>
          </w:p>
        </w:tc>
      </w:tr>
      <w:tr>
        <w:tc>
          <w:tcPr>
            <w:tcW w:type="dxa" w:w="226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Programa</w:t>
            </w:r>
          </w:p>
        </w:tc>
        <w:tc>
          <w:tcPr>
            <w:tcW w:type="dxa" w:w="714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Gestão Escolar, Coordenação Pedagógica e Resultados (PROGE)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Emissão</w:t>
            </w:r>
          </w:p>
        </w:tc>
        <w:tc>
          <w:tcPr>
            <w:tcW w:type="dxa" w:w="7143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10/09/2026</w:t>
            </w:r>
          </w:p>
        </w:tc>
      </w:tr>
      <w:tr>
        <w:tc>
          <w:tcPr>
            <w:tcW w:type="dxa" w:w="2268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Validade</w:t>
            </w:r>
          </w:p>
        </w:tc>
        <w:tc>
          <w:tcPr>
            <w:tcW w:type="dxa" w:w="7143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10/10/2026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2 · Quadro Comercial</w:t>
      </w:r>
    </w:p>
    <w:p>
      <w:pPr>
        <w:spacing w:before="0" w:after="160"/>
      </w:pPr>
      <w:r>
        <w:rPr>
          <w:rFonts w:ascii="Barlow" w:hAnsi="Barlow" w:eastAsia="Barlow"/>
          <w:b w:val="0"/>
          <w:i w:val="0"/>
          <w:color w:val="3A3A3A"/>
          <w:sz w:val="20"/>
        </w:rPr>
        <w:t>Apresentamos o quadro de investimento da presente proposta, fundamentado em quantitativo de 120 inscrição(ões) pagante(s) e 8 cortesia(s) institucional(is), totalizando 128 acessos.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3249"/>
        <w:gridCol w:w="3249"/>
        <w:gridCol w:w="3249"/>
      </w:tblGrid>
      <w:tr>
        <w:tc>
          <w:tcPr>
            <w:tcW w:type="dxa" w:w="6236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ITEM</w:t>
            </w:r>
          </w:p>
        </w:tc>
        <w:tc>
          <w:tcPr>
            <w:tcW w:type="dxa" w:w="113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CH</w:t>
            </w:r>
          </w:p>
        </w:tc>
        <w:tc>
          <w:tcPr>
            <w:tcW w:type="dxa" w:w="204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VALOR UNITÁRIO</w:t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M1 · Gestão Escolar em Transformação: Resultados, Recursos e Governança Democrática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40h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R$ 1.890,00</w:t>
            </w:r>
          </w:p>
        </w:tc>
      </w:tr>
      <w:tr>
        <w:tc>
          <w:tcPr>
            <w:tcW w:type="dxa" w:w="6236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M3 · Coordenação Pedagógica Estratégica: Mentoria, Recomposição e Gestão da Aprendizagem</w:t>
            </w:r>
          </w:p>
        </w:tc>
        <w:tc>
          <w:tcPr>
            <w:tcW w:type="dxa" w:w="113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40h</w:t>
            </w:r>
          </w:p>
        </w:tc>
        <w:tc>
          <w:tcPr>
            <w:tcW w:type="dxa" w:w="204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R$ 1.890,00</w:t>
            </w:r>
          </w:p>
        </w:tc>
      </w:tr>
    </w:tbl>
    <w:p>
      <w:pPr>
        <w:spacing w:before="0" w:after="80"/>
      </w:pPr>
      <w:r>
        <w:rPr>
          <w:rFonts w:ascii="Barlow" w:hAnsi="Barlow" w:eastAsia="Barlow"/>
          <w:b w:val="0"/>
          <w:i w:val="0"/>
          <w:color w:val="3A3A3A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4873"/>
        <w:gridCol w:w="4873"/>
      </w:tblGrid>
      <w:tr>
        <w:tc>
          <w:tcPr>
            <w:tcW w:type="dxa" w:w="7370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COMPOSIÇÃO</w:t>
            </w:r>
          </w:p>
        </w:tc>
        <w:tc>
          <w:tcPr>
            <w:tcW w:type="dxa" w:w="2041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VALOR</w:t>
            </w:r>
          </w:p>
        </w:tc>
      </w:tr>
      <w:tr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Valor bruto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R$ 226.800,00</w:t>
            </w:r>
          </w:p>
        </w:tc>
      </w:tr>
      <w:tr>
        <w:tc>
          <w:tcPr>
            <w:tcW w:type="dxa" w:w="7370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Desconto institucional (12%)</w:t>
            </w:r>
          </w:p>
        </w:tc>
        <w:tc>
          <w:tcPr>
            <w:tcW w:type="dxa" w:w="2041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R$ 27.216,00</w:t>
            </w:r>
          </w:p>
        </w:tc>
      </w:tr>
      <w:tr>
        <w:tc>
          <w:tcPr>
            <w:tcW w:type="dxa" w:w="7370"/>
            <w:shd w:val="clear" w:color="auto" w:fill="11365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Barlow" w:hAnsi="Barlow"/>
                <w:b/>
                <w:color w:val="FFFFFF"/>
                <w:sz w:val="18"/>
              </w:rPr>
              <w:t>VALOR LÍQUIDO DA PROPOSTA</w:t>
            </w:r>
          </w:p>
        </w:tc>
        <w:tc>
          <w:tcPr>
            <w:tcW w:type="dxa" w:w="2041"/>
            <w:shd w:val="clear" w:color="auto" w:fill="11365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Barlow" w:hAnsi="Barlow"/>
                <w:b/>
                <w:color w:val="FFFFFF"/>
                <w:sz w:val="18"/>
              </w:rPr>
              <w:t>R$ 199.584,00</w:t>
            </w:r>
          </w:p>
        </w:tc>
      </w:tr>
    </w:tbl>
    <w:p>
      <w:pPr>
        <w:spacing w:before="280" w:after="100"/>
      </w:pPr>
      <w:r>
        <w:rPr>
          <w:rFonts w:ascii="Barlow" w:hAnsi="Barlow" w:eastAsia="Barlow"/>
          <w:b/>
          <w:i w:val="0"/>
          <w:color w:val="11365E"/>
          <w:sz w:val="23"/>
        </w:rPr>
        <w:t>3 · Condições Comerciais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3DDD2"/>
          <w:left w:val="single" w:sz="4" w:space="0" w:color="E3DDD2"/>
          <w:bottom w:val="single" w:sz="4" w:space="0" w:color="E3DDD2"/>
          <w:right w:val="single" w:sz="4" w:space="0" w:color="E3DDD2"/>
          <w:insideH w:val="single" w:sz="4" w:space="0" w:color="E3DDD2"/>
          <w:insideV w:val="single" w:sz="4" w:space="0" w:color="E3DDD2"/>
        </w:tblBorders>
      </w:tblPr>
      <w:tblGrid>
        <w:gridCol w:w="4873"/>
        <w:gridCol w:w="4873"/>
      </w:tblGrid>
      <w:tr>
        <w:tc>
          <w:tcPr>
            <w:tcW w:type="dxa" w:w="2494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CAMPO</w:t>
            </w:r>
          </w:p>
        </w:tc>
        <w:tc>
          <w:tcPr>
            <w:tcW w:type="dxa" w:w="6917"/>
            <w:shd w:val="clear" w:color="auto" w:fill="11365E"/>
          </w:tcPr>
          <w:p>
            <w:pPr>
              <w:spacing w:before="60" w:after="60"/>
            </w:pPr>
            <w:r/>
            <w:r>
              <w:rPr>
                <w:rFonts w:ascii="Barlow" w:hAnsi="Barlow"/>
                <w:b/>
                <w:color w:val="FFFFFF"/>
                <w:sz w:val="15"/>
                <w:spacing w:val="20"/>
              </w:rPr>
              <w:t>CONTEÚDO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Forma de Pagamento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Empenho prévio. Pagamento em 2 parcelas iguais, 30 e 60 dias após a emissão da Nota Fiscal.</w:t>
            </w:r>
          </w:p>
        </w:tc>
      </w:tr>
      <w:tr>
        <w:tc>
          <w:tcPr>
            <w:tcW w:type="dxa" w:w="249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Modalidade</w:t>
            </w:r>
          </w:p>
        </w:tc>
        <w:tc>
          <w:tcPr>
            <w:tcW w:type="dxa" w:w="6917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Híbrido · encontros presenciais em Campinas e trilha síncrona on-line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Período de Replay</w:t>
            </w:r>
          </w:p>
        </w:tc>
        <w:tc>
          <w:tcPr>
            <w:tcW w:type="dxa" w:w="6917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90 dias a contar do encerramento de cada módulo</w:t>
            </w:r>
          </w:p>
        </w:tc>
      </w:tr>
      <w:tr>
        <w:tc>
          <w:tcPr>
            <w:tcW w:type="dxa" w:w="2494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b/>
                <w:color w:val="11365E"/>
                <w:sz w:val="17"/>
              </w:rPr>
              <w:t>Validade da Proposta</w:t>
            </w:r>
          </w:p>
        </w:tc>
        <w:tc>
          <w:tcPr>
            <w:tcW w:type="dxa" w:w="6917"/>
            <w:shd w:val="clear" w:color="auto" w:fill="F4EFE6"/>
          </w:tcPr>
          <w:p>
            <w:pPr>
              <w:spacing w:before="40" w:after="40"/>
            </w:pPr>
            <w:r/>
            <w:r>
              <w:rPr>
                <w:rFonts w:ascii="Barlow" w:hAnsi="Barlow"/>
                <w:color w:val="3A3A3A"/>
                <w:sz w:val="17"/>
              </w:rPr>
              <w:t>10/10/2026</w:t>
            </w:r>
          </w:p>
        </w:tc>
      </w:tr>
    </w:tbl>
    <w:p>
      <w:pPr>
        <w:spacing w:before="200" w:after="60"/>
      </w:pPr>
      <w:r>
        <w:rPr>
          <w:rFonts w:ascii="Barlow" w:hAnsi="Barlow" w:eastAsia="Barlow"/>
          <w:b/>
          <w:i w:val="0"/>
          <w:color w:val="11365E"/>
          <w:sz w:val="20"/>
        </w:rPr>
        <w:t>Condições Específicas</w:t>
      </w:r>
    </w:p>
    <w:p>
      <w:pPr>
        <w:spacing w:before="0" w:after="120"/>
      </w:pPr>
      <w:r>
        <w:rPr>
          <w:rFonts w:ascii="Barlow" w:hAnsi="Barlow" w:eastAsia="Barlow"/>
          <w:b w:val="0"/>
          <w:i w:val="0"/>
          <w:color w:val="3A3A3A"/>
          <w:sz w:val="20"/>
        </w:rPr>
        <w:t>Certificação institucional de 80 horas emitida pelo Instituto NTC do Brasil. Material didático digital incluso. Deslocamento e hospedagem do corpo docente inclusos no valor. Turma mínima de 60 participantes para manutenção do desconto.</w:t>
      </w:r>
    </w:p>
    <w:p>
      <w:r>
        <w:br w:type="page"/>
      </w:r>
    </w:p>
    <w:p>
      <w:pPr>
        <w:spacing w:before="440" w:after="40"/>
      </w:pPr>
      <w:r>
        <w:rPr>
          <w:rFonts w:ascii="Cormorant Garamond" w:hAnsi="Cormorant Garamond" w:eastAsia="Cormorant Garamond"/>
          <w:b w:val="0"/>
          <w:i w:val="0"/>
          <w:color w:val="11365E"/>
          <w:sz w:val="38"/>
        </w:rPr>
        <w:t>Parte 6 · Ressalvas para quem desenhar o template</w:t>
      </w:r>
    </w:p>
    <w:p>
      <w:pPr>
        <w:spacing w:before="0" w:after="200"/>
        <w:pBdr>
          <w:bottom w:val="single" w:sz="12" w:space="1" w:color="B5995A"/>
        </w:pBdr>
      </w:pPr>
    </w:p>
    <w:p>
      <w:pPr>
        <w:spacing w:before="200" w:after="60"/>
      </w:pPr>
      <w:r>
        <w:rPr>
          <w:rFonts w:ascii="Barlow" w:hAnsi="Barlow" w:eastAsia="Barlow"/>
          <w:b/>
          <w:i w:val="0"/>
          <w:color w:val="8E2B27"/>
          <w:sz w:val="20"/>
        </w:rPr>
        <w:t>A validade não acompanha a “validade em dias” depois de criada.</w:t>
      </w:r>
    </w:p>
    <w:p>
      <w:pPr>
        <w:spacing w:before="0" w:after="120"/>
      </w:pPr>
      <w:r>
        <w:rPr>
          <w:rFonts w:ascii="Barlow" w:hAnsi="Barlow" w:eastAsia="Barlow"/>
          <w:b w:val="0"/>
          <w:i w:val="0"/>
          <w:color w:val="3A3A3A"/>
          <w:sz w:val="20"/>
        </w:rPr>
        <w:t>A data de validade é gravada só na criação e na nova versão. Editar “Validade (dias)” de 30 para 60 numa proposta existente muda o número, mas a data continua a original. Se o template imprimir “válida até”, o mais seguro é derivar de dataCriacao + validadeDias em vez de usar o campo validade — ou corrigirmos a camada de escrita antes de subir o template.</w:t>
      </w:r>
    </w:p>
    <w:p>
      <w:pPr>
        <w:spacing w:before="200" w:after="60"/>
      </w:pPr>
      <w:r>
        <w:rPr>
          <w:rFonts w:ascii="Barlow" w:hAnsi="Barlow" w:eastAsia="Barlow"/>
          <w:b/>
          <w:i w:val="0"/>
          <w:color w:val="8E2B27"/>
          <w:sz w:val="20"/>
        </w:rPr>
        <w:t>Há um único valor unitário para a proposta inteira.</w:t>
      </w:r>
    </w:p>
    <w:p>
      <w:pPr>
        <w:spacing w:before="0" w:after="120"/>
      </w:pPr>
      <w:r>
        <w:rPr>
          <w:rFonts w:ascii="Barlow" w:hAnsi="Barlow" w:eastAsia="Barlow"/>
          <w:b w:val="0"/>
          <w:i w:val="0"/>
          <w:color w:val="3A3A3A"/>
          <w:sz w:val="20"/>
        </w:rPr>
        <w:t>O mesmo número é repetido em cada linha de item do PDF. Se o template previr uma tabela com preço distinto por módulo ou evento, isso é campo novo no modelo — a coleção de módulos tem um valor de referência, mas a proposta não o utiliza.</w:t>
      </w:r>
    </w:p>
    <w:p>
      <w:pPr>
        <w:spacing w:before="200" w:after="60"/>
      </w:pPr>
      <w:r>
        <w:rPr>
          <w:rFonts w:ascii="Barlow" w:hAnsi="Barlow" w:eastAsia="Barlow"/>
          <w:b/>
          <w:i w:val="0"/>
          <w:color w:val="8E2B27"/>
          <w:sz w:val="20"/>
        </w:rPr>
        <w:t>Cinco campos existem e não são impressos hoje.</w:t>
      </w:r>
    </w:p>
    <w:p>
      <w:pPr>
        <w:spacing w:before="0" w:after="120"/>
      </w:pPr>
      <w:r>
        <w:rPr>
          <w:rFonts w:ascii="Barlow" w:hAnsi="Barlow" w:eastAsia="Barlow"/>
          <w:b w:val="0"/>
          <w:i w:val="0"/>
          <w:color w:val="3A3A3A"/>
          <w:sz w:val="20"/>
        </w:rPr>
        <w:t>aprovador, status, observacoes, motivoRevisao e substitui estão gravados e não chegam ao documento. Levar qualquer um deles para o template é só mapear na camada de dados — sem tocar no modelo. Vale a pena decidir, em especial, se o documento deve declarar a versão que ele substitui.</w:t>
      </w:r>
    </w:p>
    <w:p>
      <w:pPr>
        <w:spacing w:before="200" w:after="60"/>
      </w:pPr>
      <w:r>
        <w:rPr>
          <w:rFonts w:ascii="Barlow" w:hAnsi="Barlow" w:eastAsia="Barlow"/>
          <w:b/>
          <w:i w:val="0"/>
          <w:color w:val="8E2B27"/>
          <w:sz w:val="20"/>
        </w:rPr>
        <w:t>A ementa dos módulos é texto rico.</w:t>
      </w:r>
    </w:p>
    <w:p>
      <w:pPr>
        <w:spacing w:before="0" w:after="120"/>
      </w:pPr>
      <w:r>
        <w:rPr>
          <w:rFonts w:ascii="Barlow" w:hAnsi="Barlow" w:eastAsia="Barlow"/>
          <w:b w:val="0"/>
          <w:i w:val="0"/>
          <w:color w:val="3A3A3A"/>
          <w:sz w:val="20"/>
        </w:rPr>
        <w:t>Se o template novo trouxer a descrição de cada módulo (e não só o título), o conteúdo vem em formato estruturado do Payload, não em texto puro — precisa de conversão. Vale sinalizar no desenho se essa seção é prevista.</w:t>
      </w:r>
    </w:p>
    <w:p>
      <w:pPr>
        <w:spacing w:before="200" w:after="60"/>
      </w:pPr>
      <w:r>
        <w:rPr>
          <w:rFonts w:ascii="Barlow" w:hAnsi="Barlow" w:eastAsia="Barlow"/>
          <w:b/>
          <w:i w:val="0"/>
          <w:color w:val="8E2B27"/>
          <w:sz w:val="20"/>
        </w:rPr>
        <w:t>O documento é gerado e arquivado, não só baixado.</w:t>
      </w:r>
    </w:p>
    <w:p>
      <w:pPr>
        <w:spacing w:before="0" w:after="120"/>
      </w:pPr>
      <w:r>
        <w:rPr>
          <w:rFonts w:ascii="Barlow" w:hAnsi="Barlow" w:eastAsia="Barlow"/>
          <w:b w:val="0"/>
          <w:i w:val="0"/>
          <w:color w:val="3A3A3A"/>
          <w:sz w:val="20"/>
        </w:rPr>
        <w:t>O PDF fica vinculado à proposta numa coleção privada. Trocar o template não muda esse fluxo, mas versões antigas continuam com o desenho antigo — o arquivo não é regerado sozinho.</w:t>
      </w:r>
    </w:p>
    <w:p>
      <w:pPr>
        <w:spacing w:before="0" w:after="360"/>
      </w:pPr>
      <w:r>
        <w:rPr>
          <w:rFonts w:ascii="Barlow" w:hAnsi="Barlow" w:eastAsia="Barlow"/>
          <w:b w:val="0"/>
          <w:i w:val="0"/>
          <w:color w:val="3A3A3A"/>
          <w:sz w:val="20"/>
        </w:rPr>
      </w:r>
    </w:p>
    <w:p>
      <w:pPr>
        <w:spacing w:before="0" w:after="120"/>
        <w:jc w:val="center"/>
      </w:pPr>
      <w:r>
        <w:rPr>
          <w:rFonts w:ascii="Barlow" w:hAnsi="Barlow" w:eastAsia="Barlow"/>
          <w:b w:val="0"/>
          <w:i w:val="0"/>
          <w:color w:val="B5995A"/>
          <w:sz w:val="16"/>
          <w:spacing w:val="40"/>
        </w:rPr>
        <w:t>INSTITUTO NTC DO BRASIL · INTELIGÊNCIA INSTITUCIONAL. IMPACTO REAL.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Barlow" w:hAnsi="Barlow" w:eastAsia="Barlow"/>
      <w:color w:val="3A3A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