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STGC-NeRF 三组数据测试指标报告</w:t>
      </w:r>
    </w:p>
    <w:p>
      <w:pPr>
        <w:pStyle w:val="Subtitle"/>
      </w:pPr>
      <w:r>
        <w:t>KITTI-360 Dynamic · nuScenes Dynamic · KITTI-360 Static · 15 个场景</w:t>
      </w:r>
    </w:p>
    <w:p>
      <w:pPr>
        <w:spacing w:after="240"/>
      </w:pPr>
      <w:r>
        <w:t>统计日期：2026-09-14  |  每场景 4 个留出测试帧  |  单场景与数据组均值</w:t>
      </w:r>
    </w:p>
    <w:p>
      <w:pPr>
        <w:pStyle w:val="Heading1"/>
        <w:keepNext/>
      </w:pPr>
      <w:r>
        <w:t>结论与统计范围</w:t>
      </w:r>
    </w:p>
    <w:p>
      <w:r>
        <w:t>三组共 15 个场景均已完成 30,000 次训练迭代、ray-drop refinement 和最终测试。KITTI-360 Dynamic 与 Static 基本复现论文结果；nuScenes 整体趋势一致，深度 LPIPS、SSIM 和 CD 的差异相对更明显。</w:t>
      </w:r>
    </w:p>
    <w:p>
      <w:r>
        <w:t>每个单场景指标先对 4 个等间隔留出测试帧取算术平均；数据组均值再对组内场景等权平均。论文没有给出跨三个数据组的总平均，本报告也按三组分别呈现。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数据组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场景数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测试帧</w:t>
            </w:r>
          </w:p>
        </w:tc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CD↓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F-score↑</w:t>
            </w:r>
          </w:p>
        </w:tc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严格 5cm F↑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KITTI-360 动态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0.1013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0.9317</w:t>
            </w:r>
          </w:p>
        </w:tc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0.5844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nuScenes 动态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0.2352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0.9058</w:t>
            </w:r>
          </w:p>
        </w:tc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0.6788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KITTI-360 静态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70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0.0842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0.9323</w:t>
            </w:r>
          </w:p>
        </w:tc>
        <w:tc>
          <w:tcPr>
            <w:tcW w:type="dxa" w:w="192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0.5126</w:t>
            </w:r>
          </w:p>
        </w:tc>
      </w:tr>
    </w:tbl>
    <w:p>
      <w:pPr>
        <w:pStyle w:val="Heading1"/>
        <w:keepNext/>
      </w:pPr>
      <w:r>
        <w:t>实验设置与指标口径</w:t>
      </w:r>
    </w:p>
    <w:p>
      <w:r>
        <w:t>KITTI-360 Dynamic 和 nuScenes Dynamic 每段共 51 帧，其中 47 帧训练、4 帧测试；KITTI-360 Static 每段共 64 帧，其中 60 帧训练、4 帧测试。测试帧不参与训练或 refinement。</w:t>
      </w:r>
    </w:p>
    <w:p>
      <w:r>
        <w:t>点云报告 CD 和 F-score；深度与反射强度分别报告 RMSE、MedAE、LPIPS、SSIM 和 PSNR。误差类指标越低越好，F-score、SSIM 和 PSNR 越高越好。</w:t>
      </w:r>
    </w:p>
    <w:p>
      <w:pPr>
        <w:pStyle w:val="Heading2"/>
        <w:keepNext/>
      </w:pPr>
      <w:r>
        <w:t>来源与复核文件</w:t>
      </w:r>
    </w:p>
    <w:p>
      <w:r>
        <w:t>论文：https://ojs.aaai.org/index.php/AAAI/article/download/33045/35200  官方代码：https://github.com/PSYZ1234/STGC-NeRF  机器可读数据位于 reports/data。</w:t>
      </w:r>
    </w:p>
    <w:p>
      <w:r>
        <w:br w:type="page"/>
      </w:r>
    </w:p>
    <w:p>
      <w:pPr>
        <w:pStyle w:val="Heading1"/>
        <w:keepNext/>
      </w:pPr>
      <w:r>
        <w:t>KITTI-360 动态 数据组均值</w:t>
      </w:r>
    </w:p>
    <w:p>
      <w:r>
        <w:t>覆盖 6 个场景、24 个测试帧，对应论文 Table 1。差值为本次复测减去论文原文。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rPr>
          <w:tblHeader w:val="true"/>
        </w:trP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本次复测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论文原文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差值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相对差值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CD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0.1013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0.0997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+0.0016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+1.57%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F-score(repo)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0.9317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0.9325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-0.09%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RMSE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3.0793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3.0794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MedAE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0.0279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0.0277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+0.0002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+0.60%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LPIPS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0.0701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0.0681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+0.0020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+2.98%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SSIM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0.8762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0.8774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-0.0012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-0.14%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PSNR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28.7022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28.6796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+0.0226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+0.08%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RMSE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0.0994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0.0995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-0.11%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MedAE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0.0263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0.0262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+0.0001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+0.39%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LPIPS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0.1494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0.1479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+0.0015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+1.01%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SSIM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0.6567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0.6563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+0.0004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+0.07%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PSNR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20.0945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20.0825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+0.0120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+0.06%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nuScenes 动态 数据组均值</w:t>
      </w:r>
    </w:p>
    <w:p>
      <w:r>
        <w:t>覆盖 5 个场景、20 个测试帧，对应论文 Table 2。差值为本次复测减去论文原文。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rPr>
          <w:tblHeader w:val="true"/>
        </w:trP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本次复测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论文原文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差值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相对差值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CD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0.2352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0.2204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+0.0148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+6.72%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F-score(repo)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0.9058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0.9070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-0.0012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-0.13%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RMSE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6.6130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6.5361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+0.0769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+1.18%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MedAE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0.0192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0.0240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-0.0048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-19.80%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LPIPS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0.0552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0.0486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+0.0066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+13.62%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SSIM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0.7493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0.7741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-0.0248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-3.20%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PSNR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21.8992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22.0044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-0.1052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-0.48%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RMSE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0.0416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0.0417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-0.35%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MedAE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0.0070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0.0082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-0.0012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-14.86%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LPIPS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0.0404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0.0418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-0.0014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-3.47%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SSIM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0.7595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0.7566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+0.0029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+0.38%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PSNR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28.0338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27.9989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+0.0349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+0.12%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KITTI-360 静态 数据组均值</w:t>
      </w:r>
    </w:p>
    <w:p>
      <w:r>
        <w:t>覆盖 4 个场景、16 个测试帧，对应论文 Table 3。差值为本次复测减去论文原文。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rPr>
          <w:tblHeader w:val="true"/>
        </w:trP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本次复测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论文原文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差值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相对差值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CD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0.0842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0.0831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+0.0011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+1.33%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F-score(repo)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0.9323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0.9332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-0.0009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-0.10%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RMSE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2.7466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2.7717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-0.0251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-0.91%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MedAE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0.0354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0.0353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+0.0001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+0.26%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LPIPS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0.0998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0.0985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+0.0013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+1.34%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SSIM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0.8478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0.8480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-0.02%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Depth PSNR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29.3120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29.2388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+0.0732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+0.25%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RMSE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0.1121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0.1121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-0.0000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-0.04%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MedAE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0.0335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0.0336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-0.23%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LPIPS ↓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0.1824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0.1822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+0.0002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+0.09%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SSIM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0.6111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0.6116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-0.0005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-0.08%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Intensity PSNR ↑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19.0292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19.0238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+0.0054</w:t>
            </w:r>
          </w:p>
        </w:tc>
        <w:tc>
          <w:tcPr>
            <w:tcW w:type="dxa" w:w="181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+0.03%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单场景点云与深度指标</w:t>
      </w:r>
    </w:p>
    <w:p>
      <w:r>
        <w:t>D 表示 KITTI-360 Dynamic，N 表示 nuScenes Dynamic，S 表示 KITTI-360 Static。每行是该场景 4 个留出测试帧的平均值。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rPr>
          <w:tblHeader w:val="true"/>
        </w:trP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CD↓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F-score↑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Depth RMSE↓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MedAE↓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LPIPS↓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SSIM↑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PSNR↑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D2350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0.1774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0.8889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4.4771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0.0423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0.0731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0.8248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25.0455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D4950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0.1207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0.9193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2.9856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0.0309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0.0781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0.8575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28.5736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D8120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0.0674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0.9535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2.3290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0.0205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0.0561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0.9107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30.7454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D10200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0.0654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0.9569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2.4882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0.0204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0.0700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0.9058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30.1770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D10750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0.0411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0.9683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1.9976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0.0174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0.0808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0.8770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32.0698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D11400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0.1357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0.9033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4.1981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0.0358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0.0625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0.8815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25.6021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N450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0.1689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0.9286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5.9978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0.0131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0.0516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0.7546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22.5859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N1250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0.1088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0.9671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4.8919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0.0031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0.0329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0.8879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24.2768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N1600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0.2061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0.8985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5.9129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0.0217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0.0764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0.6793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22.8081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N2200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0.4176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0.8426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8.8143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0.0453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0.0696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0.6588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19.1756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N3180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0.2746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0.8923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7.4482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0.0130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0.0456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0.7661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20.6496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S1538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0.0867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0.9278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2.6991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0.0377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0.1170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0.8427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29.4764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S1728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0.0855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0.9188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2.8131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0.0340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0.0910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0.8667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29.0888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S1908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0.0815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0.9416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2.7323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0.0354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0.1099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0.8288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29.3740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S3353</w:t>
            </w:r>
          </w:p>
        </w:tc>
        <w:tc>
          <w:tcPr>
            <w:tcW w:type="dxa" w:w="124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0.0832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0.9409</w:t>
            </w:r>
          </w:p>
        </w:tc>
        <w:tc>
          <w:tcPr>
            <w:tcW w:type="dxa" w:w="158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2.7419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0.0344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0.0814</w:t>
            </w:r>
          </w:p>
        </w:tc>
        <w:tc>
          <w:tcPr>
            <w:tcW w:type="dxa" w:w="130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0.8532</w:t>
            </w:r>
          </w:p>
        </w:tc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29.3087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单场景反射强度与严格 5 cm 指标</w:t>
      </w:r>
    </w:p>
    <w:p>
      <w:r>
        <w:t>反射强度按 [0,1] 范围计算。最后一列由保存的预测与真实点云使用欧氏距离 5 cm 独立复算。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rPr>
          <w:tblHeader w:val="true"/>
        </w:trP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Intensity RMSE↓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MedAE↓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LPIPS↓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SSIM↑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PSNR↑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244A6B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F-score 5cm↑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D2350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0.1106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0.0290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0.1400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0.6239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19.1317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0.4546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D4950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0.1047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0.0256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0.1498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0.6234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19.6009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0.5084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D8120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0.0902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0.0240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0.1547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0.7161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20.9743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0.6340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D10200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0.0943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0.0227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0.1399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0.6542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20.5433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0.6981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D10750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0.0971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0.0241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0.1375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0.6819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20.2633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0.7149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D11400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0.0995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0.0323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0.1744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0.6410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20.0537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0.4966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N450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0.0370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0.0065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0.0396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0.7689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28.7467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0.7321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N1250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0.0234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0.0013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0.0145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0.9199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32.6597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0.8838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N1600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0.0530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0.0094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0.0572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0.6997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25.5907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0.6318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N2200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0.0527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0.0131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0.0536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0.6192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25.5688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0.4761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N3180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0.0417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0.0046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0.0369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0.7897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27.6033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0.6702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S1538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0.1147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0.0371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0.2092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0.5998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18.8152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0.5096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S1728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0.1062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0.0295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0.1782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0.6501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19.4898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0.4998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S1908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0.1180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0.0373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0.1891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0.5574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18.5712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EEF3F7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0.5265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S3353</w:t>
            </w:r>
          </w:p>
        </w:tc>
        <w:tc>
          <w:tcPr>
            <w:tcW w:type="dxa" w:w="198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0.1094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0.0302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0.1530</w:t>
            </w:r>
          </w:p>
        </w:tc>
        <w:tc>
          <w:tcPr>
            <w:tcW w:type="dxa" w:w="141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0.6372</w:t>
            </w:r>
          </w:p>
        </w:tc>
        <w:tc>
          <w:tcPr>
            <w:tcW w:type="dxa" w:w="147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19.2407</w:t>
            </w:r>
          </w:p>
        </w:tc>
        <w:tc>
          <w:tcPr>
            <w:tcW w:type="dxa" w:w="175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0.5146</w:t>
            </w:r>
          </w:p>
        </w:tc>
      </w:tr>
    </w:tbl>
    <w:p>
      <w:pPr>
        <w:pStyle w:val="Heading1"/>
        <w:keepNext/>
      </w:pPr>
      <w:r>
        <w:t>F-score 口径说明</w:t>
      </w:r>
    </w:p>
    <w:p>
      <w:r>
        <w:t>论文文字将 F-score 阈值定义为 5 cm。发布代码的 Chamfer 返回平方距离，并直接执行 dist &lt; 0.05，实际欧氏半径约为 22.36 cm。与论文表格对比时保留仓库日志中的 F-score；严格 5 cm 的独立复算值单独报告。</w:t>
      </w:r>
    </w:p>
    <w:sectPr w:rsidR="00FC693F" w:rsidRPr="0006063C" w:rsidSect="00034616">
      <w:footerReference w:type="default" r:id="rId9"/>
      <w:pgSz w:w="15840" w:h="12240" w:orient="landscape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STGC-NeRF 三组数据测试指标报告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5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