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pPr>
      <w:r>
        <w:rPr>
          <w:rFonts w:ascii="Times New Roman" w:hAnsi="Times New Roman" w:eastAsia="黑体"/>
          <w:b/>
          <w:sz w:val="28"/>
        </w:rPr>
        <w:t>方法（Methods）</w:t>
      </w:r>
    </w:p>
    <w:p>
      <w:pPr>
        <w:pStyle w:val="Heading1"/>
      </w:pPr>
      <w:r>
        <w:rPr>
          <w:rFonts w:ascii="Times New Roman" w:hAnsi="Times New Roman" w:eastAsia="黑体"/>
          <w:b/>
          <w:sz w:val="28"/>
        </w:rPr>
        <w:t>研究设计与数据来源</w:t>
      </w:r>
    </w:p>
    <w:p>
      <w:pPr>
        <w:keepLines w:val="0"/>
      </w:pPr>
      <w:r>
        <w:rPr>
          <w:rFonts w:ascii="Times New Roman" w:hAnsi="Times New Roman" w:eastAsia="宋体"/>
          <w:b w:val="0"/>
          <w:sz w:val="24"/>
        </w:rPr>
        <w:t>本研究以野生型酿酒酵母 Saccharomyces cerevisiae BY4741 和大肠杆菌 Escherichia coli K-12 MG1655 为代表体系，评价染色体互作域识别方法在不同染色体组织背景中的适用性。S. cerevisiae Hi-C、RNA-seq 和 ATAC-seq 数据均来自 NCBI BioProject PRJNA1073072，并直接使用本实验室完成前期处理后的接触矩阵、基因级 TPM 表和 ATAC-seq bigWig 信号文件。S. cerevisiae Micro-C XL 数据来自 Hsieh 等人的研究，登录号为 GSE85220[25]。E. coli Hi-C 数据来自 Lioy 等人的研究，登录号为 GSE107301[12]；Micro-C 数据来自 Gavrilov 等人的研究，登录号为 GSE272161[13]。所有数据均选用相应研究中的野生型、未经生物学扰动条件。数据来源、样本信息和登录号汇总见 Supplementary Table S2。</w:t>
      </w:r>
    </w:p>
    <w:p>
      <w:pPr>
        <w:keepLines w:val="0"/>
      </w:pPr>
      <w:r>
        <w:rPr>
          <w:rFonts w:ascii="Times New Roman" w:hAnsi="Times New Roman" w:eastAsia="宋体"/>
          <w:b w:val="0"/>
          <w:sz w:val="24"/>
        </w:rPr>
        <w:t>每个物种设置 7 个测试设置，包括 500、1,000、2,000、5,000 和 10,000 bp 的 Hi-C 接触图，以及 200 和 500 bp 的 Micro-C 接触图。不同分辨率由同一数据来源构建，用于评价矩阵尺度变化下的方法表现，不作为独立生物学重复。S. cerevisiae 分析限于 16 条核染色体，E. coli 使用参考序列 NC_000913.3。所有识别方法均按染色体独立运行。因此，每种方法最多包含 112 个 S. cerevisiae 染色体任务和 7 个 E. coli 染色体任务，共 119 个染色体任务。</w:t>
      </w:r>
    </w:p>
    <w:p>
      <w:pPr>
        <w:pStyle w:val="Heading1"/>
      </w:pPr>
      <w:r>
        <w:rPr>
          <w:rFonts w:ascii="Times New Roman" w:hAnsi="Times New Roman" w:eastAsia="黑体"/>
          <w:b/>
          <w:sz w:val="28"/>
        </w:rPr>
        <w:t>接触矩阵处理与格式转换</w:t>
      </w:r>
    </w:p>
    <w:p>
      <w:pPr>
        <w:keepLines w:val="0"/>
      </w:pPr>
      <w:r>
        <w:rPr>
          <w:rFonts w:ascii="Times New Roman" w:hAnsi="Times New Roman" w:eastAsia="宋体"/>
          <w:b w:val="0"/>
          <w:sz w:val="24"/>
        </w:rPr>
        <w:t>本研究从实验室或来源研究提供的处理后接触矩阵开始，按目标分辨率分箱，并转换为各软件所需的 dense、三列 sparse、Rao、deDoc、.hic 或 .cool 格式。格式转换仅改变文件组织形式，不改变基因组坐标或目标 bin 大小。下游 Fold-change 分析从 canonical .cool 文件读取平衡后的接触值，EVRC 重构使用对应条件的平衡 dense 矩阵。所有条件均使用ICE平衡矩阵。不同条件的dense、.hic和.cool文件均由对应的ICE平衡矩阵转换得到。ICE平衡和.cool格式转换分别按已发表方法与软件实现处理[26,27]。</w:t>
      </w:r>
    </w:p>
    <w:p>
      <w:pPr>
        <w:keepLines w:val="0"/>
      </w:pPr>
      <w:r>
        <w:rPr>
          <w:rFonts w:ascii="Times New Roman" w:hAnsi="Times New Roman" w:eastAsia="宋体"/>
          <w:b w:val="0"/>
          <w:sz w:val="24"/>
        </w:rPr>
        <w:t>对 S. cerevisiae，矩阵和结构域坐标统一到 S288C 染色体命名体系 chr1 至 chr16。对 E. coli，矩阵和结构域坐标统一到 ASM584v2 的 NC_000913.3。接触矩阵分析均使用染色体内接触。超出染色体范围、终点不大于起点或无法映射到对应染色体的结构域不进入后续计算。</w:t>
      </w:r>
    </w:p>
    <w:p>
      <w:pPr>
        <w:pStyle w:val="Heading1"/>
      </w:pPr>
      <w:r>
        <w:rPr>
          <w:rFonts w:ascii="Times New Roman" w:hAnsi="Times New Roman" w:eastAsia="黑体"/>
          <w:b/>
          <w:sz w:val="28"/>
        </w:rPr>
        <w:t>结构域识别方法、参数与运行环境</w:t>
      </w:r>
    </w:p>
    <w:p>
      <w:pPr>
        <w:keepLines w:val="0"/>
      </w:pPr>
      <w:r>
        <w:rPr>
          <w:rFonts w:ascii="Times New Roman" w:hAnsi="Times New Roman" w:eastAsia="宋体"/>
          <w:b w:val="0"/>
          <w:sz w:val="24"/>
        </w:rPr>
        <w:t>共评价 13 种公开结构域识别方法，包括 Armatus、Arrowhead、HiTAD、Matryoshka、OnTAD、TADpole、SpectralTAD、deDoc、SuperTAD-fast、TADtree、GMAP、HiCKey 和 GRiNCH。这些方法涵盖线性评分、聚类、结构熵、统计模型和网络特征等主要识别策略[6,7]。软件版本、程序语言、输入格式、许可证、原始文献和下载地址见 Table 1 和 Supplementary Table S1。各方法使用原论文或官方示例推荐的默认参数，并仅在输入格式、染色体长度、分辨率或物理尺度约束要求时进行预先规定的调整。</w:t>
      </w:r>
    </w:p>
    <w:p>
      <w:pPr>
        <w:keepLines w:val="0"/>
      </w:pPr>
      <w:r>
        <w:rPr>
          <w:rFonts w:ascii="Times New Roman" w:hAnsi="Times New Roman" w:eastAsia="宋体"/>
          <w:b w:val="0"/>
          <w:sz w:val="24"/>
        </w:rPr>
        <w:t>主要参数设置如下。Armatus 和 Matryoshka 采用多尺度输出，gamma 步长均为 0.05，最大 gamma 分别为 0.1 和 0.5。Arrowhead 通过 Juicer Tools v2.09.00 运行，并使用 NONE 避免对输入矩阵重复归一化。HiTAD 的最大结构域长度设为 2 Mb，最小染色体长度设为 1 bp。OnTAD 将最小和最大结构域长度分别固定为 30 kb 和 2 Mb，并按接触图分辨率换算为 bin 数。TADpole 使用必需的染色体范围和分辨率参数，其余参数保持默认。SpectralTAD 关闭质量过滤，并根据矩阵大小设置可计算的最大层级数。deDoc 不设置额外参数。SuperTAD-fast 使用 fast 模式，并根据 Hi-C 或 Micro-C 输入设置窗口和步长。TADtree 使用 p=3、q=12、gamma=100 和 50 次重采样，接触阈值随分辨率换算。GMAP 使用 max_d=20、min_d=5 和 dom_order=2。HiCKey 使用 p 值阈值 0.05 和边界 FDR 阈值 0.00005。GRiNCH 分别以 10、20 和 40 kb 的期望尺度输出 subTAD、TAD 和 metaTAD。完整命令和分辨率对应参数见 Supplementary Methods。</w:t>
      </w:r>
    </w:p>
    <w:p>
      <w:pPr>
        <w:keepLines w:val="0"/>
      </w:pPr>
      <w:r>
        <w:rPr>
          <w:rFonts w:ascii="Times New Roman" w:hAnsi="Times New Roman" w:eastAsia="宋体"/>
          <w:b w:val="0"/>
          <w:sz w:val="24"/>
        </w:rPr>
        <w:t>caller 运行和资源记录在 Intel Xeon W-2175 2.50 GHz、200 GB 内存和 Ubuntu 20.04.2 LTS 工作站上完成。每条染色体作为独立任务。运行状态分为有效输出、完成但未识别结构域、内存溢出、超时、不支持输入和缺失记录。超时定义为运行超过 168 h。所有状态均保留，不将失败任务删除后重新计算覆盖度。后续统计和绘图在 Python 环境中完成，主要依赖 pandas、NumPy、SciPy、cooler、scikit-image、Matplotlib 和 seaborn。</w:t>
      </w:r>
    </w:p>
    <w:p>
      <w:pPr>
        <w:pStyle w:val="Heading1"/>
      </w:pPr>
      <w:r>
        <w:rPr>
          <w:rFonts w:ascii="Times New Roman" w:hAnsi="Times New Roman" w:eastAsia="黑体"/>
          <w:b/>
          <w:sz w:val="28"/>
        </w:rPr>
        <w:t>结构域输出统一与层级定义</w:t>
      </w:r>
    </w:p>
    <w:p>
      <w:pPr>
        <w:keepLines w:val="0"/>
      </w:pPr>
      <w:r>
        <w:rPr>
          <w:rFonts w:ascii="Times New Roman" w:hAnsi="Times New Roman" w:eastAsia="宋体"/>
          <w:b w:val="0"/>
          <w:sz w:val="24"/>
        </w:rPr>
        <w:t>不同 caller 的原始输出统一转换为 BED 兼容坐标，至少包含 chromosome、start 和 end 三列。完全相同的区间仅保留一条。随后在每条染色体内按起点升序、终点降序排列区间，并根据坐标包含关系统一定义层级。未被其他区间包含的最外层结构域定义为 level 1。若一个结构域被其他结构域包含，其 level 等于最近父结构域 level 加 1。相交但不存在包含关系的区间不建立父子关系。该统一层级用于结构域大小、嵌套特征、Fold-change 局部背景、EVRC 局部背景和 SSIM 分析。</w:t>
      </w:r>
    </w:p>
    <w:p>
      <w:pPr>
        <w:pStyle w:val="Heading1"/>
      </w:pPr>
      <w:r>
        <w:rPr>
          <w:rFonts w:ascii="Times New Roman" w:hAnsi="Times New Roman" w:eastAsia="黑体"/>
          <w:b/>
          <w:sz w:val="28"/>
        </w:rPr>
        <w:t>运行资源、识别覆盖度与输出特征</w:t>
      </w:r>
    </w:p>
    <w:p>
      <w:pPr>
        <w:keepLines w:val="0"/>
      </w:pPr>
      <w:r>
        <w:rPr>
          <w:rFonts w:ascii="Times New Roman" w:hAnsi="Times New Roman" w:eastAsia="宋体"/>
          <w:b w:val="0"/>
          <w:sz w:val="24"/>
        </w:rPr>
        <w:t>运行时间和峰值内存通过 Python 监控脚本记录。该脚本以 subprocess 启动方法级 E. coli 包装脚本，使用 time.time 计算 wall-clock time，并通过 psutil 每 0.5 s 汇总父进程及其全部子进程的常驻内存（resident set size, RSS）。监测期间观测到的最大总 RSS 以 MB 记录为峰值内存。E. coli 仅包含一条染色体，但方法包装脚本可依次处理多个 Hi-C 和 Micro-C 分辨率条件，因此运行时间表示一次已记录包装脚本运行的总耗时，不是单个 method-condition 的耗时。对存在多条资源记录的方法，分别采用最大运行时间和最大峰值内存。该结果描述当前脚本、参数和硬件环境下的实际计算负载。1 h 和 10 GB 仅用于后续方法使用指南的资源分组，不作为运行成功或结构域有效性的判断阈值。</w:t>
      </w:r>
    </w:p>
    <w:p>
      <w:pPr>
        <w:keepLines w:val="0"/>
      </w:pPr>
      <w:r>
        <w:rPr>
          <w:rFonts w:ascii="Times New Roman" w:hAnsi="Times New Roman" w:eastAsia="宋体"/>
          <w:b w:val="0"/>
          <w:sz w:val="24"/>
        </w:rPr>
        <w:t>识别覆盖度在 chromosome-condition 层级统计。某任务至少包含一个有效结构域时记为获得结果。S. cerevisiae、E. coli 和跨物种覆盖度的分母分别为 112、7 和 119。对有效输出进一步统计结构域总数、每个有效测试设置的平均结构域数量、结构域大小、最高层级、嵌套比例及连续或间隔分布。结构域数量、大小和层级用于描述 caller 输出特征，不单独作为结构验证指标。</w:t>
      </w:r>
    </w:p>
    <w:p>
      <w:pPr>
        <w:pStyle w:val="Heading1"/>
      </w:pPr>
      <w:r>
        <w:rPr>
          <w:rFonts w:ascii="Times New Roman" w:hAnsi="Times New Roman" w:eastAsia="黑体"/>
          <w:b/>
          <w:sz w:val="28"/>
        </w:rPr>
        <w:t>Fold-change 二维接触富集验证</w:t>
      </w:r>
    </w:p>
    <w:p>
      <w:pPr>
        <w:keepLines w:val="0"/>
      </w:pPr>
      <w:r>
        <w:rPr>
          <w:rFonts w:ascii="Times New Roman" w:hAnsi="Times New Roman" w:eastAsia="宋体"/>
          <w:b w:val="0"/>
          <w:sz w:val="24"/>
        </w:rPr>
        <w:t>Fold-change 在单个结构域层级评价域内接触相对于局部域外背景的富集。对每个结构域，从 balanced .cool 文件提取域内接触矩阵，并使用不含对角线的上三角有限值作为域内接触集合。level 1 结构域以当前结构域与左右最近同层级结构域之间的间隔作为局部域外区域；相应方向没有同层级结构域时，使用当前结构域至染色体端点的侧翼。嵌套结构域在最近父结构域内采用相同规则，以同层级相邻结构域之间的间隔或父结构域剩余侧翼作为局部域外区域。若父结构域剩余区域不足，则向上一层寻找背景。无法确定父结构域时，使用同层级间隔和染色体侧翼。局部背景值为当前结构域与上述域外区域之间的接触值。没有有限域内接触值或没有有效局部背景的结构域记为不可计算。</w:t>
      </w:r>
    </w:p>
    <w:p>
      <w:pPr>
        <w:keepLines w:val="0"/>
      </w:pPr>
      <w:r>
        <w:rPr>
          <w:rFonts w:ascii="Times New Roman" w:hAnsi="Times New Roman" w:eastAsia="宋体"/>
          <w:b w:val="0"/>
          <w:sz w:val="24"/>
        </w:rPr>
        <w:t>效应量定义为 log2FC = log2[mean(intra)/(mean(background)+10^-9)]。域内接触是否高于背景使用单侧 Mann-Whitney U 检验。在每个 species、method、data type、resolution 和 chromosome 精确单元内，对可计算结构域的 P 值进行 Benjamini-Hochberg 校正[28]。结构域同时满足 log2FC &gt; 0 和 BH-FDR &lt; 0.05 时定义为通过 Fold-change 结构验证。</w:t>
      </w:r>
    </w:p>
    <w:p>
      <w:pPr>
        <w:pStyle w:val="Heading1"/>
      </w:pPr>
      <w:r>
        <w:rPr>
          <w:rFonts w:ascii="Times New Roman" w:hAnsi="Times New Roman" w:eastAsia="黑体"/>
          <w:b/>
          <w:sz w:val="28"/>
        </w:rPr>
        <w:t>EVRC 三维紧密性验证</w:t>
      </w:r>
    </w:p>
    <w:p>
      <w:pPr>
        <w:keepLines w:val="0"/>
      </w:pPr>
      <w:r>
        <w:rPr>
          <w:rFonts w:ascii="Times New Roman" w:hAnsi="Times New Roman" w:eastAsia="宋体"/>
          <w:b w:val="0"/>
          <w:sz w:val="24"/>
        </w:rPr>
        <w:t>使用 EVRC 将每个物种、数据类型、分辨率和染色体对应的平衡接触矩阵重构为三维坐标，并保存为 PDB 文件[20]。原始重构脚本逐染色体调用 EVRC-main 的 evrc.py，设置 --intra_chr 为当前染色体 dense 矩阵目录、--chr_num 1、--seed 29 和 --thread 10，并通过 -o 指定输出目录；未显式设置的参数沿用 EVRC 默认值。每个输入目录仅包含一条染色体，因此 chr_num 设为 1。验证分析仅纳入覆盖至少 4 个重构 bin 的结构域。对每个结构域，计算其所有 bin 到该结构域三维质心的平均欧氏距离 D_TAD。对于具有父结构域的调用，以最近父结构域中的 bin 作为局部背景。level 1 或没有可识别父结构域的调用以同一染色体全部重构 bin 作为背景。</w:t>
      </w:r>
    </w:p>
    <w:p>
      <w:pPr>
        <w:keepLines w:val="0"/>
      </w:pPr>
      <w:r>
        <w:rPr>
          <w:rFonts w:ascii="Times New Roman" w:hAnsi="Times New Roman" w:eastAsia="宋体"/>
          <w:b w:val="0"/>
          <w:sz w:val="24"/>
        </w:rPr>
        <w:t>在局部背景中无放回抽取与真实结构域相同数量的 bin。随机 bin 不要求连续，可与真实结构域部分重叠，但随机集合不得与真实结构域 bin 集合完全相同。主分析为每个结构域生成 1,000 个唯一随机集合，并至少要求 20 个有效随机集合。EVRC score 定义为 -log2[D_TAD/median(D_random)]，其中 D_random 为各随机 bin 集合到自身质心的平均距离。经验 P 值计算为 (随机 D_random 小于或等于 D_TAD 的次数+1)/(有效随机次数+1)。P 值在每个 species、method、data type、resolution 和 chromosome 单元内进行 BH 校正。结构域同时满足 EVRC score &gt; 0 和 BH-FDR &lt; 0.05 时定义为通过 EVRC 结构验证。另以 50、100、200、500 和 1,000 次随机抽样评价结果对随机次数的敏感性。</w:t>
      </w:r>
    </w:p>
    <w:p>
      <w:pPr>
        <w:pStyle w:val="Heading1"/>
      </w:pPr>
      <w:r>
        <w:rPr>
          <w:rFonts w:ascii="Times New Roman" w:hAnsi="Times New Roman" w:eastAsia="黑体"/>
          <w:b/>
          <w:sz w:val="28"/>
        </w:rPr>
        <w:t>coolpup 聚合接触形态验证</w:t>
      </w:r>
    </w:p>
    <w:p>
      <w:pPr>
        <w:keepLines w:val="0"/>
      </w:pPr>
      <w:r>
        <w:rPr>
          <w:rFonts w:ascii="Times New Roman" w:hAnsi="Times New Roman" w:eastAsia="宋体"/>
          <w:b w:val="0"/>
          <w:sz w:val="24"/>
        </w:rPr>
        <w:t>使用 coolpup.py v1.1.0 对各方法在每个物种、数据类型、分辨率和染色体中的结构域进行局部尺度归一化聚合[21]。每个结构域接触区域重缩放到共同网格，并在染色体内取平均，得到 99×99 的聚合接触矩阵。S. cerevisiae 使用逐染色体聚合矩阵，E. coli 的单条染色体使用对应测试设置的聚合矩阵。因此，本分析的统计单位是一个 method-condition-chromosome 聚合矩阵，而不是单个结构域。</w:t>
      </w:r>
    </w:p>
    <w:p>
      <w:pPr>
        <w:keepLines w:val="0"/>
      </w:pPr>
      <w:r>
        <w:rPr>
          <w:rFonts w:ascii="Times New Roman" w:hAnsi="Times New Roman" w:eastAsia="宋体"/>
          <w:b w:val="0"/>
          <w:sz w:val="24"/>
        </w:rPr>
        <w:t>将聚合矩阵等分为 3×3 个区块，以中心区块 B22 表示结构域主体，以相邻跨边界区块 B12、B21、B23 和 B32 的有限像素合并值作为局部背景。效应量为 log2[mean(B22)/mean(background)]，B22 像素是否高于背景像素使用单侧 Mann-Whitney U 检验。在每个 species、data type、resolution 和 chromosome 单元内，对不同方法的 P 值进行 BH 校正。聚合矩阵同时满足效应量大于 0 和 BH-FDR &lt; 0.05 时定义为通过 coolpup 结构验证。</w:t>
      </w:r>
    </w:p>
    <w:p>
      <w:pPr>
        <w:pStyle w:val="Heading1"/>
      </w:pPr>
      <w:r>
        <w:rPr>
          <w:rFonts w:ascii="Times New Roman" w:hAnsi="Times New Roman" w:eastAsia="黑体"/>
          <w:b/>
          <w:sz w:val="28"/>
        </w:rPr>
        <w:t>方法间结构一致性</w:t>
      </w:r>
    </w:p>
    <w:p>
      <w:pPr>
        <w:keepLines w:val="0"/>
      </w:pPr>
      <w:r>
        <w:rPr>
          <w:rFonts w:ascii="Times New Roman" w:hAnsi="Times New Roman" w:eastAsia="宋体"/>
          <w:b w:val="0"/>
          <w:sz w:val="24"/>
        </w:rPr>
        <w:t>方法间一致性仅在完全匹配的 species、data type、resolution 和 chromosome 单元内计算，并要求该单元至少有两种方法获得结构域。该分析比较 caller 输出之间的一致程度，不作为生物学准确性的替代。Boundary Jaccard 使用每种方法全部结构域起止坐标组成的精确边界集合，计算两种方法边界交集与并集之比，不设置位置容差。Coverage Jaccard 先合并每种方法内部重叠或相邻的结构域覆盖区间，再计算覆盖区域长度的交并比。</w:t>
      </w:r>
    </w:p>
    <w:p>
      <w:pPr>
        <w:keepLines w:val="0"/>
      </w:pPr>
      <w:r>
        <w:rPr>
          <w:rFonts w:ascii="Times New Roman" w:hAnsi="Times New Roman" w:eastAsia="宋体"/>
          <w:b w:val="0"/>
          <w:sz w:val="24"/>
        </w:rPr>
        <w:t>MOC 保留单个结构域身份。对方法 A 的每个结构域，计算其与方法 B 中最佳匹配结构域的重叠长度占 A 结构域长度的比例，并按 A 结构域长度加权。A 到 B 与 B 到 A 两个方向的结果取平均，得到对称 MOC。Consensus F1 在每个精确比较单元内统计所有有效方法的边界票数，使用 floor(n_methods/2)+1 定义严格多数共识边界。每种方法与该共识集合计算 precision、recall 和 F1。</w:t>
      </w:r>
    </w:p>
    <w:p>
      <w:pPr>
        <w:keepLines w:val="0"/>
      </w:pPr>
      <w:r>
        <w:rPr>
          <w:rFonts w:ascii="Times New Roman" w:hAnsi="Times New Roman" w:eastAsia="宋体"/>
          <w:b w:val="0"/>
          <w:sz w:val="24"/>
        </w:rPr>
        <w:t>SSIM 用于比较层级和覆盖形态[29]。每个结构域覆盖的二维方形区域按其层级出现次数累加，形成与染色体 bin 数一致的结构域占用矩阵。矩阵值乘以 20 并转换为 8-bit 图像。沿主对角线使用互不重叠的方形窗口计算结构相似性。窗口大小以 10 kb 分辨率的 400 bins 为基准按分辨率缩放，同时不超过矩阵边长的四分之一，并向下调整为 4 的整数倍。所有有效窗口的 SSIM 取平均。S. cerevisiae 的逐染色体 SSIM 先按染色体长度加权得到测试设置值。各一致性指标按方法汇总时保留有效比较单元和两两比较数量，跨物种结果仅在两个物种均有结果时对物种均值等权平均。</w:t>
      </w:r>
    </w:p>
    <w:p>
      <w:pPr>
        <w:pStyle w:val="Heading1"/>
      </w:pPr>
      <w:r>
        <w:rPr>
          <w:rFonts w:ascii="Times New Roman" w:hAnsi="Times New Roman" w:eastAsia="黑体"/>
          <w:b/>
          <w:sz w:val="28"/>
        </w:rPr>
        <w:t>基因表达数据整理</w:t>
      </w:r>
    </w:p>
    <w:p>
      <w:pPr>
        <w:keepLines w:val="0"/>
      </w:pPr>
      <w:r>
        <w:rPr>
          <w:rFonts w:ascii="Times New Roman" w:hAnsi="Times New Roman" w:eastAsia="宋体"/>
          <w:b w:val="0"/>
          <w:sz w:val="24"/>
        </w:rPr>
        <w:t>S. cerevisiae 表达分析使用本实验室根据 PRJNA1073072 野生型 RNA-seq 数据处理得到的基因级 TPM 表。3 个重复经 STAR 比对和 RSEM 定量后，在基因层面对 TPM 取平均。S. cerevisiae 基因坐标和权威 gene ID 来自 S288C.gff，E. coli 基因和假基因坐标及权威 ID 来自 GCF_000005845.2_ASM584v2_genomic.gff。表达表通过 S. cerevisiae gene_id 或 E. coli locus_tag 映射到权威注释记录。若表达来源表中同一 ID 对应多条记录，在建立 canonical gene-level 表时保留数值型 TPM 最高的记录，TPM 相同时保留来源表中最先出现的记录。该步骤同时移除表达来源中的替代坐标和转录本坐标，使每个 canonical gene ID 仅对应一组权威基因坐标、表达值和功能注释。下游分析不再重复去重。</w:t>
      </w:r>
    </w:p>
    <w:p>
      <w:pPr>
        <w:keepLines w:val="0"/>
      </w:pPr>
      <w:r>
        <w:rPr>
          <w:rFonts w:ascii="Times New Roman" w:hAnsi="Times New Roman" w:eastAsia="宋体"/>
          <w:b w:val="0"/>
          <w:sz w:val="24"/>
        </w:rPr>
        <w:t>表达分析仅保留坐标有效且 TPM &gt; 0 的基因。S. cerevisiae 排除线粒体基因，仅分析 chr1 至 chr16。GFF 的 1-based closed 坐标在分析副本中转换为与 BED 一致的 0-based half-open 坐标。</w:t>
      </w:r>
    </w:p>
    <w:p>
      <w:pPr>
        <w:pStyle w:val="Heading1"/>
      </w:pPr>
      <w:r>
        <w:rPr>
          <w:rFonts w:ascii="Times New Roman" w:hAnsi="Times New Roman" w:eastAsia="黑体"/>
          <w:b/>
          <w:sz w:val="28"/>
        </w:rPr>
        <w:t>边界邻域与结构域内部基因表达比较</w:t>
      </w:r>
    </w:p>
    <w:p>
      <w:pPr>
        <w:keepLines w:val="0"/>
      </w:pPr>
      <w:r>
        <w:rPr>
          <w:rFonts w:ascii="Times New Roman" w:hAnsi="Times New Roman" w:eastAsia="宋体"/>
          <w:b w:val="0"/>
          <w:sz w:val="24"/>
        </w:rPr>
        <w:t>对每个结构域，以起点和终点两侧各 3×resolution bp 定义边界窗口，窗口超出染色体范围的部分截断到染色体边界，两个边界窗口重叠时合并。结构域内部定义为 [start+3×resolution, end-3×resolution)。仅保留内部区间长度大于 0，且边界窗口和内部均至少包含一个完整基因的结构域。分别以边界窗口和同一结构域内部所有完整基因的 TPM 中位数表示两类区域的典型基因表达。逐结构域效应量定义为 log2[(median TPM_boundary+1)/(median TPM_interior+1)]。</w:t>
      </w:r>
    </w:p>
    <w:p>
      <w:pPr>
        <w:keepLines w:val="0"/>
      </w:pPr>
      <w:r>
        <w:rPr>
          <w:rFonts w:ascii="Times New Roman" w:hAnsi="Times New Roman" w:eastAsia="宋体"/>
          <w:b w:val="0"/>
          <w:sz w:val="24"/>
        </w:rPr>
        <w:t>在每个 species、method、data type 和 resolution 单元内，以结构域为配对单位进行单侧 Wilcoxon 符号秩检验，备择假设为边界邻域基因 TPM 中位数高于同一结构域内部。至少需要 3 个可比较结构域，且配对差值不能全部为 0。P 值在同一物种的 median-TPM 指标内跨所有 method-condition 单元进行 BH 校正。一个 method-condition 同时满足效应量中位数大于 0 和 BH-FDR &lt; 0.05 时定义为边界表达关联显著。</w:t>
      </w:r>
    </w:p>
    <w:p>
      <w:pPr>
        <w:pStyle w:val="Heading1"/>
      </w:pPr>
      <w:r>
        <w:rPr>
          <w:rFonts w:ascii="Times New Roman" w:hAnsi="Times New Roman" w:eastAsia="黑体"/>
          <w:b/>
          <w:sz w:val="28"/>
        </w:rPr>
        <w:t>ATAC-seq 边界染色质可及性分析</w:t>
      </w:r>
    </w:p>
    <w:p>
      <w:pPr>
        <w:keepLines w:val="0"/>
      </w:pPr>
      <w:r>
        <w:rPr>
          <w:rFonts w:ascii="Times New Roman" w:hAnsi="Times New Roman" w:eastAsia="宋体"/>
          <w:b w:val="0"/>
          <w:sz w:val="24"/>
        </w:rPr>
        <w:t>S. cerevisiae ATAC-seq 使用与 PRJNA1073072 Hi-C 数据来源匹配的 A5-1.rmdup.last.bw。对每个 method-condition，在染色体内汇总结构域起止位置并去除完全重复的边界中心。仅保留中心两侧各 20 个接触图 bin 均位于染色体范围内的边界。ATAC-seq 信号按当前接触图分辨率分箱，每个中心生成由 40 个 bin 构成的曲线。不同分辨率对应不同的物理窗口宽度，因此曲线用于评价各条件内部的边界中心富集，不直接比较统一 bp 尺度的绝对峰高。</w:t>
      </w:r>
    </w:p>
    <w:p>
      <w:pPr>
        <w:keepLines w:val="0"/>
      </w:pPr>
      <w:r>
        <w:rPr>
          <w:rFonts w:ascii="Times New Roman" w:hAnsi="Times New Roman" w:eastAsia="宋体"/>
          <w:b w:val="0"/>
          <w:sz w:val="24"/>
        </w:rPr>
        <w:t>随机背景在每条染色体内按真实有效边界数量进行 1:1 匹配。随机中心不重复，不与真实边界中心重合，并排除真实边界中心正负 3 bp。随机数种子设为 42。真实边界和随机位置均提取相同的正负 20 bins 曲线，正式统计量为紧邻中心的上游和下游两个 bin 的平均 ATAC-seq 信号。真实边界中心与随机中心使用单侧 Mann-Whitney U 检验。全部可检验 method-condition 的 P 值统一进行 BH 校正。效应量定义为 log2[(mean boundary+0.001)/(mean random+0.001)]。一个结果同时满足效应量大于 0 和 BH-FDR &lt; 0.05 时定义为 ATAC 边界关联显著。ATAC-seq 仅用于 S. cerevisiae。</w:t>
      </w:r>
    </w:p>
    <w:p>
      <w:pPr>
        <w:pStyle w:val="Heading1"/>
      </w:pPr>
      <w:r>
        <w:rPr>
          <w:rFonts w:ascii="Times New Roman" w:hAnsi="Times New Roman" w:eastAsia="黑体"/>
          <w:b/>
          <w:sz w:val="28"/>
        </w:rPr>
        <w:t>高表达基因的 GO 和 KEGG 富集</w:t>
      </w:r>
    </w:p>
    <w:p>
      <w:pPr>
        <w:keepLines w:val="0"/>
      </w:pPr>
      <w:r>
        <w:rPr>
          <w:rFonts w:ascii="Times New Roman" w:hAnsi="Times New Roman" w:eastAsia="宋体"/>
          <w:b w:val="0"/>
          <w:sz w:val="24"/>
        </w:rPr>
        <w:t>功能分析使用 S. cerevisiae canonical gene-level 表中位于 16 条核染色体且 TPM &gt; 0 的基因。在全基因组范围计算 TPM 第 90 百分位数，并将达到或超过该阈值的基因定义为固定的 top 10% 高表达基因集合。该集合在所有方法和测试设置中保持不变。对每个 method-condition，将所有结构域起止位置的正负 3 bins 窗口合并。与任一合并边界窗口存在坐标重叠的高表达基因定义为 Boundary-high，其余高表达基因定义为 Nonboundary-high。</w:t>
      </w:r>
    </w:p>
    <w:p>
      <w:pPr>
        <w:keepLines w:val="0"/>
      </w:pPr>
      <w:r>
        <w:rPr>
          <w:rFonts w:ascii="Times New Roman" w:hAnsi="Times New Roman" w:eastAsia="宋体"/>
          <w:b w:val="0"/>
          <w:sz w:val="24"/>
        </w:rPr>
        <w:t>GO 注释和 KEGG 通路分别依据 Gene Ontology 与 KEGG 资源整理[23,24]。Boundary-high 和 Nonboundary-high 分别作为目标集合，以具有相应 GO 或 KEGG 注释的固定 top 10% 高表达基因作为背景，进行单侧 Fisher 精确检验。富集倍数定义为目标集合中命中条目的基因比例除以背景中命中该条目的基因比例。P 值在每个 method、condition、side 和 database 单元内分别进行 BH 校正。FDR &lt; 0.05 且 enrichment ratio &gt; 1 定义为显著富集。主图仅展示按复现次数和富集结果筛选的代表性 GO 条目和 KEGG 通路，完整检验结果保留在 canonical 表中。</w:t>
      </w:r>
    </w:p>
    <w:p>
      <w:pPr>
        <w:pStyle w:val="Heading1"/>
      </w:pPr>
      <w:r>
        <w:rPr>
          <w:rFonts w:ascii="Times New Roman" w:hAnsi="Times New Roman" w:eastAsia="黑体"/>
          <w:b/>
          <w:sz w:val="28"/>
        </w:rPr>
        <w:t>多维综合评价与方法使用指南</w:t>
      </w:r>
    </w:p>
    <w:p>
      <w:pPr>
        <w:keepLines w:val="0"/>
      </w:pPr>
      <w:r>
        <w:rPr>
          <w:rFonts w:ascii="Times New Roman" w:hAnsi="Times New Roman" w:eastAsia="宋体"/>
          <w:b w:val="0"/>
          <w:sz w:val="24"/>
        </w:rPr>
        <w:t>综合评价矩阵包含运行时间、峰值内存、识别覆盖度、Fold-change、EVRC、coolpup、Boundary Jaccard、Coverage Jaccard、Consensus F1、MOC、SSIM 和 S. cerevisiae 边界表达关联共 12 项指标。各指标保留其原始统计单位和方向，不合并为统一准确率。Fold-change 和 EVRC 的综合评价分母使用该方法识别的结构域总数，coolpup 保留染色体级聚合矩阵为统计单位，表达指标仅用于 S. cerevisiae 生物学关联。</w:t>
      </w:r>
    </w:p>
    <w:p>
      <w:pPr>
        <w:keepLines w:val="0"/>
      </w:pPr>
      <w:r>
        <w:rPr>
          <w:rFonts w:ascii="Times New Roman" w:hAnsi="Times New Roman" w:eastAsia="宋体"/>
          <w:b w:val="0"/>
          <w:sz w:val="24"/>
        </w:rPr>
        <w:t>在每个物种范围和指标内，方法按预设方向排序。运行时间和内存越低越优，其余指标越高越优。排序第一和最后的方法分别赋值 1 和 0，中间方法按排序位置线性缩放，得到仅用于图中颜色的 performance score。推荐强度另按 recommendation basis = performance score × coverage fraction × output quantity factor 计算。coverage fraction 为相应物种范围内获得结构域的染色体任务比例。output quantity factor 为二元变量，平均每个有效测试设置至少识别 10 个结构域时取 1，否则取 0。每项指标内按 recommendation basis 排序，前 4、随后 4 和其余方法分别标记为 3、2 和 1 级推荐支持。该分级是透明的决策标签，不表示统计显著性。</w:t>
      </w:r>
    </w:p>
    <w:p>
      <w:pPr>
        <w:keepLines w:val="0"/>
      </w:pPr>
      <w:r>
        <w:rPr>
          <w:rFonts w:ascii="Times New Roman" w:hAnsi="Times New Roman" w:eastAsia="宋体"/>
          <w:b w:val="0"/>
          <w:sz w:val="24"/>
        </w:rPr>
        <w:t>方法使用指南首先按峰值内存 10 GB 和运行时间 1 h 划分资源条件，再分别设置结构研究和 S. cerevisiae 边界表达或功能研究两个目标。结构研究分支综合参考三项结构验证和五项方法间一致性，表达或功能研究分支使用 S. cerevisiae 边界表达关联，并以 ATAC-seq 和功能富集作为解释证据。主图展示代表性候选方法，完整候选集合和特殊运行状态以 canonical recommendation table 为准。</w:t>
      </w:r>
    </w:p>
    <w:p>
      <w:pPr>
        <w:pStyle w:val="Heading1"/>
      </w:pPr>
      <w:r>
        <w:rPr>
          <w:rFonts w:ascii="Times New Roman" w:hAnsi="Times New Roman" w:eastAsia="黑体"/>
          <w:b/>
          <w:sz w:val="28"/>
        </w:rPr>
        <w:t>统计分析与可复现性</w:t>
      </w:r>
    </w:p>
    <w:p>
      <w:pPr>
        <w:keepLines w:val="0"/>
      </w:pPr>
      <w:r>
        <w:rPr>
          <w:rFonts w:ascii="Times New Roman" w:hAnsi="Times New Roman" w:eastAsia="宋体"/>
          <w:b w:val="0"/>
          <w:sz w:val="24"/>
        </w:rPr>
        <w:t>除特别说明外，方向性假设使用单侧检验。多重检验均采用 Benjamini-Hochberg 方法控制假发现率，BH-FDR &lt; 0.05 作为统计显著阈值[28]。效应方向和统计显著性分别计算，只有同时满足预定效应方向和 FDR 阈值时才定义为通过相应验证或关联分析。不可计算对象、零输出、内存溢出、超时和不支持输入分别保留。不同分辨率来自同一数据来源，不作为独立生物学重复。</w:t>
      </w:r>
    </w:p>
    <w:p>
      <w:pPr>
        <w:keepLines w:val="0"/>
      </w:pPr>
      <w:r>
        <w:rPr>
          <w:rFonts w:ascii="Times New Roman" w:hAnsi="Times New Roman" w:eastAsia="宋体"/>
          <w:b w:val="0"/>
          <w:sz w:val="24"/>
        </w:rPr>
        <w:t>所有下游分析均由确定性脚本完成。EVRC 三维重构使用随机种子 29，EVRC 随机背景验证根据分析单元生成稳定种子，ATAC 随机位置抽样使用种子 42。canonical 结果表记录物种、方法、数据类型、分辨率、染色体、统计单位、有效对象数量、排除原因、效应量、P 值和 FDR。论文图表所用数据从 progress/3-result 中的 canonical 表同步至 Datas，并通过文件哈希、行列数和关键统计量检查一致性。</w:t>
      </w:r>
    </w:p>
    <w:p>
      <w:pPr>
        <w:pStyle w:val="Heading1"/>
      </w:pPr>
      <w:r>
        <w:rPr>
          <w:rFonts w:ascii="Times New Roman" w:hAnsi="Times New Roman" w:eastAsia="黑体"/>
          <w:b/>
          <w:sz w:val="28"/>
        </w:rPr>
        <w:t>数据与代码可用性</w:t>
      </w:r>
    </w:p>
    <w:p>
      <w:pPr>
        <w:keepLines w:val="0"/>
      </w:pPr>
      <w:r>
        <w:rPr>
          <w:rFonts w:ascii="Times New Roman" w:hAnsi="Times New Roman" w:eastAsia="宋体"/>
          <w:b w:val="0"/>
          <w:sz w:val="24"/>
        </w:rPr>
        <w:t>公开数据的登录号见 Supplementary Table S2。13 种识别方法和 EVRC 重构程序以独立工具包运行，评价指标分析代码及 README 已整理为模块化 TAD-benchmark-protocol。该 Protocol 提供软件依赖、运行顺序、命令参数、输入输出格式、失败状态说明和文件哈希清单。处理后矩阵、结构域调用、canonical 结果表和永久代码仓库地址将在论文正式发布时一并提供。</w:t>
      </w:r>
    </w:p>
    <w:p>
      <w:pPr>
        <w:pStyle w:val="Heading1"/>
      </w:pPr>
      <w:r>
        <w:rPr>
          <w:rFonts w:ascii="Times New Roman" w:hAnsi="Times New Roman" w:eastAsia="黑体"/>
          <w:b/>
          <w:sz w:val="28"/>
        </w:rPr>
        <w:t>本节引用文献（与全文参考文献一致）</w:t>
      </w:r>
    </w:p>
    <w:p>
      <w:pPr>
        <w:ind w:firstLine="0"/>
      </w:pPr>
      <w:r>
        <w:rPr>
          <w:rFonts w:ascii="Times New Roman" w:hAnsi="Times New Roman" w:eastAsia="宋体"/>
          <w:b w:val="0"/>
          <w:sz w:val="24"/>
        </w:rPr>
        <w:t>4. Hsieh THS, Weiner A, Lajoie BR, et al. Mapping nucleosome resolution chromosome folding in yeast by Micro-C. Cell. 2015;162:108-119. doi:10.1016/j.cell.2015.05.048.</w:t>
      </w:r>
    </w:p>
    <w:p>
      <w:pPr>
        <w:ind w:firstLine="0"/>
      </w:pPr>
      <w:r>
        <w:rPr>
          <w:rFonts w:ascii="Times New Roman" w:hAnsi="Times New Roman" w:eastAsia="宋体"/>
          <w:b w:val="0"/>
          <w:sz w:val="24"/>
        </w:rPr>
        <w:t>6. Xu J, Xu X, Huang D, et al. A comprehensive benchmarking with interpretation and operational guidance for the hierarchy of topologically associating domains. Nature Communications. 2024;15:4376. doi:10.1038/s41467-024-48593-7.</w:t>
      </w:r>
    </w:p>
    <w:p>
      <w:pPr>
        <w:ind w:firstLine="0"/>
      </w:pPr>
      <w:r>
        <w:rPr>
          <w:rFonts w:ascii="Times New Roman" w:hAnsi="Times New Roman" w:eastAsia="宋体"/>
          <w:b w:val="0"/>
          <w:sz w:val="24"/>
        </w:rPr>
        <w:t>7. Li P, Hatos A, Petrovic M, et al. TADShop: systematic benchmarking and identification of topologically associating domains. Nature Methods. 2026;23:1227-1235. doi:10.1038/s41592-026-03100-2.</w:t>
      </w:r>
    </w:p>
    <w:p>
      <w:pPr>
        <w:ind w:firstLine="0"/>
      </w:pPr>
      <w:r>
        <w:rPr>
          <w:rFonts w:ascii="Times New Roman" w:hAnsi="Times New Roman" w:eastAsia="宋体"/>
          <w:b w:val="0"/>
          <w:sz w:val="24"/>
        </w:rPr>
        <w:t>12. Lioy VS, Cournac A, Marbouty M, et al. Multiscale structuring of the E. coli chromosome by nucleoid-associated and condensin proteins. Cell. 2018;172:771-783.e18. doi:10.1016/j.cell.2017.12.027.</w:t>
      </w:r>
    </w:p>
    <w:p>
      <w:pPr>
        <w:ind w:firstLine="0"/>
      </w:pPr>
      <w:r>
        <w:rPr>
          <w:rFonts w:ascii="Times New Roman" w:hAnsi="Times New Roman" w:eastAsia="宋体"/>
          <w:b w:val="0"/>
          <w:sz w:val="24"/>
        </w:rPr>
        <w:t>13. Gavrilov AA, Shamovsky I, Zhegalova I, et al. Elementary 3D organization of active and silenced E. coli genome. Nature. 2025;645:1060-1070. doi:10.1038/s41586-025-09396-y.</w:t>
      </w:r>
    </w:p>
    <w:p>
      <w:pPr>
        <w:ind w:firstLine="0"/>
      </w:pPr>
      <w:r>
        <w:rPr>
          <w:rFonts w:ascii="Times New Roman" w:hAnsi="Times New Roman" w:eastAsia="宋体"/>
          <w:b w:val="0"/>
          <w:sz w:val="24"/>
        </w:rPr>
        <w:t>20. Wang X, Gu WC, Li J, Ma BG. EVRC: reconstruction of chromosome 3D structure models using error-vector resultant algorithm with clustering coefficient. Bioinformatics. 2023;39:btad638. doi:10.1093/bioinformatics/btad638.</w:t>
      </w:r>
    </w:p>
    <w:p>
      <w:pPr>
        <w:ind w:firstLine="0"/>
      </w:pPr>
      <w:r>
        <w:rPr>
          <w:rFonts w:ascii="Times New Roman" w:hAnsi="Times New Roman" w:eastAsia="宋体"/>
          <w:b w:val="0"/>
          <w:sz w:val="24"/>
        </w:rPr>
        <w:t>21. Flyamer IM, Illingworth RS, Bickmore WA. Coolpup.py: versatile pile-up analysis of Hi-C data. Bioinformatics. 2020;36:2980-2985. doi:10.1093/bioinformatics/btaa073.</w:t>
      </w:r>
    </w:p>
    <w:p>
      <w:pPr>
        <w:ind w:firstLine="0"/>
      </w:pPr>
      <w:r>
        <w:rPr>
          <w:rFonts w:ascii="Times New Roman" w:hAnsi="Times New Roman" w:eastAsia="宋体"/>
          <w:b w:val="0"/>
          <w:sz w:val="24"/>
        </w:rPr>
        <w:t>23. The Gene Ontology Consortium. The Gene Ontology resource: enriching a GOld mine. Nucleic Acids Research. 2021;49:D325-D334. doi:10.1093/nar/gkaa1113.</w:t>
      </w:r>
    </w:p>
    <w:p>
      <w:pPr>
        <w:ind w:firstLine="0"/>
      </w:pPr>
      <w:r>
        <w:rPr>
          <w:rFonts w:ascii="Times New Roman" w:hAnsi="Times New Roman" w:eastAsia="宋体"/>
          <w:b w:val="0"/>
          <w:sz w:val="24"/>
        </w:rPr>
        <w:t>24. Kanehisa M, Furumichi M, Sato Y, Ishiguro-Watanabe M, Tanabe M. KEGG: integrating viruses and cellular organisms. Nucleic Acids Research. 2021;49:D545-D551. doi:10.1093/nar/gkaa970.</w:t>
      </w:r>
    </w:p>
    <w:p>
      <w:pPr>
        <w:ind w:firstLine="0"/>
      </w:pPr>
      <w:r>
        <w:rPr>
          <w:rFonts w:ascii="Times New Roman" w:hAnsi="Times New Roman" w:eastAsia="宋体"/>
          <w:b w:val="0"/>
          <w:sz w:val="24"/>
        </w:rPr>
        <w:t>25. Hsieh THS, Fudenberg G, Goloborodko A, Rando OJ. Micro-C XL: assaying chromosome conformation from the nucleosome to the entire genome. Nature Methods. 2016;13:1009-1011. doi:10.1038/nmeth.4025.</w:t>
      </w:r>
    </w:p>
    <w:p>
      <w:pPr>
        <w:ind w:firstLine="0"/>
      </w:pPr>
      <w:r>
        <w:rPr>
          <w:rFonts w:ascii="Times New Roman" w:hAnsi="Times New Roman" w:eastAsia="宋体"/>
          <w:b w:val="0"/>
          <w:sz w:val="24"/>
        </w:rPr>
        <w:t>26. Imakaev M, Fudenberg G, McCord RP, et al. Iterative correction of Hi-C data reveals hallmarks of chromosome organization. Nature Methods. 2012;9:999-1003. doi:10.1038/nmeth.2148.</w:t>
      </w:r>
    </w:p>
    <w:p>
      <w:pPr>
        <w:ind w:firstLine="0"/>
      </w:pPr>
      <w:r>
        <w:rPr>
          <w:rFonts w:ascii="Times New Roman" w:hAnsi="Times New Roman" w:eastAsia="宋体"/>
          <w:b w:val="0"/>
          <w:sz w:val="24"/>
        </w:rPr>
        <w:t>27. Abdennur N, Mirny LA. Cooler: scalable storage for Hi-C data and other genomically labeled arrays. Bioinformatics. 2020;36:311-316. doi:10.1093/bioinformatics/btz540.</w:t>
      </w:r>
    </w:p>
    <w:p>
      <w:pPr>
        <w:ind w:firstLine="0"/>
      </w:pPr>
      <w:r>
        <w:rPr>
          <w:rFonts w:ascii="Times New Roman" w:hAnsi="Times New Roman" w:eastAsia="宋体"/>
          <w:b w:val="0"/>
          <w:sz w:val="24"/>
        </w:rPr>
        <w:t>28. Benjamini Y, Hochberg Y. Controlling the false discovery rate: a practical and powerful approach to multiple testing. Journal of the Royal Statistical Society Series B. 1995;57:289-300. doi:10.1111/j.2517-6161.1995.tb02031.x.</w:t>
      </w:r>
    </w:p>
    <w:p>
      <w:pPr>
        <w:ind w:firstLine="0"/>
      </w:pPr>
      <w:r>
        <w:rPr>
          <w:rFonts w:ascii="Times New Roman" w:hAnsi="Times New Roman" w:eastAsia="宋体"/>
          <w:b w:val="0"/>
          <w:sz w:val="24"/>
        </w:rPr>
        <w:t>29. Wang Z, Bovik AC, Sheikh HR, Simoncelli EP. Image quality assessment: from error visibility to structural similarity. IEEE Transactions on Image Processing. 2004;13:600-612. doi:10.1109/TIP.2003.819861.</w:t>
      </w:r>
    </w:p>
    <w:sectPr w:rsidR="00FC693F" w:rsidRPr="0006063C" w:rsidSect="00034616">
      <w:pgSz w:w="12240" w:h="15840"/>
      <w:pgMar w:top="1440" w:right="1560" w:bottom="1440" w:left="1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80"/>
      <w:jc w:val="both"/>
    </w:pPr>
    <w:rPr>
      <w:rFonts w:ascii="Times New Roman" w:hAnsi="Times New Roman"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left"/>
      <w:outlineLvl w:val="0"/>
    </w:pPr>
    <w:rPr>
      <w:rFonts w:asciiTheme="majorHAnsi" w:eastAsiaTheme="majorEastAsia" w:hAnsiTheme="majorHAnsi" w:cstheme="majorBidi" w:ascii="Times New Roman" w:hAnsi="Times New Roman"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