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left"/>
      </w:pPr>
      <w:r>
        <w:rPr>
          <w:i/>
          <w:sz w:val="18"/>
        </w:rPr>
        <w:t>Bài viết gửi ấn phẩm Khoa học Dữ liệu và Trí tuệ Nhân tạo châu Á</w:t>
      </w:r>
    </w:p>
    <w:p>
      <w:pPr>
        <w:pStyle w:val="FirstParagraph"/>
        <w:jc w:val="center"/>
      </w:pPr>
      <w:r>
        <w:rPr>
          <w:b/>
          <w:bCs/>
        </w:rPr>
        <w:t xml:space="preserve">Quantum Sentiment Classification with DisCoCat:</w:t>
      </w:r>
      <w:r>
        <w:br/>
      </w:r>
      <w:r>
        <w:rPr>
          <w:b/>
          <w:bCs/>
        </w:rPr>
        <w:t xml:space="preserve">A Controlled Empirical Study on a Short Phrase SST-2 Subset</w:t>
      </w:r>
    </w:p>
    <w:p>
      <w:pPr>
        <w:pStyle w:val="BodyText"/>
        <w:jc w:val="center"/>
      </w:pPr>
      <w:r>
        <w:t xml:space="preserve">Nhat-Linh Do</w:t>
      </w:r>
      <m:oMath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*</m:t>
            </m:r>
          </m:sup>
        </m:sSup>
      </m:oMath>
      <w:r>
        <w:t xml:space="preserve">, Quang-Thai Le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, Minh-Tan Tran-Huynh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pStyle w:val="BodyText"/>
        <w:jc w:val="center"/>
      </w:pP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rPr>
          <w:i/>
          <w:iCs/>
        </w:rPr>
        <w:t xml:space="preserve">Faculty of Business Data Science,</w:t>
      </w:r>
      <w:r>
        <w:rPr>
          <w:i/>
          <w:iCs/>
        </w:rPr>
        <w:t xml:space="preserve"> </w:t>
      </w:r>
      <w:r>
        <w:rPr>
          <w:i/>
          <w:iCs/>
        </w:rPr>
        <w:t xml:space="preserve">Banking University of Ho Chi Minh City, Vietnam</w:t>
      </w:r>
      <w:r>
        <w:br/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Faculty of Management Information Systems,</w:t>
      </w:r>
      <w:r>
        <w:rPr>
          <w:i/>
          <w:iCs/>
        </w:rPr>
        <w:t xml:space="preserve"> </w:t>
      </w:r>
      <w:r>
        <w:rPr>
          <w:i/>
          <w:iCs/>
        </w:rPr>
        <w:t xml:space="preserve">Banking University of Ho Chi Minh City, Vietnam</w:t>
      </w:r>
    </w:p>
    <w:p>
      <w:pPr>
        <w:pStyle w:val="BodyText"/>
        <w:jc w:val="center"/>
      </w:pPr>
      <w:r>
        <w:rPr>
          <w:rStyle w:val="VerbatimChar"/>
        </w:rPr>
        <w:t xml:space="preserve">linh.do@hub.edu.vn, thailq@hub.edu.vn, tanthm@hub.edu.vn</w:t>
      </w:r>
    </w:p>
    <w:p>
      <w:pPr>
        <w:pStyle w:val="BodyText"/>
        <w:jc w:val="center"/>
      </w:pP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Corresponding author.</w:t>
      </w:r>
    </w:p>
    <w:p>
      <w:pPr>
        <w:pStyle w:val="BodyText"/>
        <w:spacing w:line="360" w:lineRule="auto" w:before="0" w:after="120"/>
        <w:ind w:firstLine="0"/>
        <w:jc w:val="both"/>
      </w:pPr>
      <w:r>
        <w:rPr>
          <w:b/>
          <w:bCs/>
        </w:rPr>
        <w:t xml:space="preserve">Structured Abstract</w:t>
      </w:r>
    </w:p>
    <w:p>
      <w:pPr>
        <w:pStyle w:val="BodyText"/>
        <w:spacing w:line="360" w:lineRule="auto" w:before="0" w:after="120"/>
        <w:ind w:firstLine="0"/>
        <w:jc w:val="both"/>
      </w:pPr>
      <w:r>
        <w:rPr>
          <w:b/>
          <w:bCs/>
        </w:rPr>
        <w:t xml:space="preserve">Purpose —</w:t>
      </w:r>
      <w:r>
        <w:t xml:space="preserve"> </w:t>
      </w:r>
      <w:r>
        <w:t xml:space="preserve">This study examines whether variational quantum circuits built from</w:t>
      </w:r>
      <w:r>
        <w:t xml:space="preserve"> </w:t>
      </w:r>
      <w:r>
        <w:t xml:space="preserve">Distributional Compositional Categorical (DisCoCat) diagrams can</w:t>
      </w:r>
      <w:r>
        <w:t xml:space="preserve"> </w:t>
      </w:r>
      <w:r>
        <w:t xml:space="preserve">match classical baselines of comparable scale on a short-phrase</w:t>
      </w:r>
      <w:r>
        <w:t xml:space="preserve"> </w:t>
      </w:r>
      <w:r>
        <w:t xml:space="preserve">subset of the Stanford Sentiment Treebank, and which design choices</w:t>
      </w:r>
      <w:r>
        <w:t xml:space="preserve"> </w:t>
      </w:r>
      <w:r>
        <w:t xml:space="preserve">(reader, ansatz, depth) govern trainability.</w:t>
      </w:r>
    </w:p>
    <w:p>
      <w:pPr>
        <w:pStyle w:val="BodyText"/>
        <w:spacing w:line="360" w:lineRule="auto" w:before="0" w:after="120"/>
        <w:ind w:firstLine="0"/>
        <w:jc w:val="both"/>
      </w:pPr>
      <w:r>
        <w:rPr>
          <w:b/>
          <w:bCs/>
        </w:rPr>
        <w:t xml:space="preserve">Design/methodology/approach —</w:t>
      </w:r>
      <w:r>
        <w:t xml:space="preserve"> </w:t>
      </w:r>
      <w:r>
        <w:t xml:space="preserve">A controlled grid of 60 quantum training runs is reported on a</w:t>
      </w:r>
      <w:r>
        <w:t xml:space="preserve"> </w:t>
      </w:r>
      <w:r>
        <w:t xml:space="preserve">class-balanced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/</m:t>
        </m:r>
        <m:r>
          <m:t>400</m:t>
        </m:r>
        <m:r>
          <m:rPr>
            <m:sty m:val="p"/>
          </m:rPr>
          <m:t>/</m:t>
        </m:r>
        <m:r>
          <m:t>400</m:t>
        </m:r>
      </m:oMath>
      <w:r>
        <w:t xml:space="preserve"> </w:t>
      </w:r>
      <w:r>
        <w:t xml:space="preserve">short-phrase subset, spanning two</w:t>
      </w:r>
      <w:r>
        <w:t xml:space="preserve"> </w:t>
      </w:r>
      <w:r>
        <w:t xml:space="preserve">readers (Spiders, Cups), two ansatz families (IQP, Sim14), three</w:t>
      </w:r>
      <w:r>
        <w:t xml:space="preserve"> </w:t>
      </w:r>
      <w:r>
        <w:t xml:space="preserve">depths and five seeds. Three classical baselines (LR + TF–IDF,</w:t>
      </w:r>
      <w:r>
        <w:t xml:space="preserve"> </w:t>
      </w:r>
      <w:r>
        <w:t xml:space="preserve">LR + GloVe-50d, BiLSTM) are evaluated on the same split. Pairwise</w:t>
      </w:r>
      <w:r>
        <w:t xml:space="preserve"> </w:t>
      </w:r>
      <w:r>
        <w:t xml:space="preserve">differences use McNemar tests with Holm–Bonferroni correction.</w:t>
      </w:r>
    </w:p>
    <w:p>
      <w:pPr>
        <w:pStyle w:val="BodyText"/>
        <w:spacing w:line="360" w:lineRule="auto" w:before="0" w:after="120"/>
        <w:ind w:firstLine="0"/>
        <w:jc w:val="both"/>
      </w:pPr>
      <w:r>
        <w:rPr>
          <w:b/>
          <w:bCs/>
        </w:rPr>
        <w:t xml:space="preserve">Findings —</w:t>
      </w:r>
      <w:r>
        <w:t xml:space="preserve"> </w:t>
      </w:r>
      <w:r>
        <w:t xml:space="preserve">Spiders attains</w:t>
      </w:r>
      <w:r>
        <w:t xml:space="preserve"> </w:t>
      </w:r>
      <m:oMath>
        <m:r>
          <m:t>92.05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0.64</m:t>
        </m:r>
        <m:r>
          <m:rPr>
            <m:sty m:val="p"/>
          </m:rPr>
          <m:t>%</m:t>
        </m:r>
      </m:oMath>
      <w:r>
        <w:t xml:space="preserve"> </w:t>
      </w:r>
      <w:r>
        <w:t xml:space="preserve">accuracy with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940</m:t>
        </m:r>
      </m:oMath>
      <w:r>
        <w:t xml:space="preserve"> </w:t>
      </w:r>
      <w:r>
        <w:t xml:space="preserve">parameters. Against BiLSTM (</w:t>
      </w:r>
      <m:oMath>
        <m:r>
          <m:t>91.83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82</m:t>
        </m:r>
        <m:r>
          <m:rPr>
            <m:sty m:val="p"/>
          </m:rPr>
          <m:t>,</m:t>
        </m:r>
        <m:r>
          <m:t>369</m:t>
        </m:r>
      </m:oMath>
      <w:r>
        <w:t xml:space="preserve"> </w:t>
      </w:r>
      <w:r>
        <w:t xml:space="preserve">parameters)</w:t>
      </w:r>
      <w:r>
        <w:t xml:space="preserve"> </w:t>
      </w:r>
      <w:r>
        <w:t xml:space="preserve">the difference is not significant (McNemar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0.60</m:t>
        </m:r>
      </m:oMath>
      <w:r>
        <w:t xml:space="preserve">) at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</m:oMath>
      <w:r>
        <w:t xml:space="preserve"> </w:t>
      </w:r>
      <w:r>
        <w:t xml:space="preserve">fewer parameters. Against LR + TF–IDF (</w:t>
      </w:r>
      <m:oMath>
        <m:r>
          <m:t>94.25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829</m:t>
        </m:r>
      </m:oMath>
      <w:r>
        <w:t xml:space="preserve"> </w:t>
      </w:r>
      <w:r>
        <w:t xml:space="preserve">parameters) the linear baseline is leaner and 2.2 points</w:t>
      </w:r>
      <w:r>
        <w:t xml:space="preserve"> </w:t>
      </w:r>
      <w:r>
        <w:t xml:space="preserve">more accurate; raw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0.045</m:t>
        </m:r>
      </m:oMath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Holm</m:t>
            </m:r>
          </m:sub>
        </m:sSub>
        <m:r>
          <m:rPr>
            <m:sty m:val="p"/>
          </m:rPr>
          <m:t>=</m:t>
        </m:r>
        <m:r>
          <m:t>0.39</m:t>
        </m:r>
      </m:oMath>
      <w:r>
        <w:t xml:space="preserve"> </w:t>
      </w:r>
      <w:r>
        <w:t xml:space="preserve">after Holm–Bonferroni adjustment. Two</w:t>
      </w:r>
      <w:r>
        <w:t xml:space="preserve"> </w:t>
      </w:r>
      <w:r>
        <w:t xml:space="preserve">structural findings: under single-qubit atomic types the Spiders</w:t>
      </w:r>
      <w:r>
        <w:t xml:space="preserve"> </w:t>
      </w:r>
      <w:r>
        <w:t xml:space="preserve">reader is representationally degenerate and all six ansatz/depth</w:t>
      </w:r>
      <w:r>
        <w:t xml:space="preserve"> </w:t>
      </w:r>
      <w:r>
        <w:t xml:space="preserve">combinations yield identical accuracy; the Cups + IQP family at</w:t>
      </w:r>
      <w:r>
        <w:t xml:space="preserve"> </w:t>
      </w:r>
      <w:r>
        <w:t xml:space="preserve">depth two falls into a reproducible barren-plateau-like collapse</w:t>
      </w:r>
      <w:r>
        <w:t xml:space="preserve"> </w:t>
      </w:r>
      <w:r>
        <w:t xml:space="preserve">(</w:t>
      </w:r>
      <m:oMath>
        <m:r>
          <m:t>62.8</m:t>
        </m:r>
        <m:r>
          <m:rPr>
            <m:sty m:val="p"/>
          </m:rPr>
          <m:t>%</m:t>
        </m:r>
      </m:oMath>
      <w:r>
        <w:t xml:space="preserve"> </w:t>
      </w:r>
      <w:r>
        <w:t xml:space="preserve">across all five seeds) that persists under standard</w:t>
      </w:r>
      <w:r>
        <w:t xml:space="preserve"> </w:t>
      </w:r>
      <w:r>
        <w:t xml:space="preserve">mitigation strategies.</w:t>
      </w:r>
    </w:p>
    <w:p>
      <w:pPr>
        <w:pStyle w:val="BodyText"/>
        <w:spacing w:line="360" w:lineRule="auto" w:before="0" w:after="120"/>
        <w:ind w:firstLine="0"/>
        <w:jc w:val="both"/>
      </w:pPr>
      <w:r>
        <w:rPr>
          <w:b/>
          <w:bCs/>
        </w:rPr>
        <w:t xml:space="preserve">Originality/value —</w:t>
      </w:r>
      <w:r>
        <w:t xml:space="preserve"> </w:t>
      </w:r>
      <w:r>
        <w:t xml:space="preserve">The paper contributes a reproducible pipeline on a short-phrase</w:t>
      </w:r>
      <w:r>
        <w:t xml:space="preserve"> </w:t>
      </w:r>
      <w:r>
        <w:t xml:space="preserve">subset of SST-2, a systematic 60-run reader </w:t>
      </w:r>
      <m:oMath>
        <m:r>
          <m:rPr>
            <m:sty m:val="p"/>
          </m:rPr>
          <m:t>×</m:t>
        </m:r>
      </m:oMath>
      <w:r>
        <w:t xml:space="preserve"> ansatz </w:t>
      </w:r>
      <m:oMath>
        <m:r>
          <m:rPr>
            <m:sty m:val="p"/>
          </m:rPr>
          <m:t>×</m:t>
        </m:r>
      </m:oMath>
      <w:r>
        <w:t xml:space="preserve"> depth</w:t>
      </w:r>
      <w:r>
        <w:t xml:space="preserve"> </w:t>
      </w:r>
      <w:r>
        <w:t xml:space="preserve">ablation, an empirical case study of the barren-plateau phenomenon,</w:t>
      </w:r>
      <w:r>
        <w:t xml:space="preserve"> </w:t>
      </w:r>
      <w:r>
        <w:t xml:space="preserve">and a documentation of an infrastructure-level reproducibility issue</w:t>
      </w:r>
      <w:r>
        <w:t xml:space="preserve"> </w:t>
      </w:r>
      <w:r>
        <w:t xml:space="preserve">affecting the</w:t>
      </w:r>
      <w:r>
        <w:t xml:space="preserve"> </w:t>
      </w:r>
      <w:r>
        <w:rPr>
          <w:rStyle w:val="VerbatimChar"/>
        </w:rPr>
        <w:t xml:space="preserve">lambeq</w:t>
      </w:r>
      <w:r>
        <w:t xml:space="preserve"> </w:t>
      </w:r>
      <w:r>
        <w:t xml:space="preserve">0.5 BobcatParser distribution.</w:t>
      </w:r>
    </w:p>
    <w:p>
      <w:pPr>
        <w:pStyle w:val="BodyText"/>
        <w:spacing w:line="360" w:lineRule="auto" w:before="0" w:after="120"/>
        <w:ind w:firstLine="0"/>
        <w:jc w:val="both"/>
      </w:pPr>
      <w:r>
        <w:rPr>
          <w:b/>
          <w:bCs/>
        </w:rPr>
        <w:t xml:space="preserve">Practical implications —</w:t>
      </w:r>
      <w:r>
        <w:t xml:space="preserve"> </w:t>
      </w:r>
      <w:r>
        <w:t xml:space="preserve">On this short-phrase subset and a noiseless CPU simulator,</w:t>
      </w:r>
      <w:r>
        <w:t xml:space="preserve"> </w:t>
      </w:r>
      <w:r>
        <w:t xml:space="preserve">variational quantum DisCoCat matches BiLSTM at lower parameter cost</w:t>
      </w:r>
      <w:r>
        <w:t xml:space="preserve"> </w:t>
      </w:r>
      <w:r>
        <w:t xml:space="preserve">but does not beat the sparse LR + TF–IDF baseline. Transfer to</w:t>
      </w:r>
      <w:r>
        <w:t xml:space="preserve"> </w:t>
      </w:r>
      <w:r>
        <w:t xml:space="preserve">longer sentences, NISQ hardware or other domains is an open</w:t>
      </w:r>
      <w:r>
        <w:t xml:space="preserve"> </w:t>
      </w:r>
      <w:r>
        <w:t xml:space="preserve">empirical question.</w:t>
      </w:r>
    </w:p>
    <w:p>
      <w:pPr>
        <w:pStyle w:val="BodyText"/>
        <w:spacing w:line="360" w:lineRule="auto" w:before="0" w:after="120"/>
        <w:ind w:firstLine="0"/>
        <w:jc w:val="both"/>
      </w:pPr>
      <w:r>
        <w:rPr>
          <w:b/>
          <w:bCs/>
        </w:rPr>
        <w:t xml:space="preserve">Keywords:</w:t>
      </w:r>
      <w:r>
        <w:t xml:space="preserve"> </w:t>
      </w:r>
      <w:r>
        <w:t xml:space="preserve">Quantum Natural Language Processing,</w:t>
      </w:r>
      <w:r>
        <w:t xml:space="preserve"> </w:t>
      </w:r>
      <w:r>
        <w:t xml:space="preserve">DisCoCat, Variational Quantum Algorithms, Sentiment Classification,</w:t>
      </w:r>
      <w:r>
        <w:t xml:space="preserve"> </w:t>
      </w:r>
      <w:r>
        <w:t xml:space="preserve">Barren Plateau, Reproducibility</w:t>
      </w:r>
    </w:p>
    <w:p>
      <w:pPr>
        <w:pStyle w:val="BodyText"/>
        <w:spacing w:line="360" w:lineRule="auto" w:before="0" w:after="120"/>
        <w:ind w:firstLine="0"/>
        <w:jc w:val="both"/>
      </w:pPr>
      <w:r>
        <w:rPr>
          <w:b/>
          <w:bCs/>
        </w:rPr>
        <w:t xml:space="preserve">Paper type:</w:t>
      </w:r>
      <w:r>
        <w:t xml:space="preserve"> </w:t>
      </w:r>
      <w:r>
        <w:t xml:space="preserve">Research paper</w:t>
      </w:r>
    </w:p>
    <w:bookmarkStart w:id="10" w:name="sec:intro"/>
    <w:p>
      <w:pPr>
        <w:pStyle w:val="Heading1"/>
      </w:pPr>
      <w:r>
        <w:t xml:space="preserve">Introduction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Recent progress in Natural Language Processing (NLP) has been dominated</w:t>
      </w:r>
      <w:r>
        <w:t xml:space="preserve"> </w:t>
      </w:r>
      <w:r>
        <w:t xml:space="preserve">by large pretrained language models whose parameter counts run into the</w:t>
      </w:r>
      <w:r>
        <w:t xml:space="preserve"> </w:t>
      </w:r>
      <w:r>
        <w:t xml:space="preserve">hundreds of millions or billions. While the empirical performance of</w:t>
      </w:r>
      <w:r>
        <w:t xml:space="preserve"> </w:t>
      </w:r>
      <w:r>
        <w:t xml:space="preserve">these models is impressive, their resource requirements place them</w:t>
      </w:r>
      <w:r>
        <w:t xml:space="preserve"> </w:t>
      </w:r>
      <w:r>
        <w:t xml:space="preserve">well beyond the capabilities of current near-term quantum hardware.</w:t>
      </w:r>
      <w:r>
        <w:t xml:space="preserve"> </w:t>
      </w:r>
      <w:r>
        <w:t xml:space="preserve">Quantum Natural Language Processing (QNLP), formalised in the</w:t>
      </w:r>
      <w:r>
        <w:t xml:space="preserve"> </w:t>
      </w:r>
      <w:r>
        <w:t xml:space="preserve">Distributional Compositional Categorical (DisCoCat) framework of</w:t>
      </w:r>
      <w:r>
        <w:t xml:space="preserve"> </w:t>
      </w:r>
      <w:r>
        <w:t xml:space="preserve">Coecke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(2010)</w:t>
      </w:r>
      <w:r>
        <w:t xml:space="preserve">, offers a structurally different approach in which</w:t>
      </w:r>
      <w:r>
        <w:t xml:space="preserve"> </w:t>
      </w:r>
      <w:r>
        <w:t xml:space="preserve">sentence meaning is built compositionally from word tensors according</w:t>
      </w:r>
      <w:r>
        <w:t xml:space="preserve"> </w:t>
      </w:r>
      <w:r>
        <w:t xml:space="preserve">to the pregroup grammar of the sentence. Because grammatical</w:t>
      </w:r>
      <w:r>
        <w:t xml:space="preserve"> </w:t>
      </w:r>
      <w:r>
        <w:t xml:space="preserve">composition maps naturally onto qubit registers and entangling gates,</w:t>
      </w:r>
      <w:r>
        <w:t xml:space="preserve"> </w:t>
      </w:r>
      <w:r>
        <w:t xml:space="preserve">DisCoCat models can be realised directly as variational quantum</w:t>
      </w:r>
      <w:r>
        <w:t xml:space="preserve"> </w:t>
      </w:r>
      <w:r>
        <w:t xml:space="preserve">circuits and trained on simulators or, in principle, on NISQ</w:t>
      </w:r>
      <w:r>
        <w:t xml:space="preserve"> </w:t>
      </w:r>
      <w:r>
        <w:t xml:space="preserve">hardware </w:t>
      </w:r>
      <w:r>
        <w:t xml:space="preserve">(Kartsaklis</w:t>
      </w:r>
      <w:r>
        <w:t xml:space="preserve"> </w:t>
      </w:r>
      <w:r>
        <w:rPr>
          <w:i/>
          <w:iCs/>
        </w:rPr>
        <w:t xml:space="preserve">et al.</w:t>
      </w:r>
      <w:r>
        <w:t xml:space="preserve">, 2021; Lorenz</w:t>
      </w:r>
      <w:r>
        <w:t xml:space="preserve"> </w:t>
      </w:r>
      <w:r>
        <w:rPr>
          <w:i/>
          <w:iCs/>
        </w:rPr>
        <w:t xml:space="preserve">et al.</w:t>
      </w:r>
      <w:r>
        <w:t xml:space="preserve">, 2023)</w:t>
      </w:r>
      <w:r>
        <w:t xml:space="preserve">.</w:t>
      </w:r>
    </w:p>
    <w:p>
      <w:pPr>
        <w:pStyle w:val="BodyText"/>
        <w:spacing w:line="360" w:lineRule="auto" w:before="0" w:after="120"/>
        <w:ind w:firstLine="0"/>
        <w:jc w:val="both"/>
      </w:pPr>
      <w:r>
        <w:t xml:space="preserve">We address three questions in this practical context.</w:t>
      </w:r>
      <w:r>
        <w:t xml:space="preserve"> </w:t>
      </w:r>
      <w:r>
        <w:t xml:space="preserve">How does a variational quantum DisCoCat model trained on a public</w:t>
      </w:r>
      <w:r>
        <w:t xml:space="preserve"> </w:t>
      </w:r>
      <w:r>
        <w:t xml:space="preserve">sentiment benchmark compare with classical baselines of comparable</w:t>
      </w:r>
      <w:r>
        <w:t xml:space="preserve"> </w:t>
      </w:r>
      <w:r>
        <w:t xml:space="preserve">size? Which design choices in the QNLP pipeline (reader, ansatz, or</w:t>
      </w:r>
      <w:r>
        <w:t xml:space="preserve"> </w:t>
      </w:r>
      <w:r>
        <w:t xml:space="preserve">circuit depth) are the primary drivers of performance? And how</w:t>
      </w:r>
      <w:r>
        <w:t xml:space="preserve"> </w:t>
      </w:r>
      <w:r>
        <w:t xml:space="preserve">reliably can such models be trained in practice given the well-known</w:t>
      </w:r>
      <w:r>
        <w:t xml:space="preserve"> </w:t>
      </w:r>
      <w:r>
        <w:t xml:space="preserve">optimisation pathologies of variational quantum</w:t>
      </w:r>
      <w:r>
        <w:t xml:space="preserve"> </w:t>
      </w:r>
      <w:r>
        <w:t xml:space="preserve">algorithms </w:t>
      </w:r>
      <w:r>
        <w:t xml:space="preserve">(McClean</w:t>
      </w:r>
      <w:r>
        <w:t xml:space="preserve"> </w:t>
      </w:r>
      <w:r>
        <w:rPr>
          <w:i/>
          <w:iCs/>
        </w:rPr>
        <w:t xml:space="preserve">et al.</w:t>
      </w:r>
      <w:r>
        <w:t xml:space="preserve">, 2018)</w:t>
      </w:r>
      <w:r>
        <w:t xml:space="preserve">?</w:t>
      </w:r>
    </w:p>
    <w:p>
      <w:pPr>
        <w:pStyle w:val="BodyText"/>
        <w:spacing w:line="360" w:lineRule="auto" w:before="0" w:after="120"/>
        <w:ind w:firstLine="0"/>
        <w:jc w:val="both"/>
      </w:pPr>
      <w:r>
        <w:t xml:space="preserve">To answer these questions, a controlled experimental grid of 60</w:t>
      </w:r>
      <w:r>
        <w:t xml:space="preserve"> </w:t>
      </w:r>
      <w:r>
        <w:t xml:space="preserve">quantum training runs is conducted on a class-balanced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/</m:t>
        </m:r>
        <m:r>
          <m:t>400</m:t>
        </m:r>
        <m:r>
          <m:rPr>
            <m:sty m:val="p"/>
          </m:rPr>
          <m:t>/</m:t>
        </m:r>
        <m:r>
          <m:t>400</m:t>
        </m:r>
      </m:oMath>
      <w:r>
        <w:t xml:space="preserve"> </w:t>
      </w:r>
      <w:r>
        <w:t xml:space="preserve">subset of the Stanford Sentiment Treebank</w:t>
      </w:r>
      <w:r>
        <w:t xml:space="preserve"> </w:t>
      </w:r>
      <w:r>
        <w:t xml:space="preserve">(Socher</w:t>
      </w:r>
      <w:r>
        <w:t xml:space="preserve"> </w:t>
      </w:r>
      <w:r>
        <w:rPr>
          <w:i/>
          <w:iCs/>
        </w:rPr>
        <w:t xml:space="preserve">et al.</w:t>
      </w:r>
      <w:r>
        <w:t xml:space="preserve">, 2013)</w:t>
      </w:r>
      <w:r>
        <w:t xml:space="preserve">, spanning two readers, two ansatz families, three</w:t>
      </w:r>
      <w:r>
        <w:t xml:space="preserve"> </w:t>
      </w:r>
      <w:r>
        <w:t xml:space="preserve">circuit depths and five random seeds. Three classical baselines of</w:t>
      </w:r>
      <w:r>
        <w:t xml:space="preserve"> </w:t>
      </w:r>
      <w:r>
        <w:t xml:space="preserve">different inductive bias (Logistic Regression with TF–IDF bigrams,</w:t>
      </w:r>
      <w:r>
        <w:t xml:space="preserve"> </w:t>
      </w:r>
      <w:r>
        <w:t xml:space="preserve">Logistic Regression with averaged GloVe embeddings, and a</w:t>
      </w:r>
      <w:r>
        <w:t xml:space="preserve"> </w:t>
      </w:r>
      <w:r>
        <w:t xml:space="preserve">single-layer Bidirectional LSTM) are evaluated on the same split.</w:t>
      </w:r>
    </w:p>
    <w:p>
      <w:pPr>
        <w:pStyle w:val="BodyText"/>
        <w:spacing w:line="360" w:lineRule="auto" w:before="0" w:after="120"/>
        <w:ind w:firstLine="0"/>
        <w:jc w:val="both"/>
      </w:pPr>
      <w:r>
        <w:t xml:space="preserve">The contributions of the paper are threefold. First, a fully</w:t>
      </w:r>
      <w:r>
        <w:t xml:space="preserve"> </w:t>
      </w:r>
      <w:r>
        <w:t xml:space="preserve">reproducible pipeline from raw Stanford Sentiment Treebank data,</w:t>
      </w:r>
      <w:r>
        <w:t xml:space="preserve"> </w:t>
      </w:r>
      <w:r>
        <w:t xml:space="preserve">through DisCoCat diagrams and quantum circuits, to final evaluation</w:t>
      </w:r>
      <w:r>
        <w:t xml:space="preserve"> </w:t>
      </w:r>
      <w:r>
        <w:t xml:space="preserve">metrics is released as open source at</w:t>
      </w:r>
      <w:r>
        <w:t xml:space="preserve"> </w:t>
      </w:r>
      <w:hyperlink r:id="rId9">
        <w:r>
          <w:rPr>
            <w:rStyle w:val="Hyperlink"/>
          </w:rPr>
          <w:t xml:space="preserve">https://github.com/hublinhdn/nlp_quantum_hub</w:t>
        </w:r>
      </w:hyperlink>
      <w:r>
        <w:t xml:space="preserve">, including all</w:t>
      </w:r>
      <w:r>
        <w:t xml:space="preserve"> </w:t>
      </w:r>
      <w:r>
        <w:t xml:space="preserve">preprocessing decisions, hyperparameters, evaluation procedures and</w:t>
      </w:r>
      <w:r>
        <w:t xml:space="preserve"> </w:t>
      </w:r>
      <w:r>
        <w:t xml:space="preserve">the per-seed prediction artefacts required to reproduce every figure</w:t>
      </w:r>
      <w:r>
        <w:t xml:space="preserve"> </w:t>
      </w:r>
      <w:r>
        <w:t xml:space="preserve">and table in this paper. Second, the 60-run grid produces</w:t>
      </w:r>
      <w:r>
        <w:t xml:space="preserve"> </w:t>
      </w:r>
      <w:r>
        <w:t xml:space="preserve">two methodologically informative observations: the Spiders reader with</w:t>
      </w:r>
      <w:r>
        <w:t xml:space="preserve"> </w:t>
      </w:r>
      <w:r>
        <w:t xml:space="preserve">single-qubit atomic types is representationally degenerate, and the</w:t>
      </w:r>
      <w:r>
        <w:t xml:space="preserve"> </w:t>
      </w:r>
      <w:r>
        <w:t xml:space="preserve">Cups + IQP family falls into a reproducible barren-plateau-like</w:t>
      </w:r>
      <w:r>
        <w:t xml:space="preserve"> </w:t>
      </w:r>
      <w:r>
        <w:t xml:space="preserve">collapse at depth two. Third, an infrastructure-level reproducibility issue is</w:t>
      </w:r>
      <w:r>
        <w:t xml:space="preserve"> </w:t>
      </w:r>
      <w:r>
        <w:t xml:space="preserve">documented (the deprecated</w:t>
      </w:r>
      <w:r>
        <w:t xml:space="preserve"> </w:t>
      </w:r>
      <w:r>
        <w:rPr>
          <w:rStyle w:val="VerbatimChar"/>
        </w:rPr>
        <w:t xml:space="preserve">qnlp.cambridgequantum.com</w:t>
      </w:r>
      <w:r>
        <w:t xml:space="preserve"> </w:t>
      </w:r>
      <w:r>
        <w:t xml:space="preserve">domain</w:t>
      </w:r>
      <w:r>
        <w:t xml:space="preserve"> </w:t>
      </w:r>
      <w:r>
        <w:t xml:space="preserve">referenced by</w:t>
      </w:r>
      <w:r>
        <w:t xml:space="preserve"> </w:t>
      </w:r>
      <w:r>
        <w:rPr>
          <w:rStyle w:val="VerbatimChar"/>
        </w:rPr>
        <w:t xml:space="preserve">lambeq</w:t>
      </w:r>
      <w:r>
        <w:t xml:space="preserve"> </w:t>
      </w:r>
      <w:r>
        <w:t xml:space="preserve">0.5.0 for the BobcatParser model), and</w:t>
      </w:r>
      <w:r>
        <w:t xml:space="preserve"> </w:t>
      </w:r>
      <w:r>
        <w:t xml:space="preserve">a workaround based on the self-contained Spiders and Cups readers is</w:t>
      </w:r>
      <w:r>
        <w:t xml:space="preserve"> </w:t>
      </w:r>
      <w:r>
        <w:t xml:space="preserve">described.</w:t>
      </w:r>
    </w:p>
    <w:p>
      <w:pPr>
        <w:pStyle w:val="BodyText"/>
        <w:spacing w:line="360" w:lineRule="auto" w:before="0" w:after="120"/>
        <w:ind w:firstLine="0"/>
        <w:jc w:val="both"/>
      </w:pPr>
      <w:r>
        <w:t xml:space="preserve">The remainder of the paper is organised as follows.</w:t>
      </w:r>
      <w:r>
        <w:t xml:space="preserve"> </w:t>
      </w:r>
      <w:r>
        <w:t xml:space="preserve">Section </w:t>
      </w:r>
      <w:hyperlink w:anchor="sec:related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reviews the DisCoCat framework, QNLP</w:t>
      </w:r>
      <w:r>
        <w:t xml:space="preserve"> </w:t>
      </w:r>
      <w:r>
        <w:t xml:space="preserve">literature and variational quantum circuit ansatzes.</w:t>
      </w:r>
      <w:r>
        <w:t xml:space="preserve"> </w:t>
      </w:r>
      <w:r>
        <w:t xml:space="preserve">Section </w:t>
      </w:r>
      <w:hyperlink w:anchor="sec:method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describes the data pipeline, models and</w:t>
      </w:r>
      <w:r>
        <w:t xml:space="preserve"> </w:t>
      </w:r>
      <w:r>
        <w:t xml:space="preserve">training protocol. Section </w:t>
      </w:r>
      <w:hyperlink w:anchor="sec:result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reports the main</w:t>
      </w:r>
      <w:r>
        <w:t xml:space="preserve"> </w:t>
      </w:r>
      <w:r>
        <w:t xml:space="preserve">experimental results. Section </w:t>
      </w:r>
      <w:hyperlink w:anchor="sec:discussion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discusses</w:t>
      </w:r>
      <w:r>
        <w:t xml:space="preserve"> </w:t>
      </w:r>
      <w:r>
        <w:t xml:space="preserve">implications, limitations and practical considerations.</w:t>
      </w:r>
      <w:r>
        <w:t xml:space="preserve"> </w:t>
      </w:r>
      <w:r>
        <w:t xml:space="preserve">Section </w:t>
      </w:r>
      <w:hyperlink w:anchor="sec:conclusion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concludes.</w:t>
      </w:r>
    </w:p>
    <w:bookmarkEnd w:id="10"/>
    <w:bookmarkStart w:id="16" w:name="sec:related"/>
    <w:p>
      <w:pPr>
        <w:pStyle w:val="Heading1"/>
      </w:pPr>
      <w:r>
        <w:t xml:space="preserve">Literature Review</w:t>
      </w:r>
    </w:p>
    <w:bookmarkStart w:id="11" w:name="X64c53552ab1fa4bc0917954733c6e7bf7a1ed0b"/>
    <w:p>
      <w:pPr>
        <w:pStyle w:val="Heading2"/>
      </w:pPr>
      <w:r>
        <w:t xml:space="preserve">DisCoCat and Compositional Distributional Semantics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The Distributional Compositional Categorical model</w:t>
      </w:r>
      <w:r>
        <w:t xml:space="preserve"> </w:t>
      </w:r>
      <w:r>
        <w:t xml:space="preserve">(Coecke</w:t>
      </w:r>
      <w:r>
        <w:t xml:space="preserve"> </w:t>
      </w:r>
      <w:r>
        <w:rPr>
          <w:i/>
          <w:iCs/>
        </w:rPr>
        <w:t xml:space="preserve">et al.</w:t>
      </w:r>
      <w:r>
        <w:t xml:space="preserve">, 2010)</w:t>
      </w:r>
      <w:r>
        <w:t xml:space="preserve"> </w:t>
      </w:r>
      <w:r>
        <w:t xml:space="preserve">unifies two strands of computational semantics:</w:t>
      </w:r>
      <w:r>
        <w:t xml:space="preserve"> </w:t>
      </w:r>
      <w:r>
        <w:t xml:space="preserve">distributional word representations, in which words are vectors in a</w:t>
      </w:r>
      <w:r>
        <w:t xml:space="preserve"> </w:t>
      </w:r>
      <w:r>
        <w:t xml:space="preserve">high-dimensional space, and compositional grammar, in which sentences</w:t>
      </w:r>
      <w:r>
        <w:t xml:space="preserve"> </w:t>
      </w:r>
      <w:r>
        <w:t xml:space="preserve">are constructed by combining word meanings according to syntactic</w:t>
      </w:r>
      <w:r>
        <w:t xml:space="preserve"> </w:t>
      </w:r>
      <w:r>
        <w:t xml:space="preserve">structure. The framework uses pregroup grammar </w:t>
      </w:r>
      <w:r>
        <w:t xml:space="preserve">(Lambek, 1958)</w:t>
      </w:r>
      <w:r>
        <w:t xml:space="preserve"> </w:t>
      </w:r>
      <w:r>
        <w:t xml:space="preserve">to</w:t>
      </w:r>
      <w:r>
        <w:t xml:space="preserve"> </w:t>
      </w:r>
      <w:r>
        <w:t xml:space="preserve">assign each word a type formed from atomic categories (e.g. 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noun,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sentence) and their adjoints. A sentence is</w:t>
      </w:r>
      <w:r>
        <w:t xml:space="preserve"> </w:t>
      </w:r>
      <w:r>
        <w:t xml:space="preserve">grammatical if its sequence of types reduces 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under</w:t>
      </w:r>
      <w:r>
        <w:t xml:space="preserve"> </w:t>
      </w:r>
      <w:r>
        <w:t xml:space="preserve">contraction; the resulting reduction is represented as a string diagram</w:t>
      </w:r>
      <w:r>
        <w:t xml:space="preserve"> </w:t>
      </w:r>
      <w:r>
        <w:t xml:space="preserve">in a monoidal category, simultaneously encoding the syntactic</w:t>
      </w:r>
      <w:r>
        <w:t xml:space="preserve"> </w:t>
      </w:r>
      <w:r>
        <w:t xml:space="preserve">derivation and the semantic composition.</w:t>
      </w:r>
    </w:p>
    <w:p>
      <w:pPr>
        <w:pStyle w:val="BodyText"/>
        <w:spacing w:line="360" w:lineRule="auto" w:before="0" w:after="120"/>
        <w:ind w:firstLine="0"/>
        <w:jc w:val="both"/>
      </w:pPr>
      <w:r>
        <w:t xml:space="preserve">In the categorical formulation, words are morphisms from the</w:t>
      </w:r>
      <w:r>
        <w:t xml:space="preserve"> </w:t>
      </w:r>
      <w:r>
        <w:t xml:space="preserve">monoidal unit to a tensor product of atomic types, and the sentence is</w:t>
      </w:r>
      <w:r>
        <w:t xml:space="preserve"> </w:t>
      </w:r>
      <w:r>
        <w:t xml:space="preserve">the composition of those morphisms. Realising the composition in a</w:t>
      </w:r>
      <w:r>
        <w:t xml:space="preserve"> </w:t>
      </w:r>
      <w:r>
        <w:t xml:space="preserve">finite-dimensional Hilbert space therefore yields a direct mapping</w:t>
      </w:r>
      <w:r>
        <w:t xml:space="preserve"> </w:t>
      </w:r>
      <w:r>
        <w:t xml:space="preserve">between sentences and quantum states: words become parameterised</w:t>
      </w:r>
      <w:r>
        <w:t xml:space="preserve"> </w:t>
      </w:r>
      <w:r>
        <w:t xml:space="preserve">quantum states, atomic types become qubit registers, and grammatical</w:t>
      </w:r>
      <w:r>
        <w:t xml:space="preserve"> </w:t>
      </w:r>
      <w:r>
        <w:t xml:space="preserve">contractions are realised by measurement-induced post-selection or by</w:t>
      </w:r>
      <w:r>
        <w:t xml:space="preserve"> </w:t>
      </w:r>
      <w:r>
        <w:t xml:space="preserve">measurement of an output register.</w:t>
      </w:r>
    </w:p>
    <w:bookmarkEnd w:id="11"/>
    <w:bookmarkStart w:id="12" w:name="quantum-natural-language-processing"/>
    <w:p>
      <w:pPr>
        <w:pStyle w:val="Heading2"/>
      </w:pPr>
      <w:r>
        <w:t xml:space="preserve">Quantum Natural Language Processing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Practical QNLP toolchains have been developed by Quantinuum and</w:t>
      </w:r>
      <w:r>
        <w:t xml:space="preserve"> </w:t>
      </w:r>
      <w:r>
        <w:t xml:space="preserve">collaborators. The</w:t>
      </w:r>
      <w:r>
        <w:t xml:space="preserve"> </w:t>
      </w:r>
      <w:r>
        <w:rPr>
          <w:rStyle w:val="VerbatimChar"/>
        </w:rPr>
        <w:t xml:space="preserve">lambeq</w:t>
      </w:r>
      <w:r>
        <w:t xml:space="preserve"> </w:t>
      </w:r>
      <w:r>
        <w:t xml:space="preserve">library </w:t>
      </w:r>
      <w:r>
        <w:t xml:space="preserve">(Kartsaklis</w:t>
      </w:r>
      <w:r>
        <w:t xml:space="preserve"> </w:t>
      </w:r>
      <w:r>
        <w:rPr>
          <w:i/>
          <w:iCs/>
        </w:rPr>
        <w:t xml:space="preserve">et al.</w:t>
      </w:r>
      <w:r>
        <w:t xml:space="preserve">, 2021)</w:t>
      </w:r>
      <w:r>
        <w:t xml:space="preserve"> </w:t>
      </w:r>
      <w:r>
        <w:t xml:space="preserve">implements the full DisCoCat pipeline (CCG parsing, pregroup</w:t>
      </w:r>
      <w:r>
        <w:t xml:space="preserve"> </w:t>
      </w:r>
      <w:r>
        <w:t xml:space="preserve">conversion, rewriter application and ansatz functor) in Python and</w:t>
      </w:r>
      <w:r>
        <w:t xml:space="preserve"> </w:t>
      </w:r>
      <w:r>
        <w:t xml:space="preserve">provides interfaces to multiple quantum back-ends, including</w:t>
      </w:r>
      <w:r>
        <w:t xml:space="preserve"> </w:t>
      </w:r>
      <w:r>
        <w:t xml:space="preserve">PennyLane</w:t>
      </w:r>
      <w:r>
        <w:t xml:space="preserve"> </w:t>
      </w:r>
      <w:r>
        <w:t xml:space="preserve">(Bergholm</w:t>
      </w:r>
      <w:r>
        <w:t xml:space="preserve"> </w:t>
      </w:r>
      <w:r>
        <w:rPr>
          <w:i/>
          <w:iCs/>
        </w:rPr>
        <w:t xml:space="preserve">et al.</w:t>
      </w:r>
      <w:r>
        <w:t xml:space="preserve">, 2018)</w:t>
      </w:r>
      <w:r>
        <w:t xml:space="preserve">.</w:t>
      </w:r>
      <w:r>
        <w:t xml:space="preserve"> </w:t>
      </w:r>
      <w:r>
        <w:t xml:space="preserve">Lorenz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(2023)</w:t>
      </w:r>
      <w:r>
        <w:t xml:space="preserve"> </w:t>
      </w:r>
      <w:r>
        <w:t xml:space="preserve">demonstrate that small DisCoCat models can be</w:t>
      </w:r>
      <w:r>
        <w:t xml:space="preserve"> </w:t>
      </w:r>
      <w:r>
        <w:t xml:space="preserve">trained on real Quantinuum H1 hardware for binary classification of</w:t>
      </w:r>
      <w:r>
        <w:t xml:space="preserve"> </w:t>
      </w:r>
      <w:r>
        <w:t xml:space="preserve"> 130 phrases, reaching accuracies in the region of</w:t>
      </w:r>
      <w:r>
        <w:t xml:space="preserve"> </w:t>
      </w:r>
      <m:oMath>
        <m:r>
          <m:t>80</m:t>
        </m:r>
        <m:r>
          <m:rPr>
            <m:sty m:val="p"/>
          </m:rPr>
          <m:t>%</m:t>
        </m:r>
      </m:oMath>
      <w:r>
        <w:t xml:space="preserve">.</w:t>
      </w:r>
      <w:r>
        <w:t xml:space="preserve"> </w:t>
      </w:r>
      <w:r>
        <w:t xml:space="preserve">Meichanetzidis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(2020)</w:t>
      </w:r>
      <w:r>
        <w:t xml:space="preserve"> </w:t>
      </w:r>
      <w:r>
        <w:t xml:space="preserve">provide complementary analysis on</w:t>
      </w:r>
      <w:r>
        <w:t xml:space="preserve"> </w:t>
      </w:r>
      <w:r>
        <w:t xml:space="preserve">near-term quantum devices. More recently,</w:t>
      </w:r>
      <w:r>
        <w:t xml:space="preserve"> </w:t>
      </w:r>
      <w:r>
        <w:t xml:space="preserve">Xu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(2024)</w:t>
      </w:r>
      <w:r>
        <w:t xml:space="preserve"> </w:t>
      </w:r>
      <w:r>
        <w:t xml:space="preserve">introduce</w:t>
      </w:r>
      <w:r>
        <w:t xml:space="preserve"> </w:t>
      </w:r>
      <w:r>
        <w:t xml:space="preserve">quantum recurrent architectures for text classification at scale and</w:t>
      </w:r>
      <w:r>
        <w:t xml:space="preserve"> </w:t>
      </w:r>
      <w:r>
        <w:t xml:space="preserve">report results on standard NLP benchmarks.</w:t>
      </w:r>
      <w:r>
        <w:t xml:space="preserve"> </w:t>
      </w:r>
      <w:r>
        <w:t xml:space="preserve">Buonaiuto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(2024)</w:t>
      </w:r>
      <w:r>
        <w:t xml:space="preserve"> </w:t>
      </w:r>
      <w:r>
        <w:t xml:space="preserve">investigate quantum transfer learning for grammatical acceptability</w:t>
      </w:r>
      <w:r>
        <w:t xml:space="preserve"> </w:t>
      </w:r>
      <w:r>
        <w:t xml:space="preserve">judgements, demonstrating that QNLP models can transfer linguistic</w:t>
      </w:r>
      <w:r>
        <w:t xml:space="preserve"> </w:t>
      </w:r>
      <w:r>
        <w:t xml:space="preserve">knowledge across related tasks. Our work continues this line of</w:t>
      </w:r>
      <w:r>
        <w:t xml:space="preserve"> </w:t>
      </w:r>
      <w:r>
        <w:t xml:space="preserve">practical QNLP studies, but at order-of-magnitude larger scale than</w:t>
      </w:r>
      <w:r>
        <w:t xml:space="preserve"> </w:t>
      </w:r>
      <w:r>
        <w:t xml:space="preserve">Lorenz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(2023)</w:t>
      </w:r>
      <w:r>
        <w:t xml:space="preserve"> </w:t>
      </w:r>
      <w:r>
        <w:t xml:space="preserve">on a public benchmark, with five-seed statistical</w:t>
      </w:r>
      <w:r>
        <w:t xml:space="preserve"> </w:t>
      </w:r>
      <w:r>
        <w:t xml:space="preserve">analysis.</w:t>
      </w:r>
    </w:p>
    <w:bookmarkEnd w:id="12"/>
    <w:bookmarkStart w:id="13" w:name="variational-quantum-ansatzes"/>
    <w:p>
      <w:pPr>
        <w:pStyle w:val="Heading2"/>
      </w:pPr>
      <w:r>
        <w:t xml:space="preserve">Variational Quantum Ansatzes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A variational quantum ansatz is a parameterised quantum circuit family</w:t>
      </w:r>
      <w:r>
        <w:t xml:space="preserve"> </w:t>
      </w:r>
      <w:r>
        <w:t xml:space="preserve">with fixed topology and trainable rotation angles. The IQP family</w:t>
      </w:r>
      <w:r>
        <w:t xml:space="preserve"> </w:t>
      </w:r>
      <w:r>
        <w:t xml:space="preserve">(Havlı́ček</w:t>
      </w:r>
      <w:r>
        <w:t xml:space="preserve"> </w:t>
      </w:r>
      <w:r>
        <w:rPr>
          <w:i/>
          <w:iCs/>
        </w:rPr>
        <w:t xml:space="preserve">et al.</w:t>
      </w:r>
      <w:r>
        <w:t xml:space="preserve">, 2019)</w:t>
      </w:r>
      <w:r>
        <w:t xml:space="preserve"> </w:t>
      </w:r>
      <w:r>
        <w:t xml:space="preserve">alternates layers of single-qubit Hadamard gates</w:t>
      </w:r>
      <w:r>
        <w:t xml:space="preserve"> </w:t>
      </w:r>
      <w:r>
        <w:t xml:space="preserve">with diagonal phase entangling gates.</w:t>
      </w:r>
      <w:r>
        <w:t xml:space="preserve"> </w:t>
      </w:r>
      <w:r>
        <w:t xml:space="preserve">Sim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(2019)</w:t>
      </w:r>
      <w:r>
        <w:t xml:space="preserve"> </w:t>
      </w:r>
      <w:r>
        <w:t xml:space="preserve">catalogue nineteen hardware-efficient circuit</w:t>
      </w:r>
      <w:r>
        <w:t xml:space="preserve"> </w:t>
      </w:r>
      <w:r>
        <w:t xml:space="preserve">topologies; the Sim14 family uses controlled rotation gates in a</w:t>
      </w:r>
      <w:r>
        <w:t xml:space="preserve"> </w:t>
      </w:r>
      <w:r>
        <w:t xml:space="preserve">hardware-efficient pattern with strong per-layer entanglement. The number of layers</w:t>
      </w:r>
      <w:r>
        <w:t xml:space="preserve"> </w:t>
      </w:r>
      <w:r>
        <w:t xml:space="preserve">controls expressive capacity but also exposes the optimisation</w:t>
      </w:r>
      <w:r>
        <w:t xml:space="preserve"> </w:t>
      </w:r>
      <w:r>
        <w:t xml:space="preserve">landscape to the barren-plateau phenomenon</w:t>
      </w:r>
      <w:r>
        <w:t xml:space="preserve"> </w:t>
      </w:r>
      <w:r>
        <w:t xml:space="preserve">(Cerezo</w:t>
      </w:r>
      <w:r>
        <w:t xml:space="preserve"> </w:t>
      </w:r>
      <w:r>
        <w:rPr>
          <w:i/>
          <w:iCs/>
        </w:rPr>
        <w:t xml:space="preserve">et al.</w:t>
      </w:r>
      <w:r>
        <w:t xml:space="preserve">, 2021; McClean</w:t>
      </w:r>
      <w:r>
        <w:t xml:space="preserve"> </w:t>
      </w:r>
      <w:r>
        <w:rPr>
          <w:i/>
          <w:iCs/>
        </w:rPr>
        <w:t xml:space="preserve">et al.</w:t>
      </w:r>
      <w:r>
        <w:t xml:space="preserve">, 2018)</w:t>
      </w:r>
      <w:r>
        <w:t xml:space="preserve">, in which gradient magnitudes vanish</w:t>
      </w:r>
      <w:r>
        <w:t xml:space="preserve"> </w:t>
      </w:r>
      <w:r>
        <w:t xml:space="preserve">exponentially with circuit size, rendering training intractable. The</w:t>
      </w:r>
      <w:r>
        <w:t xml:space="preserve"> </w:t>
      </w:r>
      <w:r>
        <w:t xml:space="preserve">training dynamics of these ansatzes on DisCoCat-derived circuits are</w:t>
      </w:r>
      <w:r>
        <w:t xml:space="preserve"> </w:t>
      </w:r>
      <w:r>
        <w:t xml:space="preserve">one of the central empirical questions in this paper.</w:t>
      </w:r>
    </w:p>
    <w:bookmarkEnd w:id="13"/>
    <w:bookmarkStart w:id="14" w:name="Xe500e7cbba6faf441c59b7da9368cf21f11a188"/>
    <w:p>
      <w:pPr>
        <w:pStyle w:val="Heading2"/>
      </w:pPr>
      <w:r>
        <w:t xml:space="preserve">Sentiment Classification and the SST-2 Benchmark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Sentiment classification is one of the most extensively studied tasks</w:t>
      </w:r>
      <w:r>
        <w:t xml:space="preserve"> </w:t>
      </w:r>
      <w:r>
        <w:t xml:space="preserve">in NLP and a canonical setting for evaluating new methods on short</w:t>
      </w:r>
      <w:r>
        <w:t xml:space="preserve"> </w:t>
      </w:r>
      <w:r>
        <w:t xml:space="preserve">text. Classical approaches range from sparse bag-of-words representations</w:t>
      </w:r>
      <w:r>
        <w:t xml:space="preserve"> </w:t>
      </w:r>
      <w:r>
        <w:t xml:space="preserve">combined with logistic regression</w:t>
      </w:r>
      <w:r>
        <w:t xml:space="preserve"> </w:t>
      </w:r>
      <w:r>
        <w:t xml:space="preserve">(Pedregosa</w:t>
      </w:r>
      <w:r>
        <w:t xml:space="preserve"> </w:t>
      </w:r>
      <w:r>
        <w:rPr>
          <w:i/>
          <w:iCs/>
        </w:rPr>
        <w:t xml:space="preserve">et al.</w:t>
      </w:r>
      <w:r>
        <w:t xml:space="preserve">, 2011)</w:t>
      </w:r>
      <w:r>
        <w:t xml:space="preserve"> </w:t>
      </w:r>
      <w:r>
        <w:t xml:space="preserve">through dense</w:t>
      </w:r>
      <w:r>
        <w:t xml:space="preserve"> </w:t>
      </w:r>
      <w:r>
        <w:t xml:space="preserve">distributed representations such as word2vec</w:t>
      </w:r>
      <w:r>
        <w:t xml:space="preserve"> </w:t>
      </w:r>
      <w:r>
        <w:t xml:space="preserve">(Mikolov</w:t>
      </w:r>
      <w:r>
        <w:t xml:space="preserve"> </w:t>
      </w:r>
      <w:r>
        <w:rPr>
          <w:i/>
          <w:iCs/>
        </w:rPr>
        <w:t xml:space="preserve">et al.</w:t>
      </w:r>
      <w:r>
        <w:t xml:space="preserve">, 2013)</w:t>
      </w:r>
      <w:r>
        <w:t xml:space="preserve"> </w:t>
      </w:r>
      <w:r>
        <w:t xml:space="preserve">and</w:t>
      </w:r>
      <w:r>
        <w:t xml:space="preserve"> </w:t>
      </w:r>
      <w:r>
        <w:t xml:space="preserve">GloVe</w:t>
      </w:r>
      <w:r>
        <w:t xml:space="preserve"> </w:t>
      </w:r>
      <w:r>
        <w:t xml:space="preserve">(Pennington</w:t>
      </w:r>
      <w:r>
        <w:t xml:space="preserve"> </w:t>
      </w:r>
      <w:r>
        <w:rPr>
          <w:i/>
          <w:iCs/>
        </w:rPr>
        <w:t xml:space="preserve">et al.</w:t>
      </w:r>
      <w:r>
        <w:t xml:space="preserve">, 2014)</w:t>
      </w:r>
      <w:r>
        <w:t xml:space="preserve">, to sequential neural models including</w:t>
      </w:r>
      <w:r>
        <w:t xml:space="preserve"> </w:t>
      </w:r>
      <w:r>
        <w:t xml:space="preserve">LSTM-based architectures</w:t>
      </w:r>
      <w:r>
        <w:t xml:space="preserve"> </w:t>
      </w:r>
      <w:r>
        <w:t xml:space="preserve">(Hochreiter and Schmidhuber, 1997)</w:t>
      </w:r>
      <w:r>
        <w:t xml:space="preserve"> </w:t>
      </w:r>
      <w:r>
        <w:t xml:space="preserve">and, more recently,</w:t>
      </w:r>
      <w:r>
        <w:t xml:space="preserve"> </w:t>
      </w:r>
      <w:r>
        <w:t xml:space="preserve">transformer-based pretrained language models such as BERT</w:t>
      </w:r>
      <w:r>
        <w:t xml:space="preserve"> </w:t>
      </w:r>
      <w:r>
        <w:t xml:space="preserve">(Devlin</w:t>
      </w:r>
      <w:r>
        <w:t xml:space="preserve"> </w:t>
      </w:r>
      <w:r>
        <w:rPr>
          <w:i/>
          <w:iCs/>
        </w:rPr>
        <w:t xml:space="preserve">et al.</w:t>
      </w:r>
      <w:r>
        <w:t xml:space="preserve">, 2019)</w:t>
      </w:r>
      <w:r>
        <w:t xml:space="preserve">. Each family encodes a different inductive</w:t>
      </w:r>
      <w:r>
        <w:t xml:space="preserve"> </w:t>
      </w:r>
      <w:r>
        <w:t xml:space="preserve">bias: bag-of-words models capture lexical sentiment directly,</w:t>
      </w:r>
      <w:r>
        <w:t xml:space="preserve"> </w:t>
      </w:r>
      <w:r>
        <w:t xml:space="preserve">distributed embeddings encode semantic similarity in continuous</w:t>
      </w:r>
      <w:r>
        <w:t xml:space="preserve"> </w:t>
      </w:r>
      <w:r>
        <w:t xml:space="preserve">spaces, sequential models exploit token order, and transformer models</w:t>
      </w:r>
      <w:r>
        <w:t xml:space="preserve"> </w:t>
      </w:r>
      <w:r>
        <w:t xml:space="preserve">exploit large-scale pretraining. The QNLP framework, by contrast,</w:t>
      </w:r>
      <w:r>
        <w:t xml:space="preserve"> </w:t>
      </w:r>
      <w:r>
        <w:t xml:space="preserve">encodes</w:t>
      </w:r>
      <w:r>
        <w:t xml:space="preserve"> </w:t>
      </w:r>
      <w:r>
        <w:rPr>
          <w:i/>
          <w:iCs/>
        </w:rPr>
        <w:t xml:space="preserve">compositional</w:t>
      </w:r>
      <w:r>
        <w:t xml:space="preserve"> </w:t>
      </w:r>
      <w:r>
        <w:t xml:space="preserve">structure directly into the model’s</w:t>
      </w:r>
      <w:r>
        <w:t xml:space="preserve"> </w:t>
      </w:r>
      <w:r>
        <w:t xml:space="preserve">topology, an inductive bias that is, in principle, particularly</w:t>
      </w:r>
      <w:r>
        <w:t xml:space="preserve"> </w:t>
      </w:r>
      <w:r>
        <w:t xml:space="preserve">well-suited to phenomena such as negation, modification and</w:t>
      </w:r>
      <w:r>
        <w:t xml:space="preserve"> </w:t>
      </w:r>
      <w:r>
        <w:t xml:space="preserve">co-ordination.</w:t>
      </w:r>
    </w:p>
    <w:p>
      <w:pPr>
        <w:pStyle w:val="BodyText"/>
        <w:spacing w:line="360" w:lineRule="auto" w:before="0" w:after="120"/>
        <w:ind w:firstLine="0"/>
        <w:jc w:val="both"/>
      </w:pPr>
      <w:r>
        <w:t xml:space="preserve">The Stanford Sentiment Treebank</w:t>
      </w:r>
      <w:r>
        <w:t xml:space="preserve"> </w:t>
      </w:r>
      <w:r>
        <w:t xml:space="preserve">(Socher</w:t>
      </w:r>
      <w:r>
        <w:t xml:space="preserve"> </w:t>
      </w:r>
      <w:r>
        <w:rPr>
          <w:i/>
          <w:iCs/>
        </w:rPr>
        <w:t xml:space="preserve">et al.</w:t>
      </w:r>
      <w:r>
        <w:t xml:space="preserve">, 2013)</w:t>
      </w:r>
      <w:r>
        <w:t xml:space="preserve"> </w:t>
      </w:r>
      <w:r>
        <w:t xml:space="preserve">provides</w:t>
      </w:r>
      <w:r>
        <w:t xml:space="preserve"> </w:t>
      </w:r>
      <w:r>
        <w:t xml:space="preserve">fine-grained sentiment annotations on phrases extracted from parse</w:t>
      </w:r>
      <w:r>
        <w:t xml:space="preserve"> </w:t>
      </w:r>
      <w:r>
        <w:t xml:space="preserve">trees of movie reviews. The binary subset (SST-2), derived by</w:t>
      </w:r>
      <w:r>
        <w:t xml:space="preserve"> </w:t>
      </w:r>
      <w:r>
        <w:t xml:space="preserve">thresholding the continuous sentiment score, is one of the canonical</w:t>
      </w:r>
      <w:r>
        <w:t xml:space="preserve"> </w:t>
      </w:r>
      <w:r>
        <w:t xml:space="preserve">benchmarks for binary sentiment classification in classical NLP, and</w:t>
      </w:r>
      <w:r>
        <w:t xml:space="preserve"> </w:t>
      </w:r>
      <w:r>
        <w:t xml:space="preserve">forms part of the GLUE benchmark suite</w:t>
      </w:r>
      <w:r>
        <w:t xml:space="preserve"> </w:t>
      </w:r>
      <w:r>
        <w:t xml:space="preserve">(Wang</w:t>
      </w:r>
      <w:r>
        <w:t xml:space="preserve"> </w:t>
      </w:r>
      <w:r>
        <w:rPr>
          <w:i/>
          <w:iCs/>
        </w:rPr>
        <w:t xml:space="preserve">et al.</w:t>
      </w:r>
      <w:r>
        <w:t xml:space="preserve">, 2018)</w:t>
      </w:r>
      <w:r>
        <w:t xml:space="preserve">. The</w:t>
      </w:r>
      <w:r>
        <w:t xml:space="preserve"> </w:t>
      </w:r>
      <w:r>
        <w:t xml:space="preserve">paper restricts attention to phrases of two to five tokens,</w:t>
      </w:r>
      <w:r>
        <w:t xml:space="preserve"> </w:t>
      </w:r>
      <w:r>
        <w:t xml:space="preserve">which is consistent with prior QNLP studies</w:t>
      </w:r>
      <w:r>
        <w:t xml:space="preserve"> </w:t>
      </w:r>
      <w:r>
        <w:t xml:space="preserve">(Lorenz</w:t>
      </w:r>
      <w:r>
        <w:t xml:space="preserve"> </w:t>
      </w:r>
      <w:r>
        <w:rPr>
          <w:i/>
          <w:iCs/>
        </w:rPr>
        <w:t xml:space="preserve">et al.</w:t>
      </w:r>
      <w:r>
        <w:t xml:space="preserve">, 2023)</w:t>
      </w:r>
      <w:r>
        <w:t xml:space="preserve"> </w:t>
      </w:r>
      <w:r>
        <w:t xml:space="preserve">and</w:t>
      </w:r>
      <w:r>
        <w:t xml:space="preserve"> </w:t>
      </w:r>
      <w:r>
        <w:t xml:space="preserve">keeps quantum simulation tractable on commodity hardware. The</w:t>
      </w:r>
      <w:r>
        <w:t xml:space="preserve"> </w:t>
      </w:r>
      <w:r>
        <w:t xml:space="preserve">restriction is methodological rather than application-driven; the</w:t>
      </w:r>
      <w:r>
        <w:t xml:space="preserve"> </w:t>
      </w:r>
      <w:r>
        <w:t xml:space="preserve">present paper does not evaluate on finance, microblog, or</w:t>
      </w:r>
      <w:r>
        <w:t xml:space="preserve"> </w:t>
      </w:r>
      <w:r>
        <w:t xml:space="preserve">product-review corpora.</w:t>
      </w:r>
    </w:p>
    <w:bookmarkEnd w:id="14"/>
    <w:bookmarkStart w:id="15" w:name="X8157b9a9298852740a705bb238836030e7286ac"/>
    <w:p>
      <w:pPr>
        <w:pStyle w:val="Heading2"/>
      </w:pPr>
      <w:r>
        <w:t xml:space="preserve">Variational Quantum Algorithms and Optimisation Pathologies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Variational quantum algorithms more generally have emerged as the</w:t>
      </w:r>
      <w:r>
        <w:t xml:space="preserve"> </w:t>
      </w:r>
      <w:r>
        <w:t xml:space="preserve">dominant paradigm for near-term quantum machine learning</w:t>
      </w:r>
      <w:r>
        <w:t xml:space="preserve"> </w:t>
      </w:r>
      <w:r>
        <w:t xml:space="preserve">(Cerezo</w:t>
      </w:r>
      <w:r>
        <w:t xml:space="preserve"> </w:t>
      </w:r>
      <w:r>
        <w:rPr>
          <w:i/>
          <w:iCs/>
        </w:rPr>
        <w:t xml:space="preserve">et al.</w:t>
      </w:r>
      <w:r>
        <w:t xml:space="preserve">, 2021, 2022)</w:t>
      </w:r>
      <w:r>
        <w:t xml:space="preserve">. The training of these algorithms</w:t>
      </w:r>
      <w:r>
        <w:t xml:space="preserve"> </w:t>
      </w:r>
      <w:r>
        <w:t xml:space="preserve">is performed classically using gradient-based optimisation on a</w:t>
      </w:r>
      <w:r>
        <w:t xml:space="preserve"> </w:t>
      </w:r>
      <w:r>
        <w:t xml:space="preserve">parameterised quantum circuit</w:t>
      </w:r>
      <w:r>
        <w:t xml:space="preserve"> </w:t>
      </w:r>
      <w:r>
        <w:t xml:space="preserve">(Mitarai</w:t>
      </w:r>
      <w:r>
        <w:t xml:space="preserve"> </w:t>
      </w:r>
      <w:r>
        <w:rPr>
          <w:i/>
          <w:iCs/>
        </w:rPr>
        <w:t xml:space="preserve">et al.</w:t>
      </w:r>
      <w:r>
        <w:t xml:space="preserve">, 2018; Schuld and Killoran, 2019)</w:t>
      </w:r>
      <w:r>
        <w:t xml:space="preserve">, with</w:t>
      </w:r>
      <w:r>
        <w:t xml:space="preserve"> </w:t>
      </w:r>
      <w:r>
        <w:t xml:space="preserve">the quantum device used only to evaluate expectation values. A line</w:t>
      </w:r>
      <w:r>
        <w:t xml:space="preserve"> </w:t>
      </w:r>
      <w:r>
        <w:t xml:space="preserve">of recent work, including</w:t>
      </w:r>
      <w:r>
        <w:t xml:space="preserve"> </w:t>
      </w:r>
      <w:r>
        <w:t xml:space="preserve">Schuld and Killoran (2022)</w:t>
      </w:r>
      <w:r>
        <w:t xml:space="preserve">, has prompted a</w:t>
      </w:r>
      <w:r>
        <w:t xml:space="preserve"> </w:t>
      </w:r>
      <w:r>
        <w:t xml:space="preserve">more sober reassessment of whether quantum advantage is the right</w:t>
      </w:r>
      <w:r>
        <w:t xml:space="preserve"> </w:t>
      </w:r>
      <w:r>
        <w:t xml:space="preserve">benchmark for QML in the NISQ era, arguing that practical considerations</w:t>
      </w:r>
      <w:r>
        <w:t xml:space="preserve"> </w:t>
      </w:r>
      <w:r>
        <w:t xml:space="preserve">such as parameter efficiency and trainability may be more immediately</w:t>
      </w:r>
      <w:r>
        <w:t xml:space="preserve"> </w:t>
      </w:r>
      <w:r>
        <w:t xml:space="preserve">useful targets.</w:t>
      </w:r>
    </w:p>
    <w:p>
      <w:pPr>
        <w:pStyle w:val="BodyText"/>
        <w:spacing w:line="360" w:lineRule="auto" w:before="0" w:after="120"/>
        <w:ind w:firstLine="0"/>
        <w:jc w:val="both"/>
      </w:pPr>
      <w:r>
        <w:t xml:space="preserve">Among the most significant practical obstacles to variational quantum</w:t>
      </w:r>
      <w:r>
        <w:t xml:space="preserve"> </w:t>
      </w:r>
      <w:r>
        <w:t xml:space="preserve">training is the barren-plateau phenomenon</w:t>
      </w:r>
      <w:r>
        <w:t xml:space="preserve"> </w:t>
      </w:r>
      <w:r>
        <w:t xml:space="preserve">(McClean</w:t>
      </w:r>
      <w:r>
        <w:t xml:space="preserve"> </w:t>
      </w:r>
      <w:r>
        <w:rPr>
          <w:i/>
          <w:iCs/>
        </w:rPr>
        <w:t xml:space="preserve">et al.</w:t>
      </w:r>
      <w:r>
        <w:t xml:space="preserve">, 2018)</w:t>
      </w:r>
      <w:r>
        <w:t xml:space="preserve">,</w:t>
      </w:r>
      <w:r>
        <w:t xml:space="preserve"> </w:t>
      </w:r>
      <w:r>
        <w:t xml:space="preserve">in which the variance of gradients vanishes exponentially with the</w:t>
      </w:r>
      <w:r>
        <w:t xml:space="preserve"> </w:t>
      </w:r>
      <w:r>
        <w:t xml:space="preserve">number of qubits or circuit depth, rendering the loss landscape</w:t>
      </w:r>
      <w:r>
        <w:t xml:space="preserve"> </w:t>
      </w:r>
      <w:r>
        <w:t xml:space="preserve">effectively flat over wide parameter ranges. The theoretical</w:t>
      </w:r>
      <w:r>
        <w:t xml:space="preserve"> </w:t>
      </w:r>
      <w:r>
        <w:t xml:space="preserve">foundations of this phenomenon have been recently consolidated in the</w:t>
      </w:r>
      <w:r>
        <w:t xml:space="preserve"> </w:t>
      </w:r>
      <w:r>
        <w:t xml:space="preserve">review of</w:t>
      </w:r>
      <w:r>
        <w:t xml:space="preserve"> </w:t>
      </w:r>
      <w:r>
        <w:t xml:space="preserve">Larocca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(2025)</w:t>
      </w:r>
      <w:r>
        <w:t xml:space="preserve"> </w:t>
      </w:r>
      <w:r>
        <w:t xml:space="preserve">and the Lie algebraic characterisation</w:t>
      </w:r>
      <w:r>
        <w:t xml:space="preserve"> </w:t>
      </w:r>
      <w:r>
        <w:t xml:space="preserve">of</w:t>
      </w:r>
      <w:r>
        <w:t xml:space="preserve"> </w:t>
      </w:r>
      <w:r>
        <w:t xml:space="preserve">Ragone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(2024)</w:t>
      </w:r>
      <w:r>
        <w:t xml:space="preserve">. A range of mitigation strategies has been</w:t>
      </w:r>
      <w:r>
        <w:t xml:space="preserve"> </w:t>
      </w:r>
      <w:r>
        <w:t xml:space="preserve">proposed, including layer-wise pretraining, parameter initialisation</w:t>
      </w:r>
      <w:r>
        <w:t xml:space="preserve"> </w:t>
      </w:r>
      <w:r>
        <w:t xml:space="preserve">heuristics, and adaptive learning-rate schedules. Whether these</w:t>
      </w:r>
      <w:r>
        <w:t xml:space="preserve"> </w:t>
      </w:r>
      <w:r>
        <w:t xml:space="preserve">mitigations are effective in the specific context of DisCoCat-derived</w:t>
      </w:r>
      <w:r>
        <w:t xml:space="preserve"> </w:t>
      </w:r>
      <w:r>
        <w:t xml:space="preserve">circuits is an empirical question, and one to which our experiments</w:t>
      </w:r>
      <w:r>
        <w:t xml:space="preserve"> </w:t>
      </w:r>
      <w:r>
        <w:t xml:space="preserve">contribute a concrete data point.</w:t>
      </w:r>
    </w:p>
    <w:bookmarkEnd w:id="15"/>
    <w:bookmarkEnd w:id="16"/>
    <w:bookmarkStart w:id="29" w:name="sec:method"/>
    <w:p>
      <w:pPr>
        <w:pStyle w:val="Heading1"/>
      </w:pPr>
      <w:r>
        <w:t xml:space="preserve">Methodology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Figure </w:t>
      </w:r>
      <w:hyperlink w:anchor="fig:pipelin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summarises the end-to-end pipeline. An input</w:t>
      </w:r>
      <w:r>
        <w:t xml:space="preserve"> </w:t>
      </w:r>
      <w:r>
        <w:t xml:space="preserve">phrase is tokenised on whitespace, converted into a DisCoCat string</w:t>
      </w:r>
      <w:r>
        <w:t xml:space="preserve"> </w:t>
      </w:r>
      <w:r>
        <w:t xml:space="preserve">diagram by a</w:t>
      </w:r>
      <w:r>
        <w:t xml:space="preserve"> </w:t>
      </w:r>
      <w:r>
        <w:rPr>
          <w:rStyle w:val="VerbatimChar"/>
        </w:rPr>
        <w:t xml:space="preserve">lambeq</w:t>
      </w:r>
      <w:r>
        <w:t xml:space="preserve"> </w:t>
      </w:r>
      <w:r>
        <w:t xml:space="preserve">reader, parameterised by an ansatz functor</w:t>
      </w:r>
      <w:r>
        <w:t xml:space="preserve"> </w:t>
      </w:r>
      <w:r>
        <w:t xml:space="preserve">at a chosen depth, executed on the</w:t>
      </w:r>
      <w:r>
        <w:t xml:space="preserve"> </w:t>
      </w:r>
      <w:r>
        <w:rPr>
          <w:rStyle w:val="VerbatimChar"/>
        </w:rPr>
        <w:t xml:space="preserve">PennyLane</w:t>
      </w:r>
      <w:r>
        <w:t xml:space="preserve"> </w:t>
      </w:r>
      <w:r>
        <w:t xml:space="preserve">simulator, and</w:t>
      </w:r>
      <w:r>
        <w:t xml:space="preserve"> </w:t>
      </w:r>
      <w:r>
        <w:t xml:space="preserve">the resulting two-class probability vector is argmax-decoded to a</w:t>
      </w:r>
      <w:r>
        <w:t xml:space="preserve"> </w:t>
      </w:r>
      <w:r>
        <w:t xml:space="preserve">positive or negative label.</w:t>
      </w:r>
    </w:p>
    <w:bookmarkStart w:id="20" w:name="fig:pipeline"/>
    <w:p>
      <w:pPr>
        <w:pStyle w:val="CaptionedFigure"/>
        <w:jc w:val="center"/>
      </w:pPr>
      <w:r>
        <w:drawing>
          <wp:inline>
            <wp:extent cx="3467100" cy="274079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figures/00_pipelin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740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b/>
        </w:rPr>
        <w:t xml:space="preserve">Figure 1. </w:t>
      </w:r>
      <w:r>
        <w:t xml:space="preserve">End-to-end QNLP pipeline for binary sentiment classification.</w:t>
      </w:r>
      <w:r>
        <w:t xml:space="preserve"> </w:t>
      </w:r>
      <w:r>
        <w:t xml:space="preserve">The reader (Spiders or Cups) and the ansatz family (IQP or Sim14) are</w:t>
      </w:r>
      <w:r>
        <w:t xml:space="preserve"> </w:t>
      </w:r>
      <w:r>
        <w:t xml:space="preserve">the two methodological choices ablated in this work.</w:t>
      </w:r>
    </w:p>
    <w:bookmarkEnd w:id="20"/>
    <w:bookmarkStart w:id="22" w:name="sec:data"/>
    <w:p>
      <w:pPr>
        <w:pStyle w:val="Heading2"/>
      </w:pPr>
      <w:r>
        <w:t xml:space="preserve">Dataset Preparation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It is worth stating upfront that the dataset constructed here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standard SST-2 sentence-level task of the GLUE</w:t>
      </w:r>
      <w:r>
        <w:t xml:space="preserve"> </w:t>
      </w:r>
      <w:r>
        <w:t xml:space="preserve">benchmark</w:t>
      </w:r>
      <w:r>
        <w:t xml:space="preserve"> </w:t>
      </w:r>
      <w:r>
        <w:t xml:space="preserve">(Wang</w:t>
      </w:r>
      <w:r>
        <w:t xml:space="preserve"> </w:t>
      </w:r>
      <w:r>
        <w:rPr>
          <w:i/>
          <w:iCs/>
        </w:rPr>
        <w:t xml:space="preserve">et al.</w:t>
      </w:r>
      <w:r>
        <w:t xml:space="preserve">, 2018)</w:t>
      </w:r>
      <w:r>
        <w:t xml:space="preserve">: GLUE SST-2 reports accuracy on full</w:t>
      </w:r>
      <w:r>
        <w:t xml:space="preserve"> </w:t>
      </w:r>
      <w:r>
        <w:t xml:space="preserve">sentences without explicit length or vocabulary restrictions, whereas</w:t>
      </w:r>
      <w:r>
        <w:t xml:space="preserve"> </w:t>
      </w:r>
      <w:r>
        <w:t xml:space="preserve">the present work restricts attention to phrases of two to five</w:t>
      </w:r>
      <w:r>
        <w:t xml:space="preserve"> </w:t>
      </w:r>
      <w:r>
        <w:t xml:space="preserve">tokens drawn from the SST phrase dictionary and applies further</w:t>
      </w:r>
      <w:r>
        <w:t xml:space="preserve"> </w:t>
      </w:r>
      <w:r>
        <w:t xml:space="preserve">filters described below. The accuracy numbers reported in</w:t>
      </w:r>
      <w:r>
        <w:t xml:space="preserve"> </w:t>
      </w:r>
      <w:r>
        <w:t xml:space="preserve">Section </w:t>
      </w:r>
      <w:hyperlink w:anchor="sec:result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are therefore not directly comparable to</w:t>
      </w:r>
      <w:r>
        <w:t xml:space="preserve"> </w:t>
      </w:r>
      <w:r>
        <w:t xml:space="preserve">GLUE SST-2 leaderboard numbers.</w:t>
      </w:r>
    </w:p>
    <w:p>
      <w:pPr>
        <w:pStyle w:val="BodyText"/>
        <w:spacing w:line="360" w:lineRule="auto" w:before="0" w:after="120"/>
        <w:ind w:firstLine="0"/>
        <w:jc w:val="both"/>
      </w:pPr>
      <w:r>
        <w:t xml:space="preserve">The raw Stanford Sentiment Treebank dictionary file contains</w:t>
      </w:r>
      <w:r>
        <w:t xml:space="preserve"> </w:t>
      </w:r>
      <m:oMath>
        <m:r>
          <m:t>239</m:t>
        </m:r>
        <m:r>
          <m:rPr>
            <m:sty m:val="p"/>
          </m:rPr>
          <m:t>,</m:t>
        </m:r>
        <m:r>
          <m:t>232</m:t>
        </m:r>
      </m:oMath>
      <w:r>
        <w:t xml:space="preserve"> </w:t>
      </w:r>
      <w:r>
        <w:t xml:space="preserve">phrases of variable length; of these,</w:t>
      </w:r>
      <w:r>
        <w:t xml:space="preserve"> </w:t>
      </w:r>
      <m:oMath>
        <m:r>
          <m:t>47</m:t>
        </m:r>
        <m:r>
          <m:rPr>
            <m:sty m:val="p"/>
          </m:rPr>
          <m:t>,</m:t>
        </m:r>
        <m:r>
          <m:t>355</m:t>
        </m:r>
      </m:oMath>
      <w:r>
        <w:t xml:space="preserve"> </w:t>
      </w:r>
      <w:r>
        <w:t xml:space="preserve">(or roughly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) contain five tokens or fewer and are</w:t>
      </w:r>
      <w:r>
        <w:t xml:space="preserve"> </w:t>
      </w:r>
      <w:r>
        <w:t xml:space="preserve">candidates for the short-phrase subset used in this study. The</w:t>
      </w:r>
      <w:r>
        <w:t xml:space="preserve"> </w:t>
      </w:r>
      <w:r>
        <w:t xml:space="preserve">processing pipeline applies four sequential filters: (a) restriction</w:t>
      </w:r>
      <w:r>
        <w:t xml:space="preserve"> </w:t>
      </w:r>
      <w:r>
        <w:t xml:space="preserve">to phrases of two to five tokens; (b) binarisation of the continuous</w:t>
      </w:r>
      <w:r>
        <w:t xml:space="preserve"> </w:t>
      </w:r>
      <w:r>
        <w:t xml:space="preserve">sentiment score with the neutral band</w:t>
      </w:r>
      <w:r>
        <w:t xml:space="preserve"> </w:t>
      </w:r>
      <m:oMath>
        <m:r>
          <m:rPr>
            <m:sty m:val="p"/>
          </m:rPr>
          <m:t>[</m:t>
        </m:r>
        <m:r>
          <m:t>0.4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]</m:t>
        </m:r>
      </m:oMath>
      <w:r>
        <w:t xml:space="preserve"> </w:t>
      </w:r>
      <w:r>
        <w:t xml:space="preserve">discarded;</w:t>
      </w:r>
      <w:r>
        <w:t xml:space="preserve"> </w:t>
      </w:r>
      <w:r>
        <w:t xml:space="preserve">(c) lowercase normalisation; and (d) retention of the top</w:t>
      </w:r>
      <w:r>
        <w:t xml:space="preserve"> </w:t>
      </w:r>
      <w:r>
        <w:t xml:space="preserve">1</w:t>
      </w:r>
      <w:r>
        <w:t xml:space="preserve">,</w:t>
      </w:r>
      <w:r>
        <w:t xml:space="preserve">000 most frequent training tokens, with phrases containing</w:t>
      </w:r>
      <w:r>
        <w:t xml:space="preserve"> </w:t>
      </w:r>
      <w:r>
        <w:t xml:space="preserve">out-of-vocabulary words discarded. The remaining 9</w:t>
      </w:r>
      <w:r>
        <w:t xml:space="preserve">,</w:t>
      </w:r>
      <w:r>
        <w:t xml:space="preserve">711 training,</w:t>
      </w:r>
      <w:r>
        <w:t xml:space="preserve"> </w:t>
      </w:r>
      <w:r>
        <w:t xml:space="preserve">1</w:t>
      </w:r>
      <w:r>
        <w:t xml:space="preserve">,</w:t>
      </w:r>
      <w:r>
        <w:t xml:space="preserve">172 development and 1</w:t>
      </w:r>
      <w:r>
        <w:t xml:space="preserve">,</w:t>
      </w:r>
      <w:r>
        <w:t xml:space="preserve">216 test phrases form the in-vocabulary</w:t>
      </w:r>
      <w:r>
        <w:t xml:space="preserve"> </w:t>
      </w:r>
      <w:r>
        <w:t xml:space="preserve">pool from which the final</w:t>
      </w:r>
      <w:r>
        <w:t xml:space="preserve"> </w:t>
      </w:r>
      <w:r>
        <w:rPr>
          <w:rStyle w:val="VerbatimChar"/>
        </w:rPr>
        <w:t xml:space="preserve">qnlp</w:t>
      </w:r>
      <w:r>
        <w:t xml:space="preserve"> </w:t>
      </w:r>
      <w:r>
        <w:t xml:space="preserve">subset is sampled.</w:t>
      </w:r>
    </w:p>
    <w:p>
      <w:pPr>
        <w:pStyle w:val="BodyText"/>
        <w:spacing w:line="360" w:lineRule="auto" w:before="0" w:after="120"/>
        <w:ind w:firstLine="0"/>
        <w:jc w:val="both"/>
      </w:pPr>
      <w:r>
        <w:t xml:space="preserve">A two-stage sampling protocol is used to ensure that the test</w:t>
      </w:r>
      <w:r>
        <w:t xml:space="preserve"> </w:t>
      </w:r>
      <w:r>
        <w:t xml:space="preserve">vocabulary is a subset of the training vocabulary, a requirement</w:t>
      </w:r>
      <w:r>
        <w:t xml:space="preserve"> </w:t>
      </w:r>
      <w:r>
        <w:t xml:space="preserve">specific to the QNLP setting in which each unique word corresponds to</w:t>
      </w:r>
      <w:r>
        <w:t xml:space="preserve"> </w:t>
      </w:r>
      <w:r>
        <w:t xml:space="preserve">a distinct trainable parameter. The training subset of 5</w:t>
      </w:r>
      <w:r>
        <w:t xml:space="preserve">,</w:t>
      </w:r>
      <w:r>
        <w:t xml:space="preserve">000 phrases</w:t>
      </w:r>
      <w:r>
        <w:t xml:space="preserve"> </w:t>
      </w:r>
      <w:r>
        <w:t xml:space="preserve">(2</w:t>
      </w:r>
      <w:r>
        <w:t xml:space="preserve">,</w:t>
      </w:r>
      <w:r>
        <w:t xml:space="preserve">500 positive and 2</w:t>
      </w:r>
      <w:r>
        <w:t xml:space="preserve">,</w:t>
      </w:r>
      <w:r>
        <w:t xml:space="preserve">500 negative, drawn independently and</w:t>
      </w:r>
      <w:r>
        <w:t xml:space="preserve"> </w:t>
      </w:r>
      <w:r>
        <w:t xml:space="preserve">without replacement) is sampled first. The dev and test pools are then</w:t>
      </w:r>
      <w:r>
        <w:t xml:space="preserve"> </w:t>
      </w:r>
      <w:r>
        <w:t xml:space="preserve">filtered to retain only phrases whose tokens all appear in the sampled</w:t>
      </w:r>
      <w:r>
        <w:t xml:space="preserve"> </w:t>
      </w:r>
      <w:r>
        <w:t xml:space="preserve">training set, and 400 phrases each are subsequently drawn in a</w:t>
      </w:r>
      <w:r>
        <w:t xml:space="preserve"> </w:t>
      </w:r>
      <w:r>
        <w:t xml:space="preserve">class-balanced fashion. Table </w:t>
      </w:r>
      <w:hyperlink w:anchor="tab:preproc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summarises the</w:t>
      </w:r>
      <w:r>
        <w:t xml:space="preserve"> </w:t>
      </w:r>
      <w:r>
        <w:t xml:space="preserve">preprocessing pipeline.</w:t>
      </w:r>
    </w:p>
    <w:bookmarkStart w:id="21" w:name="tab:preproc"/>
    <w:p>
      <w:pPr>
        <w:pStyle w:val="TableCaption"/>
        <w:jc w:val="center"/>
      </w:pPr>
      <w:r>
        <w:rPr>
          <w:b/>
        </w:rPr>
        <w:t xml:space="preserve">Table 1. </w:t>
      </w:r>
      <w:r>
        <w:t xml:space="preserve">Preprocessing pipeline producing the</w:t>
      </w:r>
      <w:r>
        <w:t xml:space="preserve"> </w:t>
      </w:r>
      <w:r>
        <w:rPr>
          <w:rStyle w:val="VerbatimChar"/>
        </w:rPr>
        <w:t xml:space="preserve">qnlp</w:t>
      </w:r>
      <w:r>
        <w:t xml:space="preserve"> </w:t>
      </w:r>
      <w:r>
        <w:t xml:space="preserve">subset.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eprocessing pipeline producing the qnlp subset."/>
        <w:jc w:val="center"/>
        <w:tblBorders>
          <w:top w:val="single" w:sz="14" w:space="0" w:color="000000"/>
          <w:bottom w:val="single" w:sz="14" w:space="0" w:color="000000"/>
          <w:left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right"/>
            </w:pPr>
            <w:r>
              <w:t xml:space="preserve">Train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right"/>
            </w:pPr>
            <w:r>
              <w:t xml:space="preserve">Dev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righ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phrases (length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  <w:r>
              <w:t xml:space="preserve">,</w:t>
            </w:r>
            <w:r>
              <w:t xml:space="preserve">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  <w:r>
              <w:t xml:space="preserve">,</w:t>
            </w:r>
            <w:r>
              <w:t xml:space="preserve">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  <w:r>
              <w:t xml:space="preserve">,</w:t>
            </w:r>
            <w:r>
              <w:t xml:space="preserve">737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≤</m:t>
              </m:r>
              <m:r>
                <m:rPr>
                  <m:nor/>
                  <m:sty m:val="p"/>
                </m:rPr>
                <m:t>length</m:t>
              </m:r>
              <m:r>
                <m:rPr>
                  <m:sty m:val="p"/>
                </m:rPr>
                <m:t>≤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  <w:r>
              <w:t xml:space="preserve">,</w:t>
            </w:r>
            <w:r>
              <w:t xml:space="preserve">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  <w:r>
              <w:t xml:space="preserve">,</w:t>
            </w:r>
            <w:r>
              <w:t xml:space="preserve">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  <w:r>
              <w:t xml:space="preserve">,</w:t>
            </w: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 lowercase + vocab-1000 + OOV filter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  <w:r>
              <w:t xml:space="preserve">,</w:t>
            </w:r>
            <w:r>
              <w:t xml:space="preserve">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216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 class-balanced sampling (train first)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  <w:r>
              <w:t xml:space="preserve">,</w:t>
            </w:r>
            <w:r>
              <w:t xml:space="preserve">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 word-coverage filter (dev/test</w:t>
            </w:r>
            <w:r>
              <w:t xml:space="preserve"> </w:t>
            </w:r>
            <m:oMath>
              <m:r>
                <m:rPr>
                  <m:sty m:val="p"/>
                </m:rPr>
                <m:t>⊆</m:t>
              </m:r>
            </m:oMath>
            <w:r>
              <w:t xml:space="preserve"> </w:t>
            </w:r>
            <w:r>
              <w:t xml:space="preserve">train words)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balanced 50:50 sample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400</w:t>
            </w:r>
          </w:p>
        </w:tc>
      </w:tr>
    </w:tbl>
    <w:bookmarkEnd w:id="21"/>
    <w:bookmarkEnd w:id="22"/>
    <w:bookmarkStart w:id="23" w:name="discocat-readers"/>
    <w:p>
      <w:pPr>
        <w:pStyle w:val="Heading2"/>
      </w:pPr>
      <w:r>
        <w:t xml:space="preserve">DisCoCat Readers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The</w:t>
      </w:r>
      <w:r>
        <w:t xml:space="preserve"> </w:t>
      </w:r>
      <w:r>
        <w:rPr>
          <w:rStyle w:val="VerbatimChar"/>
        </w:rPr>
        <w:t xml:space="preserve">lambeq</w:t>
      </w:r>
      <w:r>
        <w:t xml:space="preserve"> </w:t>
      </w:r>
      <w:r>
        <w:t xml:space="preserve">library version 0.5.0 is used throughout. The</w:t>
      </w:r>
      <w:r>
        <w:t xml:space="preserve"> </w:t>
      </w:r>
      <w:r>
        <w:t xml:space="preserve">BobcatParser CCG reader, which would be the default choice, was</w:t>
      </w:r>
      <w:r>
        <w:t xml:space="preserve"> </w:t>
      </w:r>
      <w:r>
        <w:t xml:space="preserve">unavailable during the experiments because its model distribution</w:t>
      </w:r>
      <w:r>
        <w:t xml:space="preserve"> </w:t>
      </w:r>
      <w:r>
        <w:t xml:space="preserve">endpoint is no longer reachable (this issue is discussed in</w:t>
      </w:r>
      <w:r>
        <w:t xml:space="preserve"> </w:t>
      </w:r>
      <w:r>
        <w:t xml:space="preserve">Section </w:t>
      </w:r>
      <w:hyperlink w:anchor="sec:discussion">
        <w:r>
          <w:rPr>
            <w:rStyle w:val="Hyperlink"/>
          </w:rPr>
          <w:t xml:space="preserve">5</w:t>
        </w:r>
      </w:hyperlink>
      <w:r>
        <w:t xml:space="preserve">). Two alternative readers are used:</w:t>
      </w:r>
    </w:p>
    <w:p>
      <w:pPr>
        <w:pStyle w:val="DefinitionTerm"/>
        <w:spacing w:line="360" w:lineRule="auto" w:before="0" w:after="120"/>
        <w:ind w:firstLine="0"/>
        <w:jc w:val="both"/>
      </w:pPr>
      <w:r>
        <w:rPr>
          <w:rStyle w:val="VerbatimChar"/>
        </w:rPr>
        <w:t xml:space="preserve">SpidersReader</w:t>
      </w:r>
      <w:r>
        <w:t xml:space="preserve">.</w:t>
      </w:r>
    </w:p>
    <w:p>
      <w:pPr>
        <w:pStyle w:val="Definition"/>
        <w:spacing w:line="360" w:lineRule="auto" w:before="0" w:after="120"/>
        <w:ind w:firstLine="0"/>
        <w:jc w:val="both"/>
      </w:pPr>
      <w:r>
        <w:t xml:space="preserve">Every word is assigned the atomic</w:t>
      </w:r>
      <w:r>
        <w:t xml:space="preserve"> </w:t>
      </w:r>
      <w:r>
        <w:t xml:space="preserve">sentence type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word boxes are merged by a Frobenius</w:t>
      </w:r>
      <w:r>
        <w:t xml:space="preserve"> </w:t>
      </w:r>
      <w:r>
        <w:t xml:space="preserve">spider operation. The output is a single wire of type</w:t>
      </w:r>
      <w:r>
        <w:t xml:space="preserve"> </w:t>
      </w:r>
      <m:oMath>
        <m:r>
          <m:t>s</m:t>
        </m:r>
      </m:oMath>
      <w:r>
        <w:t xml:space="preserve">. The</w:t>
      </w:r>
      <w:r>
        <w:t xml:space="preserve"> </w:t>
      </w:r>
      <w:r>
        <w:t xml:space="preserve">resulting diagram is invariant under permutation of input tokens.</w:t>
      </w:r>
    </w:p>
    <w:p>
      <w:pPr>
        <w:pStyle w:val="DefinitionTerm"/>
        <w:spacing w:line="360" w:lineRule="auto" w:before="0" w:after="120"/>
        <w:ind w:firstLine="0"/>
        <w:jc w:val="both"/>
      </w:pPr>
      <w:r>
        <w:rPr>
          <w:rStyle w:val="VerbatimChar"/>
        </w:rPr>
        <w:t xml:space="preserve">CupsReader</w:t>
      </w:r>
      <w:r>
        <w:t xml:space="preserve">.</w:t>
      </w:r>
    </w:p>
    <w:p>
      <w:pPr>
        <w:pStyle w:val="Definition"/>
        <w:spacing w:line="360" w:lineRule="auto" w:before="0" w:after="120"/>
        <w:ind w:firstLine="0"/>
        <w:jc w:val="both"/>
      </w:pPr>
      <w:r>
        <w:t xml:space="preserve">A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token initialises a</w:t>
      </w:r>
      <w:r>
        <w:t xml:space="preserve"> </w:t>
      </w:r>
      <w:r>
        <w:t xml:space="preserve">sentence wire and successive words are assigned the pregroup type</w:t>
      </w:r>
      <w:r>
        <w:t xml:space="preserve"> </w:t>
      </w:r>
      <m:oMath>
        <m:r>
          <m:t>s</m:t>
        </m:r>
        <m:r>
          <m:rPr>
            <m:sty m:val="p"/>
          </m:rPr>
          <m:t>.</m:t>
        </m:r>
        <m:r>
          <m:t>r</m:t>
        </m:r>
        <m:r>
          <m:rPr>
            <m:sty m:val="p"/>
          </m:rPr>
          <m:t>⊗</m:t>
        </m:r>
        <m:r>
          <m:t>s</m:t>
        </m:r>
      </m:oMath>
      <w:r>
        <w:t xml:space="preserve">. Successive right adjoints are contracted with the</w:t>
      </w:r>
      <w:r>
        <w:t xml:space="preserve"> </w:t>
      </w:r>
      <w:r>
        <w:t xml:space="preserve">preceding sentence wire via cups, yielding a diagram that retains the</w:t>
      </w:r>
      <w:r>
        <w:t xml:space="preserve"> </w:t>
      </w:r>
      <w:r>
        <w:t xml:space="preserve">linear order of tokens and produces multi-qubit boxes per word.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The atomic type dimensions are set to one qubit each</w:t>
      </w:r>
      <w:r>
        <w:t xml:space="preserve"> </w:t>
      </w:r>
      <w:r>
        <w:t xml:space="preserve">(</w:t>
      </w:r>
      <m:oMath>
        <m:sSub>
          <m:e>
            <m:r>
              <m:t>q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 following the convention of</w:t>
      </w:r>
      <w:r>
        <w:t xml:space="preserve"> </w:t>
      </w:r>
      <w:r>
        <w:t xml:space="preserve">Lorenz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(2023)</w:t>
      </w:r>
      <w:r>
        <w:t xml:space="preserve">. Rewriter rules for prepositional phrases,</w:t>
      </w:r>
      <w:r>
        <w:t xml:space="preserve"> </w:t>
      </w:r>
      <w:r>
        <w:t xml:space="preserve">determiners and auxiliary verbs apply only to CCG-derived diagrams and</w:t>
      </w:r>
      <w:r>
        <w:t xml:space="preserve"> </w:t>
      </w:r>
      <w:r>
        <w:t xml:space="preserve">are therefore not used.</w:t>
      </w:r>
    </w:p>
    <w:bookmarkEnd w:id="23"/>
    <w:bookmarkStart w:id="24" w:name="ansatzes-and-the-quantum-model"/>
    <w:p>
      <w:pPr>
        <w:pStyle w:val="Heading2"/>
      </w:pPr>
      <w:r>
        <w:t xml:space="preserve">Ansatzes and the Quantum Model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Each diagram is converted into a parameterised quantum circuit using</w:t>
      </w:r>
      <w:r>
        <w:t xml:space="preserve"> </w:t>
      </w:r>
      <w:r>
        <w:t xml:space="preserve">one of two ansatz families: the IQP ansatz of</w:t>
      </w:r>
      <w:r>
        <w:t xml:space="preserve"> </w:t>
      </w:r>
      <w:r>
        <w:t xml:space="preserve">Havlı́ček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(2019)</w:t>
      </w:r>
      <w:r>
        <w:t xml:space="preserve"> </w:t>
      </w:r>
      <w:r>
        <w:t xml:space="preserve">or the Sim14 ansatz of</w:t>
      </w:r>
      <w:r>
        <w:t xml:space="preserve"> </w:t>
      </w:r>
      <w:r>
        <w:t xml:space="preserve">Sim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(2019)</w:t>
      </w:r>
      <w:r>
        <w:t xml:space="preserve">, at</w:t>
      </w:r>
      <w:r>
        <w:t xml:space="preserve"> </w:t>
      </w:r>
      <w:r>
        <w:t xml:space="preserve">depths</w:t>
      </w:r>
      <w:r>
        <w:t xml:space="preserve"> </w:t>
      </w:r>
      <m:oMath>
        <m:r>
          <m:t>L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. The circuit is wrapped in a</w:t>
      </w:r>
      <w:r>
        <w:t xml:space="preserve"> </w:t>
      </w:r>
      <w:r>
        <w:rPr>
          <w:rStyle w:val="VerbatimChar"/>
        </w:rPr>
        <w:t xml:space="preserve">PennyLaneModel</w:t>
      </w:r>
      <w:r>
        <w:t xml:space="preserve"> </w:t>
      </w:r>
      <w:r>
        <w:t xml:space="preserve">that exposes its trainable parameters as a</w:t>
      </w:r>
      <w:r>
        <w:t xml:space="preserve"> </w:t>
      </w:r>
      <w:r>
        <w:rPr>
          <w:rStyle w:val="VerbatimChar"/>
        </w:rPr>
        <w:t xml:space="preserve">torch.nn.Module</w:t>
      </w:r>
      <w:r>
        <w:t xml:space="preserve">. Simulation is performed on the</w:t>
      </w:r>
      <w:r>
        <w:t xml:space="preserve"> </w:t>
      </w:r>
      <w:r>
        <w:rPr>
          <w:rStyle w:val="VerbatimChar"/>
        </w:rPr>
        <w:t xml:space="preserve">lightning.qubit</w:t>
      </w:r>
      <w:r>
        <w:t xml:space="preserve"> </w:t>
      </w:r>
      <w:r>
        <w:t xml:space="preserve">back-end with CPU execution. The model output</w:t>
      </w:r>
      <w:r>
        <w:t xml:space="preserve"> </w:t>
      </w:r>
      <w:r>
        <w:t xml:space="preserve">is a length-two probability vector over the basis states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⟩</m:t>
        </m:r>
      </m:oMath>
      <w:r>
        <w:t xml:space="preserve"> </w:t>
      </w:r>
      <w:r>
        <w:t xml:space="preserve">of the output register, trained against</w:t>
      </w:r>
      <w:r>
        <w:t xml:space="preserve"> </w:t>
      </w:r>
      <w:r>
        <w:t xml:space="preserve">one-hot labels with cross-entropy loss.</w:t>
      </w:r>
    </w:p>
    <w:bookmarkEnd w:id="24"/>
    <w:bookmarkStart w:id="25" w:name="classical-baselines"/>
    <w:p>
      <w:pPr>
        <w:pStyle w:val="Heading2"/>
      </w:pPr>
      <w:r>
        <w:t xml:space="preserve">Classical Baselines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Three classical baselines are evaluated on the same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/</m:t>
        </m:r>
        <m:r>
          <m:t>400</m:t>
        </m:r>
        <m:r>
          <m:rPr>
            <m:sty m:val="p"/>
          </m:rPr>
          <m:t>/</m:t>
        </m:r>
        <m:r>
          <m:t>400</m:t>
        </m:r>
      </m:oMath>
      <w:r>
        <w:t xml:space="preserve"> </w:t>
      </w:r>
      <w:r>
        <w:t xml:space="preserve">split: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LR + TF–IDF</w:t>
      </w:r>
      <w:r>
        <w:t xml:space="preserve">: logistic regression with unigram and</w:t>
      </w:r>
      <w:r>
        <w:t xml:space="preserve"> </w:t>
      </w:r>
      <w:r>
        <w:t xml:space="preserve">bigram TF–IDF features (</w:t>
      </w:r>
      <w:r>
        <w:rPr>
          <w:rStyle w:val="VerbatimChar"/>
        </w:rPr>
        <w:t xml:space="preserve">min_df</w:t>
      </w:r>
      <w:r>
        <w:t xml:space="preserve">=2), with the regularisation</w:t>
      </w:r>
      <w:r>
        <w:t xml:space="preserve"> </w:t>
      </w:r>
      <w:r>
        <w:t xml:space="preserve">strength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grid-searched on the development set over</w:t>
      </w:r>
      <w:r>
        <w:t xml:space="preserve"> </w:t>
      </w:r>
      <m:oMath>
        <m:r>
          <m:rPr>
            <m:sty m:val="p"/>
          </m:rPr>
          <m:t>{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}</m:t>
        </m:r>
      </m:oMath>
      <w:r>
        <w:t xml:space="preserve">, trained with the</w:t>
      </w:r>
      <w:r>
        <w:t xml:space="preserve"> </w:t>
      </w:r>
      <w:r>
        <w:rPr>
          <w:rStyle w:val="VerbatimChar"/>
        </w:rPr>
        <w:t xml:space="preserve">liblinear</w:t>
      </w:r>
      <w:r>
        <w:t xml:space="preserve"> </w:t>
      </w:r>
      <w:r>
        <w:t xml:space="preserve">solver.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LR + GloVe-50d</w:t>
      </w:r>
      <w:r>
        <w:t xml:space="preserve">: logistic regression on the mean-pooled</w:t>
      </w:r>
      <w:r>
        <w:t xml:space="preserve"> </w:t>
      </w:r>
      <w:r>
        <w:t xml:space="preserve">GloVe-6B-50d word vector</w:t>
      </w:r>
      <w:r>
        <w:t xml:space="preserve"> </w:t>
      </w:r>
      <w:r>
        <w:t xml:space="preserve">(Pennington</w:t>
      </w:r>
      <w:r>
        <w:t xml:space="preserve"> </w:t>
      </w:r>
      <w:r>
        <w:rPr>
          <w:i/>
          <w:iCs/>
        </w:rPr>
        <w:t xml:space="preserve">et al.</w:t>
      </w:r>
      <w:r>
        <w:t xml:space="preserve">, 2014)</w:t>
      </w:r>
      <w:r>
        <w:t xml:space="preserve"> </w:t>
      </w:r>
      <w:r>
        <w:t xml:space="preserve">(the 50-dimensional variant of the GloVe-6B release) of the phrase, with the</w:t>
      </w:r>
      <w:r>
        <w:t xml:space="preserve"> </w:t>
      </w:r>
      <w:r>
        <w:t xml:space="preserve">same hyperparameter grid.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BiLSTM-1L</w:t>
      </w:r>
      <w:r>
        <w:t xml:space="preserve">: a randomly initialised embedding of</w:t>
      </w:r>
      <w:r>
        <w:t xml:space="preserve"> </w:t>
      </w:r>
      <w:r>
        <w:t xml:space="preserve">dimension 32, a single-layer bidirectional LSTM</w:t>
      </w:r>
      <w:r>
        <w:t xml:space="preserve"> </w:t>
      </w:r>
      <w:r>
        <w:t xml:space="preserve">(Hochreiter and Schmidhuber, 1997)</w:t>
      </w:r>
      <w:r>
        <w:t xml:space="preserve"> </w:t>
      </w:r>
      <w:r>
        <w:t xml:space="preserve">with hidden size 64, mean-pooling over valid</w:t>
      </w:r>
      <w:r>
        <w:t xml:space="preserve"> </w:t>
      </w:r>
      <w:r>
        <w:t xml:space="preserve">positions, dropout 0.3, and a linear classifier. Trained with Adam</w:t>
      </w:r>
      <w:r>
        <w:t xml:space="preserve"> </w:t>
      </w:r>
      <w:r>
        <w:t xml:space="preserve">(</w:t>
      </w:r>
      <m:oMath>
        <m:r>
          <m:t>η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 using binary cross-entropy and early stopping on</w:t>
      </w:r>
      <w:r>
        <w:t xml:space="preserve"> </w:t>
      </w:r>
      <w:r>
        <w:t xml:space="preserve">dev loss with patience 5.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Pretrained transformer baselines (e.g. DistilBERT, PhoBERT) are</w:t>
      </w:r>
      <w:r>
        <w:t xml:space="preserve"> </w:t>
      </w:r>
      <w:r>
        <w:t xml:space="preserve">deliberately excluded from this comparison. The framing of the paper</w:t>
      </w:r>
      <w:r>
        <w:t xml:space="preserve"> </w:t>
      </w:r>
      <w:r>
        <w:t xml:space="preserve">is parameter efficiency under controlled, end-to-end training from</w:t>
      </w:r>
      <w:r>
        <w:t xml:space="preserve"> </w:t>
      </w:r>
      <w:r>
        <w:t xml:space="preserve">random initialisation: a 66M-parameter DistilBERT model trained on</w:t>
      </w:r>
      <w:r>
        <w:t xml:space="preserve"> </w:t>
      </w:r>
      <w:r>
        <w:t xml:space="preserve">billions of tokens of additional text is not informative for this</w:t>
      </w:r>
      <w:r>
        <w:t xml:space="preserve"> </w:t>
      </w:r>
      <w:r>
        <w:t xml:space="preserve">research question, since any accuracy difference would primarily</w:t>
      </w:r>
      <w:r>
        <w:t xml:space="preserve"> </w:t>
      </w:r>
      <w:r>
        <w:t xml:space="preserve">reflect the pretraining corpus rather than the inductive bias of the</w:t>
      </w:r>
      <w:r>
        <w:t xml:space="preserve"> </w:t>
      </w:r>
      <w:r>
        <w:t xml:space="preserve">model family. Once a comparable pretrained quantum model becomes</w:t>
      </w:r>
      <w:r>
        <w:t xml:space="preserve"> </w:t>
      </w:r>
      <w:r>
        <w:t xml:space="preserve">available, an equivalent comparison along the</w:t>
      </w:r>
      <w:r>
        <w:t xml:space="preserve"> </w:t>
      </w:r>
      <w:r>
        <w:t xml:space="preserve">pretrained-vs-pretrained axis will become possible.</w:t>
      </w:r>
    </w:p>
    <w:bookmarkEnd w:id="25"/>
    <w:bookmarkStart w:id="27" w:name="training-and-evaluation-protocol"/>
    <w:p>
      <w:pPr>
        <w:pStyle w:val="Heading2"/>
      </w:pPr>
      <w:r>
        <w:t xml:space="preserve">Training and Evaluation Protocol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All quantum models are trained with Adam</w:t>
      </w:r>
      <w:r>
        <w:t xml:space="preserve"> </w:t>
      </w:r>
      <w:r>
        <w:t xml:space="preserve">(Kingma and Ba, 2015)</w:t>
      </w:r>
      <w:r>
        <w:t xml:space="preserve"> </w:t>
      </w:r>
      <w:r>
        <w:t xml:space="preserve">(</w:t>
      </w:r>
      <m:oMath>
        <m:r>
          <m:t>η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 weight decay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 and gradient clipping at</w:t>
      </w:r>
      <w:r>
        <w:t xml:space="preserve"> </w:t>
      </w:r>
      <w:r>
        <w:t xml:space="preserve">unit norm. A</w:t>
      </w:r>
      <w:r>
        <w:t xml:space="preserve"> </w:t>
      </w:r>
      <w:r>
        <w:rPr>
          <w:rStyle w:val="VerbatimChar"/>
        </w:rPr>
        <w:t xml:space="preserve">ReduceLROnPlateau</w:t>
      </w:r>
      <w:r>
        <w:t xml:space="preserve"> </w:t>
      </w:r>
      <w:r>
        <w:t xml:space="preserve">scheduler halves the learning</w:t>
      </w:r>
      <w:r>
        <w:t xml:space="preserve"> </w:t>
      </w:r>
      <w:r>
        <w:t xml:space="preserve">rate when development loss does not improve for seven consecutive</w:t>
      </w:r>
      <w:r>
        <w:t xml:space="preserve"> </w:t>
      </w:r>
      <w:r>
        <w:t xml:space="preserve">epochs. Batch size is 32 and training runs for up to 200 epochs with</w:t>
      </w:r>
      <w:r>
        <w:t xml:space="preserve"> </w:t>
      </w:r>
      <w:r>
        <w:t xml:space="preserve">early stopping on development loss (patience 20). Each configuration</w:t>
      </w:r>
      <w:r>
        <w:t xml:space="preserve"> </w:t>
      </w:r>
      <w:r>
        <w:t xml:space="preserve">is trained from five independent random seeds and the mean and</w:t>
      </w:r>
      <w:r>
        <w:t xml:space="preserve"> </w:t>
      </w:r>
      <w:r>
        <w:t xml:space="preserve">standard deviation are reported. The complete set of hyperparameters</w:t>
      </w:r>
      <w:r>
        <w:t xml:space="preserve"> </w:t>
      </w:r>
      <w:r>
        <w:t xml:space="preserve">is given in Table </w:t>
      </w:r>
      <w:hyperlink w:anchor="tab:hparams">
        <w:r>
          <w:rPr>
            <w:rStyle w:val="Hyperlink"/>
          </w:rPr>
          <w:t xml:space="preserve">2</w:t>
        </w:r>
      </w:hyperlink>
      <w:r>
        <w:t xml:space="preserve">. The test set is touched exactly</w:t>
      </w:r>
      <w:r>
        <w:t xml:space="preserve"> </w:t>
      </w:r>
      <w:r>
        <w:t xml:space="preserve">once at the end of the experiments to evaluate the final checkpoints;</w:t>
      </w:r>
      <w:r>
        <w:t xml:space="preserve"> </w:t>
      </w:r>
      <w:r>
        <w:t xml:space="preserve">no hyperparameter selection is performed on the test set. Pairwise</w:t>
      </w:r>
      <w:r>
        <w:t xml:space="preserve"> </w:t>
      </w:r>
      <w:r>
        <w:t xml:space="preserve">statistical comparisons are conducted using McNemar’s test</w:t>
      </w:r>
      <w:r>
        <w:t xml:space="preserve"> </w:t>
      </w:r>
      <w:r>
        <w:t xml:space="preserve">(McNemar, 1947)</w:t>
      </w:r>
      <w:r>
        <w:t xml:space="preserve"> </w:t>
      </w:r>
      <w:r>
        <w:t xml:space="preserve">with the standard continuity correction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test predictions.</w:t>
      </w:r>
    </w:p>
    <w:bookmarkStart w:id="26" w:name="tab:hparams"/>
    <w:p>
      <w:pPr>
        <w:pStyle w:val="TableCaption"/>
        <w:jc w:val="center"/>
      </w:pPr>
      <w:r>
        <w:rPr>
          <w:b/>
        </w:rPr>
        <w:t xml:space="preserve">Table 2. </w:t>
      </w:r>
      <w:r>
        <w:t xml:space="preserve">Training hyperparameters for quantum models and classical</w:t>
      </w:r>
      <w:r>
        <w:t xml:space="preserve"> </w:t>
      </w:r>
      <w:r>
        <w:t xml:space="preserve">baselines. The LR regularisation strength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was selected by</w:t>
      </w:r>
      <w:r>
        <w:t xml:space="preserve"> </w:t>
      </w:r>
      <w:r>
        <w:t xml:space="preserve">grid search on the development set.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aining hyperparameters for quantum models and classical baselines. The LR regularisation strength C was selected by grid search on the development set."/>
        <w:jc w:val="center"/>
        <w:tblBorders>
          <w:top w:val="single" w:sz="14" w:space="0" w:color="000000"/>
          <w:bottom w:val="single" w:sz="14" w:space="0" w:color="000000"/>
          <w:left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Hyperparameter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Quantum training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Optimiser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Weight decay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Gradient clipping (max norm)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LR 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ReduceLROnPlateau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reduction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patience (epochs)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minimum LR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Max epochs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Early-stopping patience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Atomic type dimensions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Simulator back-end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pennylane lightning.qubit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Cross-entropy (one-hot 2-class)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Seeds per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Classical baselines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+ TF–IDF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N-gram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(1, 2)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min_df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Solver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liblinear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(dev-tuned)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(TF–IDF), 10 (GloVe)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+ GloVe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 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 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(random init)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Hidden 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(bidirectional)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Dropout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over valid positions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Weight decay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Gradient clipping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Max epochs / patience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/ 5</w:t>
            </w:r>
          </w:p>
        </w:tc>
      </w:tr>
    </w:tbl>
    <w:bookmarkEnd w:id="26"/>
    <w:bookmarkEnd w:id="27"/>
    <w:bookmarkStart w:id="28" w:name="software-and-compute-environment"/>
    <w:p>
      <w:pPr>
        <w:pStyle w:val="Heading2"/>
      </w:pPr>
      <w:r>
        <w:t xml:space="preserve">Software and Compute Environment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All experiments were conducted using Python 3.12,</w:t>
      </w:r>
      <w:r>
        <w:t xml:space="preserve"> </w:t>
      </w:r>
      <w:r>
        <w:rPr>
          <w:rStyle w:val="VerbatimChar"/>
        </w:rPr>
        <w:t xml:space="preserve">lambeq</w:t>
      </w:r>
      <w:r>
        <w:t xml:space="preserve"> </w:t>
      </w:r>
      <w:r>
        <w:t xml:space="preserve">version 0.5.0, PennyLane (</w:t>
      </w:r>
      <m:oMath>
        <m:r>
          <m:rPr>
            <m:sty m:val="p"/>
          </m:rPr>
          <m:t>≥</m:t>
        </m:r>
        <m:r>
          <m:t>0.34</m:t>
        </m:r>
      </m:oMath>
      <w:r>
        <w:t xml:space="preserve">), PyTorch (</w:t>
      </w:r>
      <m:oMath>
        <m:r>
          <m:rPr>
            <m:sty m:val="p"/>
          </m:rPr>
          <m:t>≥</m:t>
        </m:r>
        <m:r>
          <m:t>2.1</m:t>
        </m:r>
      </m:oMath>
      <w:r>
        <w:t xml:space="preserve">) and</w:t>
      </w:r>
      <w:r>
        <w:t xml:space="preserve"> </w:t>
      </w:r>
      <w:r>
        <w:t xml:space="preserve">scikit-learn (</w:t>
      </w:r>
      <m:oMath>
        <m:r>
          <m:rPr>
            <m:sty m:val="p"/>
          </m:rPr>
          <m:t>≥</m:t>
        </m:r>
        <m:r>
          <m:t>1.3</m:t>
        </m:r>
      </m:oMath>
      <w:r>
        <w:t xml:space="preserve">). Computation was performed on a single</w:t>
      </w:r>
      <w:r>
        <w:t xml:space="preserve"> </w:t>
      </w:r>
      <w:r>
        <w:t xml:space="preserve">Linux server with an 8-core CPU and 16 GB of RAM, without GPU</w:t>
      </w:r>
      <w:r>
        <w:t xml:space="preserve"> </w:t>
      </w:r>
      <w:r>
        <w:t xml:space="preserve">acceleration. The complete 60-run quantum grid required approximately</w:t>
      </w:r>
      <w:r>
        <w:t xml:space="preserve"> </w:t>
      </w:r>
      <w:r>
        <w:t xml:space="preserve">12 hours of wall-clock time; the classical baselines required</w:t>
      </w:r>
      <w:r>
        <w:t xml:space="preserve"> </w:t>
      </w:r>
      <w:r>
        <w:t xml:space="preserve">approximately three minutes; the final test-set evaluation</w:t>
      </w:r>
      <w:r>
        <w:t xml:space="preserve"> </w:t>
      </w:r>
      <w:r>
        <w:t xml:space="preserve">approximately five minutes; and the analysis stage, including all</w:t>
      </w:r>
      <w:r>
        <w:t xml:space="preserve"> </w:t>
      </w:r>
      <w:r>
        <w:t xml:space="preserve">figure generation and statistical tests, approximately two minutes.</w:t>
      </w:r>
    </w:p>
    <w:bookmarkEnd w:id="28"/>
    <w:bookmarkEnd w:id="29"/>
    <w:bookmarkStart w:id="65" w:name="sec:results"/>
    <w:p>
      <w:pPr>
        <w:pStyle w:val="Heading1"/>
      </w:pPr>
      <w:r>
        <w:t xml:space="preserve">Results</w:t>
      </w:r>
    </w:p>
    <w:bookmarkStart w:id="35" w:name="overall-test-accuracy"/>
    <w:p>
      <w:pPr>
        <w:pStyle w:val="Heading2"/>
      </w:pPr>
      <w:r>
        <w:t xml:space="preserve">Overall Test Accuracy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Table </w:t>
      </w:r>
      <w:hyperlink w:anchor="tab:result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summarises the final test accuracy of all</w:t>
      </w:r>
      <w:r>
        <w:t xml:space="preserve"> </w:t>
      </w:r>
      <w:r>
        <w:t xml:space="preserve">sixteen evaluated models. The classical LR + TF–IDF baseline is the</w:t>
      </w:r>
      <w:r>
        <w:t xml:space="preserve"> </w:t>
      </w:r>
      <w:r>
        <w:t xml:space="preserve">strongest model overall (</w:t>
      </w:r>
      <m:oMath>
        <m:r>
          <m:t>94.25</m:t>
        </m:r>
        <m:r>
          <m:rPr>
            <m:sty m:val="p"/>
          </m:rPr>
          <m:t>%</m:t>
        </m:r>
      </m:oMath>
      <w:r>
        <w:t xml:space="preserve">), benefiting from bigram features</w:t>
      </w:r>
      <w:r>
        <w:t xml:space="preserve"> </w:t>
      </w:r>
      <w:r>
        <w:t xml:space="preserve">that capture negation patterns such as</w:t>
      </w:r>
      <w:r>
        <w:t xml:space="preserve"> </w:t>
      </w:r>
      <w:r>
        <w:rPr>
          <w:i/>
          <w:iCs/>
        </w:rPr>
        <w:t xml:space="preserve">not good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no sense</w:t>
      </w:r>
      <w:r>
        <w:t xml:space="preserve">. The Spiders quantum configuration attains</w:t>
      </w:r>
      <w:r>
        <w:t xml:space="preserve"> </w:t>
      </w:r>
      <m:oMath>
        <m:r>
          <m:t>92.05</m:t>
        </m:r>
        <m:r>
          <m:rPr>
            <m:sty m:val="p"/>
          </m:rPr>
          <m:t>%</m:t>
        </m:r>
      </m:oMath>
      <w:r>
        <w:t xml:space="preserve"> </w:t>
      </w:r>
      <w:r>
        <w:t xml:space="preserve">accuracy with only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940</m:t>
        </m:r>
      </m:oMath>
      <w:r>
        <w:t xml:space="preserve"> </w:t>
      </w:r>
      <w:r>
        <w:t xml:space="preserve">trainable parameters, a</w:t>
      </w:r>
      <w:r>
        <w:t xml:space="preserve"> </w:t>
      </w:r>
      <w:r>
        <w:t xml:space="preserve">performance level statistically indistinguishable from the BiLSTM</w:t>
      </w:r>
      <w:r>
        <w:t xml:space="preserve"> </w:t>
      </w:r>
      <w:r>
        <w:t xml:space="preserve">baseline (</w:t>
      </w:r>
      <m:oMath>
        <m:r>
          <m:t>91.83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82</m:t>
        </m:r>
        <m:r>
          <m:rPr>
            <m:sty m:val="p"/>
          </m:rPr>
          <m:t>,</m:t>
        </m:r>
        <m:r>
          <m:t>369</m:t>
        </m:r>
      </m:oMath>
      <w:r>
        <w:t xml:space="preserve"> </w:t>
      </w:r>
      <w:r>
        <w:t xml:space="preserve">parameters). The Cups + Sim14</w:t>
      </w:r>
      <w:r>
        <w:t xml:space="preserve"> </w:t>
      </w:r>
      <w:r>
        <w:t xml:space="preserve">family is similarly competitive across all three depths</w:t>
      </w:r>
      <w:r>
        <w:t xml:space="preserve"> </w:t>
      </w:r>
      <w:r>
        <w:t xml:space="preserve">(</w:t>
      </w:r>
      <m:oMath>
        <m:r>
          <m:t>91.85</m:t>
        </m:r>
      </m:oMath>
      <w:r>
        <w:t xml:space="preserve">–</w:t>
      </w:r>
      <m:oMath>
        <m:r>
          <m:t>92.10</m:t>
        </m:r>
        <m:r>
          <m:rPr>
            <m:sty m:val="p"/>
          </m:rPr>
          <m:t>%</m:t>
        </m:r>
      </m:oMath>
      <w:r>
        <w:t xml:space="preserve">).</w:t>
      </w:r>
    </w:p>
    <w:bookmarkStart w:id="30" w:name="tab:results"/>
    <w:p>
      <w:pPr>
        <w:pStyle w:val="TableCaption"/>
        <w:jc w:val="center"/>
      </w:pPr>
      <w:r>
        <w:rPr>
          <w:b/>
        </w:rPr>
        <w:t xml:space="preserve">Table 3. </w:t>
      </w:r>
      <w:r>
        <w:t xml:space="preserve">Test-set results on the SST-2 short phrase subset</w:t>
      </w:r>
      <w:r>
        <w:t xml:space="preserve"> </w:t>
      </w:r>
      <w:r>
        <w:t xml:space="preserve">(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test</m:t>
            </m:r>
          </m:sub>
        </m:sSub>
        <m:r>
          <m:rPr>
            <m:sty m:val="p"/>
          </m:rPr>
          <m:t>=</m:t>
        </m:r>
        <m:r>
          <m:t>400</m:t>
        </m:r>
      </m:oMath>
      <w:r>
        <w:t xml:space="preserve">, balanced 50:50). Quantum results aggregated</w:t>
      </w:r>
      <w:r>
        <w:t xml:space="preserve"> </w:t>
      </w:r>
      <w:r>
        <w:t xml:space="preserve">over five seeds; classical baselines over three seeds (both logistic</w:t>
      </w:r>
      <w:r>
        <w:t xml:space="preserve"> </w:t>
      </w:r>
      <w:r>
        <w:t xml:space="preserve">regression variants are deterministic given the fixed preprocessing</w:t>
      </w:r>
      <w:r>
        <w:t xml:space="preserve"> </w:t>
      </w:r>
      <w:r>
        <w:t xml:space="preserve">pipeline, so their standard deviations are</w:t>
      </w:r>
      <w:r>
        <w:t xml:space="preserve"> </w:t>
      </w:r>
      <m:oMath>
        <m:r>
          <m:t>0.0000</m:t>
        </m:r>
      </m:oMath>
      <w:r>
        <w:t xml:space="preserve"> </w:t>
      </w:r>
      <w:r>
        <w:t xml:space="preserve">by</w:t>
      </w:r>
      <w:r>
        <w:t xml:space="preserve"> </w:t>
      </w:r>
      <w:r>
        <w:t xml:space="preserve">construction; BiLSTM is the only classical model with genuine</w:t>
      </w:r>
      <w:r>
        <w:t xml:space="preserve"> </w:t>
      </w:r>
      <w:r>
        <w:t xml:space="preserve">seed-to-seed stochasticity and was run with three seeds).</w:t>
      </w:r>
      <w:r>
        <w:t xml:space="preserve"> </w:t>
      </w:r>
      <w:r>
        <w:t xml:space="preserve">All six Spiders configurations are bit-identical because of the</w:t>
      </w:r>
      <w:r>
        <w:t xml:space="preserve"> </w:t>
      </w:r>
      <w:r>
        <w:t xml:space="preserve">saturation phenomenon analysed in Section </w:t>
      </w:r>
      <w:hyperlink w:anchor="sec:ablation">
        <w:r>
          <w:rPr>
            <w:rStyle w:val="Hyperlink"/>
          </w:rPr>
          <w:t xml:space="preserve">4.3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st-set results on the SST-2 short phrase subset (n_\text{test}=400, balanced 50:50). Quantum results aggregated over five seeds; classical baselines over three seeds (both logistic regression variants are deterministic given the fixed preprocessing pipeline, so their standard deviations are 0.0000 by construction; BiLSTM is the only classical model with genuine seed-to-seed stochasticity and was run with three seeds). All six Spiders configurations are bit-identical because of the saturation phenomenon analysed in Section 4.3."/>
        <w:jc w:val="center"/>
        <w:tblBorders>
          <w:top w:val="single" w:sz="14" w:space="0" w:color="000000"/>
          <w:bottom w:val="single" w:sz="14" w:space="0" w:color="000000"/>
          <w:left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t xml:space="preserve">Accuracy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t xml:space="preserve">F1-macro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t xml:space="preserve">Std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right"/>
            </w:pPr>
            <w:r>
              <w:t xml:space="preserve">#Params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Majority baseline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+ TF–IDF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0.9425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829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+ GloVe-50d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BiLSTM-1L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  <w:r>
              <w:t xml:space="preserve">,</w:t>
            </w:r>
            <w:r>
              <w:t xml:space="preserve">369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Q-spiders (all six configurations)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Q-cups-IQP-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0.8715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Q-cups-IQP-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0.6280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963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Q-cups-IQP-</w:t>
            </w:r>
            <m:oMath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0.8450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Q-cups-Sim14-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0.9190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  <w:r>
              <w:t xml:space="preserve">,</w:t>
            </w:r>
            <w:r>
              <w:t xml:space="preserve">843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Q-cups-Sim14-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0.9185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  <w:r>
              <w:t xml:space="preserve">,</w:t>
            </w:r>
            <w:r>
              <w:t xml:space="preserve">683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Q-cups-Sim14-</w:t>
            </w:r>
            <m:oMath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0.9210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  <w:r>
              <w:t xml:space="preserve">,</w:t>
            </w:r>
            <w:r>
              <w:t xml:space="preserve">523</w:t>
            </w:r>
          </w:p>
        </w:tc>
      </w:tr>
    </w:tbl>
    <w:bookmarkEnd w:id="30"/>
    <w:bookmarkStart w:id="34" w:name="fig:acc"/>
    <w:p>
      <w:pPr>
        <w:pStyle w:val="CaptionedFigure"/>
        <w:jc w:val="center"/>
      </w:pPr>
      <w:r>
        <w:drawing>
          <wp:inline>
            <wp:extent cx="5067300" cy="301118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igures/01_accuracy_compariso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011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b/>
        </w:rPr>
        <w:t xml:space="preserve">Figure 2. </w:t>
      </w:r>
      <w:r>
        <w:t xml:space="preserve">Test accuracy of all evaluated models with one standard</w:t>
      </w:r>
      <w:r>
        <w:t xml:space="preserve"> </w:t>
      </w:r>
      <w:r>
        <w:t xml:space="preserve">deviation across seeds. Sorted in ascending order of mean accuracy.</w:t>
      </w:r>
    </w:p>
    <w:bookmarkEnd w:id="34"/>
    <w:bookmarkEnd w:id="35"/>
    <w:bookmarkStart w:id="40" w:name="parameter-count-vs.-accuracy"/>
    <w:p>
      <w:pPr>
        <w:pStyle w:val="Heading2"/>
      </w:pPr>
      <w:r>
        <w:t xml:space="preserve">Parameter Count vs. Accuracy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Figure </w:t>
      </w:r>
      <w:hyperlink w:anchor="fig:efficiency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plots test accuracy against the number of</w:t>
      </w:r>
      <w:r>
        <w:t xml:space="preserve"> </w:t>
      </w:r>
      <w:r>
        <w:t xml:space="preserve">trainable parameters on a logarithmic axis. The Spiders quantum model</w:t>
      </w:r>
      <w:r>
        <w:t xml:space="preserve"> </w:t>
      </w:r>
      <w:r>
        <w:t xml:space="preserve">attains</w:t>
      </w:r>
      <w:r>
        <w:t xml:space="preserve"> </w:t>
      </w:r>
      <m:oMath>
        <m:r>
          <m:t>92.05</m:t>
        </m:r>
        <m:r>
          <m:rPr>
            <m:sty m:val="p"/>
          </m:rPr>
          <m:t>%</m:t>
        </m:r>
      </m:oMath>
      <w:r>
        <w:t xml:space="preserve"> </w:t>
      </w:r>
      <w:r>
        <w:t xml:space="preserve">accuracy with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940</m:t>
        </m:r>
      </m:oMath>
      <w:r>
        <w:t xml:space="preserve"> </w:t>
      </w:r>
      <w:r>
        <w:t xml:space="preserve">parameters, a</w:t>
      </w:r>
      <w:r>
        <w:t xml:space="preserve"> </w:t>
      </w:r>
      <m:oMath>
        <m:r>
          <m:t>28</m:t>
        </m:r>
      </m:oMath>
      <w:r>
        <w:t xml:space="preserve">-fold reduction relative to the BiLSTM at marginally higher</w:t>
      </w:r>
      <w:r>
        <w:t xml:space="preserve"> </w:t>
      </w:r>
      <w:r>
        <w:t xml:space="preserve">accuracy. This compactness is observed only</w:t>
      </w:r>
      <w:r>
        <w:t xml:space="preserve"> </w:t>
      </w:r>
      <w:r>
        <w:rPr>
          <w:i/>
          <w:iCs/>
        </w:rPr>
        <w:t xml:space="preserve">relative to the</w:t>
      </w:r>
      <w:r>
        <w:rPr>
          <w:i/>
          <w:iCs/>
        </w:rPr>
        <w:t xml:space="preserve"> </w:t>
      </w:r>
      <w:r>
        <w:rPr>
          <w:i/>
          <w:iCs/>
        </w:rPr>
        <w:t xml:space="preserve">dense BiLSTM baseline</w:t>
      </w:r>
      <w:r>
        <w:t xml:space="preserve">; the sparse LR + TF–IDF baseline remains</w:t>
      </w:r>
      <w:r>
        <w:t xml:space="preserve"> </w:t>
      </w:r>
      <w:r>
        <w:t xml:space="preserve">slightly more compact still (</w:t>
      </w:r>
      <m:oMath>
        <m:r>
          <m:t>2</m:t>
        </m:r>
        <m:r>
          <m:rPr>
            <m:sty m:val="p"/>
          </m:rPr>
          <m:t>,</m:t>
        </m:r>
        <m:r>
          <m:t>829</m:t>
        </m:r>
      </m:oMath>
      <w:r>
        <w:t xml:space="preserve"> </w:t>
      </w:r>
      <w:r>
        <w:t xml:space="preserve">parameters), with higher</w:t>
      </w:r>
      <w:r>
        <w:t xml:space="preserve"> </w:t>
      </w:r>
      <w:r>
        <w:t xml:space="preserve">accuracy on this subset, as discussed further in</w:t>
      </w:r>
      <w:r>
        <w:t xml:space="preserve"> </w:t>
      </w:r>
      <w:r>
        <w:t xml:space="preserve">Section </w:t>
      </w:r>
      <w:hyperlink w:anchor="sec:discussion">
        <w:r>
          <w:rPr>
            <w:rStyle w:val="Hyperlink"/>
          </w:rPr>
          <w:t xml:space="preserve">5</w:t>
        </w:r>
      </w:hyperlink>
      <w:r>
        <w:t xml:space="preserve">.</w:t>
      </w:r>
    </w:p>
    <w:bookmarkStart w:id="39" w:name="fig:efficiency"/>
    <w:p>
      <w:pPr>
        <w:pStyle w:val="CaptionedFigure"/>
        <w:jc w:val="center"/>
      </w:pPr>
      <w:r>
        <w:drawing>
          <wp:inline>
            <wp:extent cx="4533900" cy="292075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igures/03_param_efficiency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20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b/>
        </w:rPr>
        <w:t xml:space="preserve">Figure 3. </w:t>
      </w:r>
      <w:r>
        <w:t xml:space="preserve">Trainable parameters versus test accuracy. The Spiders</w:t>
      </w:r>
      <w:r>
        <w:t xml:space="preserve"> </w:t>
      </w:r>
      <w:r>
        <w:t xml:space="preserve">quantum model occupies the most favourable region of the</w:t>
      </w:r>
      <w:r>
        <w:t xml:space="preserve"> </w:t>
      </w:r>
      <w:r>
        <w:t xml:space="preserve">parameter-efficiency trade-off relative to dense sequence models,</w:t>
      </w:r>
      <w:r>
        <w:t xml:space="preserve"> </w:t>
      </w:r>
      <w:r>
        <w:t xml:space="preserve">matching BiLSTM accuracy with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</m:oMath>
      <w:r>
        <w:t xml:space="preserve"> </w:t>
      </w:r>
      <w:r>
        <w:t xml:space="preserve">fewer parameters</w:t>
      </w:r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,</m:t>
        </m:r>
        <m:r>
          <m:t>940</m:t>
        </m:r>
      </m:oMath>
      <w:r>
        <w:t xml:space="preserve"> </w:t>
      </w:r>
      <w:r>
        <w:t xml:space="preserve">vs. </w:t>
      </w:r>
      <m:oMath>
        <m:r>
          <m:t>82</m:t>
        </m:r>
        <m:r>
          <m:rPr>
            <m:sty m:val="p"/>
          </m:rPr>
          <m:t>,</m:t>
        </m:r>
        <m:r>
          <m:t>369</m:t>
        </m:r>
      </m:oMath>
      <w:r>
        <w:t xml:space="preserve">).</w:t>
      </w:r>
    </w:p>
    <w:bookmarkEnd w:id="39"/>
    <w:bookmarkEnd w:id="40"/>
    <w:bookmarkStart w:id="48" w:name="sec:ablation"/>
    <w:p>
      <w:pPr>
        <w:pStyle w:val="Heading2"/>
      </w:pPr>
      <w:r>
        <w:t xml:space="preserve">Reader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Ansatz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Depth Ablation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The 60-run grid exhibits three qualitatively distinct training</w:t>
      </w:r>
      <w:r>
        <w:t xml:space="preserve"> </w:t>
      </w:r>
      <w:r>
        <w:t xml:space="preserve">regimes, which are analysed separately.</w:t>
      </w:r>
    </w:p>
    <w:bookmarkStart w:id="41" w:name="spiders-saturation"/>
    <w:p>
      <w:pPr>
        <w:pStyle w:val="Heading3"/>
      </w:pPr>
      <w:r>
        <w:t xml:space="preserve">Spiders saturation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When</w:t>
      </w:r>
      <w:r>
        <w:t xml:space="preserve"> </w:t>
      </w:r>
      <w:r>
        <w:rPr>
          <w:rStyle w:val="VerbatimChar"/>
        </w:rPr>
        <w:t xml:space="preserve">SpidersReader</w:t>
      </w:r>
      <w:r>
        <w:t xml:space="preserve"> </w:t>
      </w:r>
      <w:r>
        <w:t xml:space="preserve">is paired with single-qubit atomic types,</w:t>
      </w:r>
      <w:r>
        <w:t xml:space="preserve"> </w:t>
      </w:r>
      <w:r>
        <w:t xml:space="preserve">each word box reduces to a single-qubit unitary and the spider itself</w:t>
      </w:r>
      <w:r>
        <w:t xml:space="preserve"> </w:t>
      </w:r>
      <w:r>
        <w:t xml:space="preserve">contributes no trainable parameters. The IQP and Sim14 ansatzes</w:t>
      </w:r>
      <w:r>
        <w:t xml:space="preserve"> </w:t>
      </w:r>
      <w:r>
        <w:t xml:space="preserve">become representationally equivalent under this configuration:</w:t>
      </w:r>
      <w:r>
        <w:t xml:space="preserve"> </w:t>
      </w:r>
      <w:r>
        <w:t xml:space="preserve">a single-qubit gate has at most three free parameters, and the product</w:t>
      </w:r>
      <w:r>
        <w:t xml:space="preserve"> </w:t>
      </w:r>
      <w:r>
        <w:t xml:space="preserve">of single-qubit unitaries remains a single-qubit unitary regardless of</w:t>
      </w:r>
      <w:r>
        <w:t xml:space="preserve"> </w:t>
      </w:r>
      <w:r>
        <w:t xml:space="preserve">layer depth. The empirical grid confirms this prediction. All six</w:t>
      </w:r>
      <w:r>
        <w:t xml:space="preserve"> </w:t>
      </w:r>
      <w:r>
        <w:t xml:space="preserve">Spiders configurations attain identical test accuracy</w:t>
      </w:r>
      <w:r>
        <w:t xml:space="preserve"> </w:t>
      </w:r>
      <w:r>
        <w:t xml:space="preserve">(</w:t>
      </w:r>
      <m:oMath>
        <m:r>
          <m:t>0.9205</m:t>
        </m:r>
        <m:r>
          <m:rPr>
            <m:sty m:val="p"/>
          </m:rPr>
          <m:t>±</m:t>
        </m:r>
        <m:r>
          <m:t>0.0064</m:t>
        </m:r>
      </m:oMath>
      <w:r>
        <w:t xml:space="preserve">) with identical parameter counts (</w:t>
      </w:r>
      <m:oMath>
        <m:r>
          <m:t>2</m:t>
        </m:r>
        <m:r>
          <m:rPr>
            <m:sty m:val="p"/>
          </m:rPr>
          <m:t>,</m:t>
        </m:r>
        <m:r>
          <m:t>940</m:t>
        </m:r>
      </m:oMath>
      <w:r>
        <w:t xml:space="preserve">).</w:t>
      </w:r>
      <w:r>
        <w:t xml:space="preserve"> </w:t>
      </w:r>
      <w:r>
        <w:t xml:space="preserve">This outcome reflects a structural property of the representation</w:t>
      </w:r>
      <w:r>
        <w:t xml:space="preserve"> </w:t>
      </w:r>
      <w:r>
        <w:t xml:space="preserve">rather than an implementation defect and would dissolve under either</w:t>
      </w:r>
      <w:r>
        <w:t xml:space="preserve"> </w:t>
      </w:r>
      <w:r>
        <w:t xml:space="preserve">wider atomic types or a reader that emits multi-qubit boxes.</w:t>
      </w:r>
    </w:p>
    <w:bookmarkEnd w:id="41"/>
    <w:bookmarkStart w:id="42" w:name="X9343ef5804d01088383a025de16a553e6792bc7"/>
    <w:p>
      <w:pPr>
        <w:pStyle w:val="Heading3"/>
      </w:pPr>
      <w:r>
        <w:t xml:space="preserve">Cups + IQP barren-plateau-like collapse at depth two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The Cups reader produces multi-qubit word boxes, so ansatz and depth</w:t>
      </w:r>
      <w:r>
        <w:t xml:space="preserve"> </w:t>
      </w:r>
      <w:r>
        <w:t xml:space="preserve">become genuinely informative. The IQP family yields a non-monotonic</w:t>
      </w:r>
      <w:r>
        <w:t xml:space="preserve"> </w:t>
      </w:r>
      <w:r>
        <w:t xml:space="preserve">depth sweep: test accuracy is</w:t>
      </w:r>
      <w:r>
        <w:t xml:space="preserve"> </w:t>
      </w:r>
      <m:oMath>
        <m:r>
          <m:t>87.15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t>62.80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84.50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. At depth two all five seeds</w:t>
      </w:r>
      <w:r>
        <w:t xml:space="preserve"> </w:t>
      </w:r>
      <w:r>
        <w:t xml:space="preserve">converge to a narrow accuracy band (</w:t>
      </w:r>
      <m:oMath>
        <m:r>
          <m:t>σ</m:t>
        </m:r>
        <m:r>
          <m:rPr>
            <m:sty m:val="p"/>
          </m:rPr>
          <m:t>=</m:t>
        </m:r>
        <m:r>
          <m:t>0.0426</m:t>
        </m:r>
      </m:oMath>
      <w:r>
        <w:t xml:space="preserve">) marginally</w:t>
      </w:r>
      <w:r>
        <w:t xml:space="preserve"> </w:t>
      </w:r>
      <w:r>
        <w:t xml:space="preserve">above the chance line, a pattern characteristic of an attracting flat</w:t>
      </w:r>
      <w:r>
        <w:t xml:space="preserve"> </w:t>
      </w:r>
      <w:r>
        <w:t xml:space="preserve">region in the loss landscape rather than an unfortunate</w:t>
      </w:r>
      <w:r>
        <w:t xml:space="preserve"> </w:t>
      </w:r>
      <w:r>
        <w:t xml:space="preserve">initialisation. A McNemar test rejects the null hypothesis of equal</w:t>
      </w:r>
      <w:r>
        <w:t xml:space="preserve"> </w:t>
      </w:r>
      <w:r>
        <w:t xml:space="preserve">performance at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versus both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; the comparison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yields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0.79</m:t>
        </m:r>
      </m:oMath>
      <w:r>
        <w:t xml:space="preserve">, indicating no significant difference. The plateau persists</w:t>
      </w:r>
      <w:r>
        <w:t xml:space="preserve"> </w:t>
      </w:r>
      <w:r>
        <w:t xml:space="preserve">under the standard mitigation strategies (a</w:t>
      </w:r>
      <w:r>
        <w:t xml:space="preserve"> </w:t>
      </w:r>
      <w:r>
        <w:rPr>
          <w:rStyle w:val="VerbatimChar"/>
        </w:rPr>
        <w:t xml:space="preserve">ReduceLROnPlateau</w:t>
      </w:r>
      <w:r>
        <w:t xml:space="preserve"> </w:t>
      </w:r>
      <w:r>
        <w:t xml:space="preserve">scheduler that reduces the learning rate to</w:t>
      </w:r>
      <w:r>
        <w:t xml:space="preserve"> </w:t>
      </w:r>
      <m:oMath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and unit-norm gradient clipping), consistent</w:t>
      </w:r>
      <w:r>
        <w:t xml:space="preserve"> </w:t>
      </w:r>
      <w:r>
        <w:t xml:space="preserve">with the barren-plateau phenomenon described by</w:t>
      </w:r>
      <w:r>
        <w:t xml:space="preserve"> </w:t>
      </w:r>
      <w:r>
        <w:t xml:space="preserve">McClean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(2018)</w:t>
      </w:r>
      <w:r>
        <w:t xml:space="preserve"> </w:t>
      </w:r>
      <w:r>
        <w:t xml:space="preserve">and the recent theoretical characterisation of</w:t>
      </w:r>
      <w:r>
        <w:t xml:space="preserve"> </w:t>
      </w:r>
      <w:r>
        <w:t xml:space="preserve">(Larocca</w:t>
      </w:r>
      <w:r>
        <w:t xml:space="preserve"> </w:t>
      </w:r>
      <w:r>
        <w:rPr>
          <w:i/>
          <w:iCs/>
        </w:rPr>
        <w:t xml:space="preserve">et al.</w:t>
      </w:r>
      <w:r>
        <w:t xml:space="preserve">, 2025; Ragone</w:t>
      </w:r>
      <w:r>
        <w:t xml:space="preserve"> </w:t>
      </w:r>
      <w:r>
        <w:rPr>
          <w:i/>
          <w:iCs/>
        </w:rPr>
        <w:t xml:space="preserve">et al.</w:t>
      </w:r>
      <w:r>
        <w:t xml:space="preserve">; 2024)</w:t>
      </w:r>
      <w:r>
        <w:t xml:space="preserve">. The barren-plateau result of</w:t>
      </w:r>
      <w:r>
        <w:t xml:space="preserve"> </w:t>
      </w:r>
      <w:r>
        <w:t xml:space="preserve">McClean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(2018)</w:t>
      </w:r>
      <w:r>
        <w:t xml:space="preserve"> </w:t>
      </w:r>
      <w:r>
        <w:t xml:space="preserve">is formally an asymptotic statement in the</w:t>
      </w:r>
      <w:r>
        <w:t xml:space="preserve"> </w:t>
      </w:r>
      <w:r>
        <w:t xml:space="preserve">number of qubits, whereas the circuits studied here use only</w:t>
      </w:r>
      <w:r>
        <w:t xml:space="preserve"> </w:t>
      </w:r>
      <m:oMath>
        <m:r>
          <m:t>5</m:t>
        </m:r>
      </m:oMath>
      <w:r>
        <w:t xml:space="preserve">–</w:t>
      </w:r>
      <m:oMath>
        <m:r>
          <m:t>6</m:t>
        </m:r>
      </m:oMath>
      <w:r>
        <w:t xml:space="preserve"> </w:t>
      </w:r>
      <w:r>
        <w:t xml:space="preserve">qubits; the phenomenon is therefore described as</w:t>
      </w:r>
      <w:r>
        <w:t xml:space="preserve"> </w:t>
      </w:r>
      <w:r>
        <w:rPr>
          <w:i/>
          <w:iCs/>
        </w:rPr>
        <w:t xml:space="preserve">barren-plateau-like</w:t>
      </w:r>
      <w:r>
        <w:t xml:space="preserve"> </w:t>
      </w:r>
      <w:r>
        <w:t xml:space="preserve">or as a</w:t>
      </w:r>
      <w:r>
        <w:t xml:space="preserve"> </w:t>
      </w:r>
      <w:r>
        <w:rPr>
          <w:i/>
          <w:iCs/>
        </w:rPr>
        <w:t xml:space="preserve">flat region consistent</w:t>
      </w:r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the barren-plateau characterisation throughout the rest of</w:t>
      </w:r>
      <w:r>
        <w:t xml:space="preserve"> </w:t>
      </w:r>
      <w:r>
        <w:t xml:space="preserve">the paper, in line with the conservative reading recommended by</w:t>
      </w:r>
      <w:r>
        <w:t xml:space="preserve"> </w:t>
      </w:r>
      <w:r>
        <w:t xml:space="preserve">Cerezo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(2022)</w:t>
      </w:r>
      <w:r>
        <w:t xml:space="preserve">.</w:t>
      </w:r>
    </w:p>
    <w:bookmarkEnd w:id="42"/>
    <w:bookmarkStart w:id="47" w:name="cups-sim14-depth-stability"/>
    <w:p>
      <w:pPr>
        <w:pStyle w:val="Heading3"/>
      </w:pPr>
      <w:r>
        <w:t xml:space="preserve">Cups + Sim14 depth stability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The Sim14 ansatz produces a qualitatively different depth profile.</w:t>
      </w:r>
      <w:r>
        <w:t xml:space="preserve"> </w:t>
      </w:r>
      <w:r>
        <w:t xml:space="preserve">Test accuracy varies only from</w:t>
      </w:r>
      <w:r>
        <w:t xml:space="preserve"> </w:t>
      </w:r>
      <m:oMath>
        <m:r>
          <m:t>91.90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91.85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92.10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, comfortably within</w:t>
      </w:r>
      <w:r>
        <w:t xml:space="preserve"> </w:t>
      </w:r>
      <w:r>
        <w:t xml:space="preserve">the seed-to-seed noise band. This stability is obtained at the cost of</w:t>
      </w:r>
      <w:r>
        <w:t xml:space="preserve"> </w:t>
      </w:r>
      <w:r>
        <w:t xml:space="preserve">parameter inflation:</w:t>
      </w:r>
      <w:r>
        <w:t xml:space="preserve"> </w:t>
      </w:r>
      <m:oMath>
        <m:r>
          <m:t>7</m:t>
        </m:r>
        <m:r>
          <m:rPr>
            <m:sty m:val="p"/>
          </m:rPr>
          <m:t>,</m:t>
        </m:r>
        <m:r>
          <m:t>843</m:t>
        </m:r>
      </m:oMath>
      <w:r>
        <w:t xml:space="preserve">,</w:t>
      </w:r>
      <w:r>
        <w:t xml:space="preserve"> </w:t>
      </w:r>
      <m:oMath>
        <m:r>
          <m:t>15</m:t>
        </m:r>
        <m:r>
          <m:rPr>
            <m:sty m:val="p"/>
          </m:rPr>
          <m:t>,</m:t>
        </m:r>
        <m:r>
          <m:t>683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23</m:t>
        </m:r>
        <m:r>
          <m:rPr>
            <m:sty m:val="p"/>
          </m:rPr>
          <m:t>,</m:t>
        </m:r>
        <m:r>
          <m:t>523</m:t>
        </m:r>
      </m:oMath>
      <w:r>
        <w:t xml:space="preserve"> </w:t>
      </w:r>
      <w:r>
        <w:t xml:space="preserve">trainable parameters respectively. The Sim14 family was designed for</w:t>
      </w:r>
      <w:r>
        <w:t xml:space="preserve"> </w:t>
      </w:r>
      <w:r>
        <w:t xml:space="preserve">strong per-layer entanglement coverage</w:t>
      </w:r>
      <w:r>
        <w:t xml:space="preserve"> </w:t>
      </w:r>
      <w:r>
        <w:t xml:space="preserve">(Sim</w:t>
      </w:r>
      <w:r>
        <w:t xml:space="preserve"> </w:t>
      </w:r>
      <w:r>
        <w:rPr>
          <w:i/>
          <w:iCs/>
        </w:rPr>
        <w:t xml:space="preserve">et al.</w:t>
      </w:r>
      <w:r>
        <w:t xml:space="preserve">, 2019)</w:t>
      </w:r>
      <w:r>
        <w:t xml:space="preserve">, and the</w:t>
      </w:r>
      <w:r>
        <w:t xml:space="preserve"> </w:t>
      </w:r>
      <w:r>
        <w:t xml:space="preserve">observed depth robustness is consistent with that design objective.</w:t>
      </w:r>
    </w:p>
    <w:bookmarkStart w:id="46" w:name="fig:layers"/>
    <w:p>
      <w:pPr>
        <w:pStyle w:val="CaptionedFigure"/>
        <w:jc w:val="center"/>
      </w:pPr>
      <w:r>
        <w:drawing>
          <wp:inline>
            <wp:extent cx="4533900" cy="2518833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figures/06_quantum_layers_ablation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518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b/>
        </w:rPr>
        <w:t xml:space="preserve">Figure 4. </w:t>
      </w:r>
      <w:r>
        <w:t xml:space="preserve">Test accuracy as a function of layer depth</w:t>
      </w:r>
      <w:r>
        <w:t xml:space="preserve"> </w:t>
      </w:r>
      <m:oMath>
        <m:r>
          <m:t>L</m:t>
        </m:r>
      </m:oMath>
      <w:r>
        <w:t xml:space="preserve">, grouped</w:t>
      </w:r>
      <w:r>
        <w:t xml:space="preserve"> </w:t>
      </w:r>
      <w:r>
        <w:t xml:space="preserve">by (reader, ansatz) so that each curve traces one ansatz family</w:t>
      </w:r>
      <w:r>
        <w:t xml:space="preserve"> </w:t>
      </w:r>
      <w:r>
        <w:t xml:space="preserve">across the three depths. The Cups + IQP curve clearly exhibits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barren-plateau-like collapse to chance accuracy. The two</w:t>
      </w:r>
      <w:r>
        <w:t xml:space="preserve"> </w:t>
      </w:r>
      <w:r>
        <w:t xml:space="preserve">Spiders curves (Spiders + IQP and Spiders + Sim14) overlap exactly</w:t>
      </w:r>
      <w:r>
        <w:t xml:space="preserve"> </w:t>
      </w:r>
      <w:r>
        <w:t xml:space="preserve">and appear as a single line, a direct consequence of the</w:t>
      </w:r>
      <w:r>
        <w:t xml:space="preserve"> </w:t>
      </w:r>
      <w:r>
        <w:t xml:space="preserve">single-qubit representational saturation analysed in</w:t>
      </w:r>
      <w:r>
        <w:t xml:space="preserve"> </w:t>
      </w:r>
      <w:r>
        <w:t xml:space="preserve">Section </w:t>
      </w:r>
      <w:hyperlink w:anchor="sec:ablation">
        <w:r>
          <w:rPr>
            <w:rStyle w:val="Hyperlink"/>
          </w:rPr>
          <w:t xml:space="preserve">4.3</w:t>
        </w:r>
      </w:hyperlink>
      <w:r>
        <w:t xml:space="preserve">; together they collapse all six</w:t>
      </w:r>
      <w:r>
        <w:t xml:space="preserve"> </w:t>
      </w:r>
      <w:r>
        <w:t xml:space="preserve">Spiders configurations onto one trajectory.</w:t>
      </w:r>
    </w:p>
    <w:bookmarkEnd w:id="46"/>
    <w:bookmarkEnd w:id="47"/>
    <w:bookmarkEnd w:id="48"/>
    <w:bookmarkStart w:id="53" w:name="Xface6e62d6393beafd5ffcccad916864483c354"/>
    <w:p>
      <w:pPr>
        <w:pStyle w:val="Heading2"/>
      </w:pPr>
      <w:r>
        <w:t xml:space="preserve">Seed Consistency Across Quantum Configurations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Figure </w:t>
      </w:r>
      <w:hyperlink w:anchor="fig:seedcon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reports the test accuracy of each of the</w:t>
      </w:r>
      <w:r>
        <w:t xml:space="preserve"> </w:t>
      </w:r>
      <w:r>
        <w:t xml:space="preserve">twelve unique quantum configurations across all five random seeds,</w:t>
      </w:r>
      <w:r>
        <w:t xml:space="preserve"> </w:t>
      </w:r>
      <w:r>
        <w:t xml:space="preserve">sorted by descending mean accuracy. Three observations support the</w:t>
      </w:r>
      <w:r>
        <w:t xml:space="preserve"> </w:t>
      </w:r>
      <w:r>
        <w:t xml:space="preserve">ablation analysis. First, for any given seed, all six Spiders</w:t>
      </w:r>
      <w:r>
        <w:t xml:space="preserve"> </w:t>
      </w:r>
      <w:r>
        <w:t xml:space="preserve">configurations produce bit-identical predictions; the residual</w:t>
      </w:r>
      <w:r>
        <w:t xml:space="preserve"> </w:t>
      </w:r>
      <w:r>
        <w:t xml:space="preserve">variation reported in Table </w:t>
      </w:r>
      <w:hyperlink w:anchor="tab:result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(</w:t>
      </w:r>
      <m:oMath>
        <m:r>
          <m:t>σ</m:t>
        </m:r>
        <m:r>
          <m:rPr>
            <m:sty m:val="p"/>
          </m:rPr>
          <m:t>=</m:t>
        </m:r>
        <m:r>
          <m:t>0.0064</m:t>
        </m:r>
      </m:oMath>
      <w:r>
        <w:t xml:space="preserve">) arises solely across seeds due to differing</w:t>
      </w:r>
      <w:r>
        <w:t xml:space="preserve"> </w:t>
      </w:r>
      <w:r>
        <w:t xml:space="preserve">random parameter initialisation, confirming that the representational</w:t>
      </w:r>
      <w:r>
        <w:t xml:space="preserve"> </w:t>
      </w:r>
      <w:r>
        <w:t xml:space="preserve">saturation is exact rather than approximate at fixed initialisation.</w:t>
      </w:r>
      <w:r>
        <w:t xml:space="preserve"> </w:t>
      </w:r>
      <w:r>
        <w:t xml:space="preserve">Second, the Cups + Sim14 configurations attain high mean accuracy</w:t>
      </w:r>
      <w:r>
        <w:t xml:space="preserve"> </w:t>
      </w:r>
      <w:r>
        <w:t xml:space="preserve">with moderate seed-to-seed variability. Third, the Cups + IQP-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configuration is reproducibly stuck near the chance baseline across</w:t>
      </w:r>
      <w:r>
        <w:t xml:space="preserve"> </w:t>
      </w:r>
      <w:r>
        <w:t xml:space="preserve">all five seeds, with low variance, confirming that the</w:t>
      </w:r>
      <w:r>
        <w:t xml:space="preserve"> </w:t>
      </w:r>
      <w:r>
        <w:t xml:space="preserve">barren-plateau-like collapse is a structural feature of the</w:t>
      </w:r>
      <w:r>
        <w:t xml:space="preserve"> </w:t>
      </w:r>
      <w:r>
        <w:t xml:space="preserve">optimisation landscape rather than a single unlucky initialisation.</w:t>
      </w:r>
    </w:p>
    <w:bookmarkStart w:id="52" w:name="fig:seedcons"/>
    <w:p>
      <w:pPr>
        <w:pStyle w:val="CaptionedFigure"/>
        <w:jc w:val="center"/>
      </w:pPr>
      <w:r>
        <w:drawing>
          <wp:inline>
            <wp:extent cx="5067300" cy="250778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figures/08_seed_consistency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507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b/>
        </w:rPr>
        <w:t xml:space="preserve">Figure 5. </w:t>
      </w:r>
      <w:r>
        <w:t xml:space="preserve">Per-configuration test accuracy across five random seeds.</w:t>
      </w:r>
      <w:r>
        <w:t xml:space="preserve"> </w:t>
      </w:r>
      <w:r>
        <w:t xml:space="preserve">Bars show the mean, error bars show one standard deviation, and dots</w:t>
      </w:r>
      <w:r>
        <w:t xml:space="preserve"> </w:t>
      </w:r>
      <w:r>
        <w:t xml:space="preserve">show individual seed accuracies. Configurations are sorted by</w:t>
      </w:r>
      <w:r>
        <w:t xml:space="preserve"> </w:t>
      </w:r>
      <w:r>
        <w:t xml:space="preserve">descending mean accuracy.</w:t>
      </w:r>
    </w:p>
    <w:bookmarkEnd w:id="52"/>
    <w:bookmarkEnd w:id="53"/>
    <w:bookmarkStart w:id="58" w:name="negation-handling"/>
    <w:p>
      <w:pPr>
        <w:pStyle w:val="Heading2"/>
      </w:pPr>
      <w:r>
        <w:t xml:space="preserve">Negation Handling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Figure </w:t>
      </w:r>
      <w:hyperlink w:anchor="fig:negation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reports the test error rate of each model</w:t>
      </w:r>
      <w:r>
        <w:t xml:space="preserve"> </w:t>
      </w:r>
      <w:r>
        <w:t xml:space="preserve">on phrases containing negation tokens versus phrases without negation.</w:t>
      </w:r>
      <w:r>
        <w:t xml:space="preserve"> </w:t>
      </w:r>
      <w:r>
        <w:t xml:space="preserve">Out of 400 test phrases, 71 contain at least one negation token.</w:t>
      </w:r>
      <w:r>
        <w:t xml:space="preserve"> </w:t>
      </w:r>
      <w:r>
        <w:t xml:space="preserve">LR + TF–IDF and BiLSTM exhibit the smallest absolute gap between the</w:t>
      </w:r>
      <w:r>
        <w:t xml:space="preserve"> </w:t>
      </w:r>
      <w:r>
        <w:t xml:space="preserve">two categories, consistent with the bigram features and sequential</w:t>
      </w:r>
      <w:r>
        <w:t xml:space="preserve"> </w:t>
      </w:r>
      <w:r>
        <w:t xml:space="preserve">modelling, respectively, capturing the linguistic role of negation</w:t>
      </w:r>
      <w:r>
        <w:t xml:space="preserve"> </w:t>
      </w:r>
      <w:r>
        <w:t xml:space="preserve">directly. The Spiders quantum reader shows a moderate gap, and the</w:t>
      </w:r>
      <w:r>
        <w:t xml:space="preserve"> </w:t>
      </w:r>
      <w:r>
        <w:t xml:space="preserve">depth-2 collapsed configuration Cups + IQP-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shows the</w:t>
      </w:r>
      <w:r>
        <w:t xml:space="preserve"> </w:t>
      </w:r>
      <w:r>
        <w:t xml:space="preserve">largest absolute error rate in both categories due to its near-random</w:t>
      </w:r>
      <w:r>
        <w:t xml:space="preserve"> </w:t>
      </w:r>
      <w:r>
        <w:t xml:space="preserve">predictions overall.</w:t>
      </w:r>
    </w:p>
    <w:bookmarkStart w:id="57" w:name="fig:negation"/>
    <w:p>
      <w:pPr>
        <w:pStyle w:val="CaptionedFigure"/>
        <w:jc w:val="center"/>
      </w:pPr>
      <w:r>
        <w:drawing>
          <wp:inline>
            <wp:extent cx="5067300" cy="253365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figures/09_negation_handling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b/>
        </w:rPr>
        <w:t xml:space="preserve">Figure 6. </w:t>
      </w:r>
      <w:r>
        <w:t xml:space="preserve">Test error rate on phrases containing negation tokens (red)</w:t>
      </w:r>
      <w:r>
        <w:t xml:space="preserve"> </w:t>
      </w:r>
      <w:r>
        <w:t xml:space="preserve">versus phrases without negation (blue), per model. Out of 400 test</w:t>
      </w:r>
      <w:r>
        <w:t xml:space="preserve"> </w:t>
      </w:r>
      <w:r>
        <w:t xml:space="preserve">phrases, 71 contain at least one negation token from the set</w:t>
      </w:r>
      <w:r>
        <w:t xml:space="preserve"> </w:t>
      </w:r>
      <w:r>
        <w:t xml:space="preserve">{</w:t>
      </w:r>
      <w:r>
        <w:rPr>
          <w:i/>
          <w:iCs/>
        </w:rPr>
        <w:t xml:space="preserve">not</w:t>
      </w:r>
      <w:r>
        <w:t xml:space="preserve">,</w:t>
      </w:r>
      <w:r>
        <w:t xml:space="preserve"> </w:t>
      </w:r>
      <w:r>
        <w:rPr>
          <w:i/>
          <w:iCs/>
        </w:rPr>
        <w:t xml:space="preserve">n’t</w:t>
      </w:r>
      <w:r>
        <w:t xml:space="preserve">,</w:t>
      </w:r>
      <w:r>
        <w:t xml:space="preserve"> </w:t>
      </w:r>
      <w:r>
        <w:rPr>
          <w:i/>
          <w:iCs/>
        </w:rPr>
        <w:t xml:space="preserve">no</w:t>
      </w:r>
      <w:r>
        <w:t xml:space="preserve">,</w:t>
      </w:r>
      <w:r>
        <w:t xml:space="preserve"> </w:t>
      </w:r>
      <w:r>
        <w:rPr>
          <w:i/>
          <w:iCs/>
        </w:rPr>
        <w:t xml:space="preserve">never</w:t>
      </w:r>
      <w:r>
        <w:t xml:space="preserve">,</w:t>
      </w:r>
      <w:r>
        <w:t xml:space="preserve"> </w:t>
      </w:r>
      <w:r>
        <w:rPr>
          <w:i/>
          <w:iCs/>
        </w:rPr>
        <w:t xml:space="preserve">nor</w:t>
      </w:r>
      <w:r>
        <w:t xml:space="preserve">,</w:t>
      </w:r>
      <w:r>
        <w:t xml:space="preserve"> </w:t>
      </w:r>
      <w:r>
        <w:rPr>
          <w:i/>
          <w:iCs/>
        </w:rPr>
        <w:t xml:space="preserve">none</w:t>
      </w:r>
      <w:r>
        <w:t xml:space="preserve">,</w:t>
      </w:r>
      <w:r>
        <w:t xml:space="preserve"> </w:t>
      </w:r>
      <w:r>
        <w:rPr>
          <w:i/>
          <w:iCs/>
        </w:rPr>
        <w:t xml:space="preserve">nothing</w:t>
      </w:r>
      <w:r>
        <w:t xml:space="preserve">,</w:t>
      </w:r>
      <w:r>
        <w:t xml:space="preserve"> </w:t>
      </w:r>
      <w:r>
        <w:rPr>
          <w:i/>
          <w:iCs/>
        </w:rPr>
        <w:t xml:space="preserve">nobody</w:t>
      </w:r>
      <w:r>
        <w:t xml:space="preserve">}.</w:t>
      </w:r>
    </w:p>
    <w:bookmarkEnd w:id="57"/>
    <w:bookmarkEnd w:id="58"/>
    <w:bookmarkStart w:id="60" w:name="statistical-significance"/>
    <w:p>
      <w:pPr>
        <w:pStyle w:val="Heading2"/>
      </w:pPr>
      <w:r>
        <w:t xml:space="preserve">Statistical Significance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To determine whether the accuracy differences in</w:t>
      </w:r>
      <w:r>
        <w:t xml:space="preserve"> </w:t>
      </w:r>
      <w:r>
        <w:t xml:space="preserve">Table </w:t>
      </w:r>
      <w:hyperlink w:anchor="tab:result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are statistically significant, paired McNemar</w:t>
      </w:r>
      <w:r>
        <w:t xml:space="preserve"> </w:t>
      </w:r>
      <w:r>
        <w:t xml:space="preserve">tests</w:t>
      </w:r>
      <w:r>
        <w:t xml:space="preserve"> </w:t>
      </w:r>
      <w:r>
        <w:t xml:space="preserve">(McNemar, 1947)</w:t>
      </w:r>
      <w:r>
        <w:t xml:space="preserve"> </w:t>
      </w:r>
      <w:r>
        <w:t xml:space="preserve">with the continuity correction were</w:t>
      </w:r>
      <w:r>
        <w:t xml:space="preserve"> </w:t>
      </w:r>
      <w:r>
        <w:t xml:space="preserve">computed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test predictions of representative</w:t>
      </w:r>
      <w:r>
        <w:t xml:space="preserve"> </w:t>
      </w:r>
      <w:r>
        <w:t xml:space="preserve">quantum and classical configurations. The family of comparisons</w:t>
      </w:r>
      <w:r>
        <w:t xml:space="preserve"> </w:t>
      </w:r>
      <w:r>
        <w:t xml:space="preserve">considered for multiple-comparisons control is defined as every</w:t>
      </w:r>
      <w:r>
        <w:t xml:space="preserve"> </w:t>
      </w:r>
      <w:r>
        <w:t xml:space="preserve">pairwise test that is reported and discussed in the rest of this</w:t>
      </w:r>
      <w:r>
        <w:t xml:space="preserve"> </w:t>
      </w:r>
      <w:r>
        <w:t xml:space="preserve">paper: this includes the classical-vs-classical reference</w:t>
      </w:r>
      <w:r>
        <w:t xml:space="preserve"> </w:t>
      </w:r>
      <w:r>
        <w:t xml:space="preserve">(LR + TF–IDF vs. BiLSTM), the two Spiders-vs-classical</w:t>
      </w:r>
      <w:r>
        <w:t xml:space="preserve"> </w:t>
      </w:r>
      <w:r>
        <w:t xml:space="preserve">comparisons, three Cups-Sim14-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-vs-other comparisons, seven</w:t>
      </w:r>
      <w:r>
        <w:t xml:space="preserve"> </w:t>
      </w:r>
      <w:r>
        <w:t xml:space="preserve">Cups-IQP-vs-classical comparisons, and three within-Cups-IQP</w:t>
      </w:r>
      <w:r>
        <w:t xml:space="preserve"> </w:t>
      </w:r>
      <w:r>
        <w:t xml:space="preserve">ablation comparisons, for a total of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16</m:t>
        </m:r>
      </m:oMath>
      <w:r>
        <w:t xml:space="preserve">. No additional</w:t>
      </w:r>
      <w:r>
        <w:t xml:space="preserve"> </w:t>
      </w:r>
      <w:r>
        <w:t xml:space="preserve">McNemar comparisons were computed and then excluded; the family is</w:t>
      </w:r>
      <w:r>
        <w:t xml:space="preserve"> </w:t>
      </w:r>
      <w:r>
        <w:t xml:space="preserve">exactly the set of rows in Table </w:t>
      </w:r>
      <w:hyperlink w:anchor="tab:mcnemar">
        <w:r>
          <w:rPr>
            <w:rStyle w:val="Hyperlink"/>
          </w:rPr>
          <w:t xml:space="preserve">4</w:t>
        </w:r>
      </w:hyperlink>
      <w:r>
        <w:t xml:space="preserve">. Raw</w:t>
      </w:r>
      <w:r>
        <w:t xml:space="preserve"> </w:t>
      </w:r>
      <m:oMath>
        <m:r>
          <m:t>p</m:t>
        </m:r>
      </m:oMath>
      <w:r>
        <w:t xml:space="preserve">-values are accompanied by Holm–Bonferroni-adjusted 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Holm</m:t>
            </m:r>
          </m:sub>
        </m:sSub>
      </m:oMath>
      <w:r>
        <w:t xml:space="preserve">, and significance is reported with respect to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Holm</m:t>
            </m:r>
          </m:sub>
        </m:sSub>
      </m:oMath>
      <w:r>
        <w:t xml:space="preserve"> </w:t>
      </w:r>
      <w:r>
        <w:t xml:space="preserve">(Table </w:t>
      </w:r>
      <w:hyperlink w:anchor="tab:mcnemar">
        <w:r>
          <w:rPr>
            <w:rStyle w:val="Hyperlink"/>
          </w:rPr>
          <w:t xml:space="preserve">4</w:t>
        </w:r>
      </w:hyperlink>
      <w:r>
        <w:t xml:space="preserve">). Three</w:t>
      </w:r>
      <w:r>
        <w:t xml:space="preserve"> </w:t>
      </w:r>
      <w:r>
        <w:t xml:space="preserve">patterns emerge. First, the Spiders reader is statistically</w:t>
      </w:r>
      <w:r>
        <w:t xml:space="preserve"> </w:t>
      </w:r>
      <w:r>
        <w:t xml:space="preserve">indistinguishable from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BiLSTM (</w:t>
      </w:r>
      <m:oMath>
        <m:r>
          <m:t>p</m:t>
        </m:r>
        <m:r>
          <m:rPr>
            <m:sty m:val="p"/>
          </m:rPr>
          <m:t>=</m:t>
        </m:r>
        <m:r>
          <m:t>0.60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Holm</m:t>
            </m:r>
          </m:sub>
        </m:sSub>
        <m:r>
          <m:rPr>
            <m:sty m:val="p"/>
          </m:rPr>
          <m:t>=</m:t>
        </m:r>
        <m:r>
          <m:t>1.00</m:t>
        </m:r>
      </m:oMath>
      <w:r>
        <w:t xml:space="preserve">) and LR + TF–IDF (raw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0.045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Holm</m:t>
            </m:r>
          </m:sub>
        </m:sSub>
        <m:r>
          <m:rPr>
            <m:sty m:val="p"/>
          </m:rPr>
          <m:t>=</m:t>
        </m:r>
        <m:r>
          <m:t>0.39</m:t>
        </m:r>
      </m:oMath>
      <w:r>
        <w:t xml:space="preserve">) after correction; the raw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0.045</m:t>
        </m:r>
      </m:oMath>
      <w:r>
        <w:t xml:space="preserve"> </w:t>
      </w:r>
      <w:r>
        <w:t xml:space="preserve">margin is therefore best read as an exploratory observation that</w:t>
      </w:r>
      <w:r>
        <w:t xml:space="preserve"> </w:t>
      </w:r>
      <w:r>
        <w:t xml:space="preserve">does not survive multiplicity control. Together with the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</m:oMath>
      <w:r>
        <w:t xml:space="preserve"> </w:t>
      </w:r>
      <w:r>
        <w:t xml:space="preserve">smaller parameter count this is the central</w:t>
      </w:r>
      <w:r>
        <w:t xml:space="preserve"> </w:t>
      </w:r>
      <w:r>
        <w:rPr>
          <w:i/>
          <w:iCs/>
        </w:rPr>
        <w:t xml:space="preserve">comparative</w:t>
      </w:r>
      <w:r>
        <w:t xml:space="preserve"> </w:t>
      </w:r>
      <w:r>
        <w:t xml:space="preserve">result of the paper (the central</w:t>
      </w:r>
      <w:r>
        <w:t xml:space="preserve"> </w:t>
      </w:r>
      <w:r>
        <w:rPr>
          <w:i/>
          <w:iCs/>
        </w:rPr>
        <w:t xml:space="preserve">contributions</w:t>
      </w:r>
      <w:r>
        <w:t xml:space="preserve"> </w:t>
      </w:r>
      <w:r>
        <w:t xml:space="preserve">are the two structural findings, (i)–(ii)</w:t>
      </w:r>
      <w:r>
        <w:t xml:space="preserve"> </w:t>
      </w:r>
      <w:r>
        <w:t xml:space="preserve">above, and the reproducible benchmark). Second, the best Cups + Sim14 configuration</w:t>
      </w:r>
      <w:r>
        <w:t xml:space="preserve"> </w:t>
      </w:r>
      <w:r>
        <w:t xml:space="preserve">(depth-3, the most expressive</w:t>
      </w:r>
      <w:r>
        <w:t xml:space="preserve"> </w:t>
      </w:r>
      <w:r>
        <w:t xml:space="preserve">“true quantum”</w:t>
      </w:r>
      <w:r>
        <w:t xml:space="preserve"> </w:t>
      </w:r>
      <w:r>
        <w:t xml:space="preserve">variant under study)</w:t>
      </w:r>
      <w:r>
        <w:t xml:space="preserve"> </w:t>
      </w:r>
      <w:r>
        <w:t xml:space="preserve">is likewise indistinguishable from BiLSTM (</w:t>
      </w:r>
      <m:oMath>
        <m:r>
          <m:t>p</m:t>
        </m:r>
        <m:r>
          <m:rPr>
            <m:sty m:val="p"/>
          </m:rPr>
          <m:t>=</m:t>
        </m:r>
        <m:r>
          <m:t>0.64</m:t>
        </m:r>
      </m:oMath>
      <w:r>
        <w:t xml:space="preserve">) and not</w:t>
      </w:r>
      <w:r>
        <w:t xml:space="preserve"> </w:t>
      </w:r>
      <w:r>
        <w:t xml:space="preserve">significantly worse than LR + TF–IDF (</w:t>
      </w:r>
      <m:oMath>
        <m:r>
          <m:t>p</m:t>
        </m:r>
        <m:r>
          <m:rPr>
            <m:sty m:val="p"/>
          </m:rPr>
          <m:t>=</m:t>
        </m:r>
        <m:r>
          <m:t>0.067</m:t>
        </m:r>
      </m:oMath>
      <w:r>
        <w:t xml:space="preserve">); it is also</w:t>
      </w:r>
      <w:r>
        <w:t xml:space="preserve"> </w:t>
      </w:r>
      <w:r>
        <w:t xml:space="preserve">indistinguishable from Spiders (</w:t>
      </w:r>
      <m:oMath>
        <m:r>
          <m:t>p</m:t>
        </m:r>
        <m:r>
          <m:rPr>
            <m:sty m:val="p"/>
          </m:rPr>
          <m:t>=</m:t>
        </m:r>
        <m:r>
          <m:t>0.86</m:t>
        </m:r>
      </m:oMath>
      <w:r>
        <w:t xml:space="preserve">). Third, LR + TF–IDF</w:t>
      </w:r>
      <w:r>
        <w:t xml:space="preserve"> </w:t>
      </w:r>
      <w:r>
        <w:t xml:space="preserve">significantly outperforms every Cups + IQP configuration 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Holm</m:t>
            </m:r>
          </m:sub>
        </m:sSub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but ties BiLSTM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0.20</m:t>
        </m:r>
      </m:oMath>
      <w:r>
        <w:t xml:space="preserve">); the depth-2 collapse of Cups + IQP is highly</w:t>
      </w:r>
      <w:r>
        <w:t xml:space="preserve"> </w:t>
      </w:r>
      <w:r>
        <w:t xml:space="preserve">significant against both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),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themselves are statistically</w:t>
      </w:r>
      <w:r>
        <w:t xml:space="preserve"> </w:t>
      </w:r>
      <w:r>
        <w:t xml:space="preserve">indistinguishable (</w:t>
      </w:r>
      <m:oMath>
        <m:r>
          <m:t>p</m:t>
        </m:r>
        <m:r>
          <m:rPr>
            <m:sty m:val="p"/>
          </m:rPr>
          <m:t>=</m:t>
        </m:r>
        <m:r>
          <m:t>0.79</m:t>
        </m:r>
      </m:oMath>
      <w:r>
        <w:t xml:space="preserve">).</w:t>
      </w:r>
    </w:p>
    <w:bookmarkStart w:id="59" w:name="tab:mcnemar"/>
    <w:p>
      <w:pPr>
        <w:pStyle w:val="TableCaption"/>
        <w:jc w:val="center"/>
      </w:pPr>
      <w:r>
        <w:rPr>
          <w:b/>
        </w:rPr>
        <w:t xml:space="preserve">Table 4. </w:t>
      </w:r>
      <w:r>
        <w:t xml:space="preserve">Paired McNemar tests on test-set predictions. Each cell pair</w:t>
      </w:r>
      <w:r>
        <w:t xml:space="preserve"> </w:t>
      </w:r>
      <w:r>
        <w:t xml:space="preserve">uses the seed-0 predictions of the listed configuration (and, for the</w:t>
      </w:r>
      <w:r>
        <w:t xml:space="preserve"> </w:t>
      </w:r>
      <w:r>
        <w:t xml:space="preserve">Spiders reader, the bit-identical Q-spiders-IQP-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representative,</w:t>
      </w:r>
      <w:r>
        <w:t xml:space="preserve"> </w:t>
      </w:r>
      <w:r>
        <w:t xml:space="preserve">since all six Spiders configurations yield identical predictions per</w:t>
      </w:r>
      <w:r>
        <w:t xml:space="preserve"> </w:t>
      </w:r>
      <w:r>
        <w:t xml:space="preserve">seed).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denote the discordant cells (model A wrong /</w:t>
      </w:r>
      <w:r>
        <w:t xml:space="preserve"> </w:t>
      </w:r>
      <w:r>
        <w:t xml:space="preserve">B right, and vice versa);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continuity-corrected test</w:t>
      </w:r>
      <w:r>
        <w:t xml:space="preserve"> </w:t>
      </w:r>
      <w:r>
        <w:t xml:space="preserve">statistic,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two-sided raw</w:t>
      </w:r>
      <w:r>
        <w:t xml:space="preserve"> </w:t>
      </w:r>
      <m:oMath>
        <m:r>
          <m:t>p</m:t>
        </m:r>
      </m:oMath>
      <w:r>
        <w:t xml:space="preserve">-value and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Holm</m:t>
            </m:r>
          </m:sub>
        </m:sSub>
      </m:oMath>
      <w:r>
        <w:t xml:space="preserve"> </w:t>
      </w:r>
      <w:r>
        <w:t xml:space="preserve">is the Holm–Bonferroni-adjusted</w:t>
      </w:r>
      <w:r>
        <w:t xml:space="preserve"> </w:t>
      </w:r>
      <m:oMath>
        <m:r>
          <m:t>p</m:t>
        </m:r>
      </m:oMath>
      <w:r>
        <w:t xml:space="preserve">-value across 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comparisons in the family. Significance is reported with respect to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Holm</m:t>
            </m:r>
          </m:sub>
        </m:sSub>
      </m:oMath>
      <w:r>
        <w:t xml:space="preserve">:</w:t>
      </w:r>
      <w:r>
        <w:t xml:space="preserve"> </w:t>
      </w:r>
      <m:oMath>
        <m:r>
          <m:rPr>
            <m:sty m:val="p"/>
          </m:rPr>
          <m:t>*</m:t>
        </m:r>
        <m:r>
          <m:t> 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Holm</m:t>
            </m:r>
          </m:sub>
        </m:sSub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*</m:t>
        </m:r>
        <m:r>
          <m:rPr>
            <m:sty m:val="p"/>
          </m:rPr>
          <m:t>*</m:t>
        </m:r>
        <m:r>
          <m:t> 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Holm</m:t>
            </m:r>
          </m:sub>
        </m:sSub>
        <m:r>
          <m:rPr>
            <m:sty m:val="p"/>
          </m:rPr>
          <m:t>&lt;</m:t>
        </m:r>
        <m:r>
          <m:t>0.01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 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Holm</m:t>
            </m:r>
          </m:sub>
        </m:sSub>
        <m:r>
          <m:rPr>
            <m:sty m:val="p"/>
          </m:rPr>
          <m:t>&lt;</m:t>
        </m:r>
        <m:r>
          <m:t>0.001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ired McNemar tests on test-set predictions. Each cell pair uses the seed-0 predictions of the listed configuration (and, for the Spiders reader, the bit-identical Q-spiders-IQP-L_1 representative, since all six Spiders configurations yield identical predictions per seed). b and c denote the discordant cells (model A wrong / B right, and vice versa); \chi^2 is the continuity-corrected test statistic, p is the two-sided raw p-value and p_{\text{Holm}} is the Holm–Bonferroni-adjusted p-value across the m = 16 comparisons in the family. Significance is reported with respect to p_{\text{Holm}}: *\ p_{\text{Holm}}&lt;0.05, **\ p_{\text{Holm}}&lt;0.01, ***\ p_{\text{Holm}}&lt;0.001."/>
        <w:jc w:val="center"/>
        <w:tblBorders>
          <w:top w:val="single" w:sz="14" w:space="0" w:color="000000"/>
          <w:bottom w:val="single" w:sz="14" w:space="0" w:color="000000"/>
          <w:left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Model A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Model B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right"/>
            </w:pPr>
            <m:oMath>
              <m:r>
                <m:t>b</m:t>
              </m:r>
            </m:oMath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right"/>
            </w:pPr>
            <m:oMath>
              <m:r>
                <m:t>c</m:t>
              </m:r>
            </m:oMath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right"/>
            </w:pP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Holm</m:t>
                  </m:r>
                </m:sub>
              </m:sSub>
            </m:oMath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Sig.</w:t>
            </w:r>
          </w:p>
        </w:tc>
      </w:tr>
      <w:tr>
        <w:tc>
          <w:tcPr>
            <w:gridSpan w:val="8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Classical baselines: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+ TF–IDF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8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Spiders reader (identical accuracy across all six ansatz–depth configurations):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Q-spiders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Q-spiders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 + TF–IDF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8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Best Cups + Sim14 configuration (entangling, depth-3) vs. baselines: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Q-cups-Sim14-</w:t>
            </w:r>
            <m:oMath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Q-cups-Sim14-</w:t>
            </w:r>
            <m:oMath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LR + TF–IDF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Q-cups-Sim14-</w:t>
            </w:r>
            <m:oMath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Q-spiders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8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Cups + IQP vs. baselines (depth-2 collapse):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+ TF–IDF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Q-cups-IQP-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+ TF–IDF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Q-cups-IQP-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110.94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+ TF–IDF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Q-cups-IQP-</w:t>
            </w:r>
            <m:oMath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+ GloVe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Q-cups-IQP-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Q-cups-IQP-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Q-cups-IQP-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101.67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Q-cups-IQP-</w:t>
            </w:r>
            <m:oMath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8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Within Cups + IQP: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73.39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76.71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</w:tbl>
    <w:bookmarkEnd w:id="59"/>
    <w:bookmarkEnd w:id="60"/>
    <w:bookmarkStart w:id="62" w:name="per-length-performance"/>
    <w:p>
      <w:pPr>
        <w:pStyle w:val="Heading2"/>
      </w:pPr>
      <w:r>
        <w:t xml:space="preserve">Per-Length Performance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Test phrases are not uniformly distributed in length: the 400 test</w:t>
      </w:r>
      <w:r>
        <w:t xml:space="preserve"> </w:t>
      </w:r>
      <w:r>
        <w:t xml:space="preserve">examples consist of 122 two-token phrases, 131 three-token phrases,</w:t>
      </w:r>
      <w:r>
        <w:t xml:space="preserve"> </w:t>
      </w:r>
      <w:r>
        <w:t xml:space="preserve">92 four-token phrases and 55 five-token phrases. Because phrase</w:t>
      </w:r>
      <w:r>
        <w:t xml:space="preserve"> </w:t>
      </w:r>
      <w:r>
        <w:t xml:space="preserve">length is a proxy for compositional difficulty, per-length accuracy</w:t>
      </w:r>
      <w:r>
        <w:t xml:space="preserve"> </w:t>
      </w:r>
      <w:r>
        <w:t xml:space="preserve">is informative for distinguishing models that rely on lexical content</w:t>
      </w:r>
      <w:r>
        <w:t xml:space="preserve"> </w:t>
      </w:r>
      <w:r>
        <w:t xml:space="preserve">from those that exploit structural information.</w:t>
      </w:r>
      <w:r>
        <w:t xml:space="preserve"> </w:t>
      </w:r>
      <w:r>
        <w:t xml:space="preserve">Table </w:t>
      </w:r>
      <w:hyperlink w:anchor="tab:perlength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reports the per-length test accuracy for a</w:t>
      </w:r>
      <w:r>
        <w:t xml:space="preserve"> </w:t>
      </w:r>
      <w:r>
        <w:t xml:space="preserve">representative set of models. Both the Spiders quantum model and</w:t>
      </w:r>
      <w:r>
        <w:t xml:space="preserve"> </w:t>
      </w:r>
      <w:r>
        <w:t xml:space="preserve">LR + TF–IDF maintain near-constant accuracy across the length range,</w:t>
      </w:r>
      <w:r>
        <w:t xml:space="preserve"> </w:t>
      </w:r>
      <w:r>
        <w:t xml:space="preserve">indicating that compositional effects on these short phrases are</w:t>
      </w:r>
      <w:r>
        <w:t xml:space="preserve"> </w:t>
      </w:r>
      <w:r>
        <w:t xml:space="preserve">dominated by lexical content. The Cups + IQP family exhibits its</w:t>
      </w:r>
      <w:r>
        <w:t xml:space="preserve"> </w:t>
      </w:r>
      <w:r>
        <w:t xml:space="preserve">largest accuracy degradation at lengths three and four, which</w:t>
      </w:r>
      <w:r>
        <w:t xml:space="preserve"> </w:t>
      </w:r>
      <w:r>
        <w:t xml:space="preserve">coincides with the depth-2 barren-plateau-like region; this pattern</w:t>
      </w:r>
      <w:r>
        <w:t xml:space="preserve"> </w:t>
      </w:r>
      <w:r>
        <w:t xml:space="preserve">suggests that training instability, rather than expressive</w:t>
      </w:r>
      <w:r>
        <w:t xml:space="preserve"> </w:t>
      </w:r>
      <w:r>
        <w:t xml:space="preserve">insufficiency, accounts for the observed performance gap.</w:t>
      </w:r>
    </w:p>
    <w:bookmarkStart w:id="61" w:name="tab:perlength"/>
    <w:p>
      <w:pPr>
        <w:pStyle w:val="TableCaption"/>
        <w:jc w:val="center"/>
      </w:pPr>
      <w:r>
        <w:rPr>
          <w:b/>
        </w:rPr>
        <w:t xml:space="preserve">Table 5. </w:t>
      </w:r>
      <w:r>
        <w:t xml:space="preserve">Test accuracy by phrase length (number of whitespace-separated</w:t>
      </w:r>
      <w:r>
        <w:t xml:space="preserve"> </w:t>
      </w:r>
      <w:r>
        <w:t xml:space="preserve">tokens). Counts of test phrases per length bucket are shown in</w:t>
      </w:r>
      <w:r>
        <w:t xml:space="preserve"> </w:t>
      </w:r>
      <w:r>
        <w:t xml:space="preserve">parentheses. Identical for all six Spiders configurations.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st accuracy by phrase length (number of whitespace-separated tokens). Counts of test phrases per length bucket are shown in parentheses. Identical for all six Spiders configurations."/>
        <w:jc w:val="center"/>
        <w:tblBorders>
          <w:top w:val="single" w:sz="14" w:space="0" w:color="000000"/>
          <w:bottom w:val="single" w:sz="14" w:space="0" w:color="000000"/>
          <w:left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(122)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(131)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(92)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 </w:t>
            </w:r>
            <w:r>
              <w:t xml:space="preserve">(55)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+ TF–IDF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+ GloVe-50d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BiLSTM-1L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Q-spiders (all six)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Q-cups-IQP-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0.926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Q-cups-IQP-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0.631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Q-cups-IQP-</w:t>
            </w:r>
            <m:oMath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0.918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Q-cups-Sim14-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0.926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Q-cups-Sim14-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0.926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Q-cups-Sim14-</w:t>
            </w:r>
            <m:oMath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0.943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0.818</w:t>
            </w:r>
          </w:p>
        </w:tc>
      </w:tr>
    </w:tbl>
    <w:bookmarkEnd w:id="61"/>
    <w:bookmarkEnd w:id="62"/>
    <w:bookmarkStart w:id="64" w:name="error-analysis"/>
    <w:p>
      <w:pPr>
        <w:pStyle w:val="Heading2"/>
      </w:pPr>
      <w:r>
        <w:t xml:space="preserve">Error Analysis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The high-accuracy models (LR + TF–IDF, BiLSTM and the Spiders</w:t>
      </w:r>
      <w:r>
        <w:t xml:space="preserve"> </w:t>
      </w:r>
      <w:r>
        <w:t xml:space="preserve">quantum configurations) exhibit approximately balanced false-positive</w:t>
      </w:r>
      <w:r>
        <w:t xml:space="preserve"> </w:t>
      </w:r>
      <w:r>
        <w:t xml:space="preserve">and false-negative rates, consistent with the residual error</w:t>
      </w:r>
      <w:r>
        <w:t xml:space="preserve"> </w:t>
      </w:r>
      <w:r>
        <w:t xml:space="preserve">reflecting genuine semantic difficulty rather than class-imbalance</w:t>
      </w:r>
      <w:r>
        <w:t xml:space="preserve"> </w:t>
      </w:r>
      <w:r>
        <w:t xml:space="preserve">artefacts. By contrast, the Q-cups-IQP-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configuration produces</w:t>
      </w:r>
      <w:r>
        <w:t xml:space="preserve"> </w:t>
      </w:r>
      <w:r>
        <w:t xml:space="preserve">a near-uniform confusion matrix, which is the expected pattern for a model</w:t>
      </w:r>
      <w:r>
        <w:t xml:space="preserve"> </w:t>
      </w:r>
      <w:r>
        <w:t xml:space="preserve">whose predictions are effectively random.</w:t>
      </w:r>
    </w:p>
    <w:p>
      <w:pPr>
        <w:pStyle w:val="BodyText"/>
        <w:spacing w:line="360" w:lineRule="auto" w:before="0" w:after="120"/>
        <w:ind w:firstLine="0"/>
        <w:jc w:val="both"/>
      </w:pPr>
      <w:r>
        <w:t xml:space="preserve">Phrases containing explicit negation tokens (</w:t>
      </w:r>
      <w:r>
        <w:rPr>
          <w:i/>
          <w:iCs/>
        </w:rPr>
        <w:t xml:space="preserve">not</w:t>
      </w:r>
      <w:r>
        <w:t xml:space="preserve">,</w:t>
      </w:r>
      <w:r>
        <w:t xml:space="preserve"> </w:t>
      </w:r>
      <w:r>
        <w:rPr>
          <w:i/>
          <w:iCs/>
        </w:rPr>
        <w:t xml:space="preserve">n’t</w:t>
      </w:r>
      <w:r>
        <w:t xml:space="preserve">,</w:t>
      </w:r>
      <w:r>
        <w:t xml:space="preserve"> </w:t>
      </w:r>
      <w:r>
        <w:rPr>
          <w:i/>
          <w:iCs/>
        </w:rPr>
        <w:t xml:space="preserve">no</w:t>
      </w:r>
      <w:r>
        <w:t xml:space="preserve">,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and related forms) are systematically harder</w:t>
      </w:r>
      <w:r>
        <w:t xml:space="preserve"> </w:t>
      </w:r>
      <w:r>
        <w:t xml:space="preserve">to classify across all models, but the magnitude of this effect</w:t>
      </w:r>
      <w:r>
        <w:t xml:space="preserve"> </w:t>
      </w:r>
      <w:r>
        <w:t xml:space="preserve">varies. LR + TF–IDF exhibits the smallest relative increase in error</w:t>
      </w:r>
      <w:r>
        <w:t xml:space="preserve"> </w:t>
      </w:r>
      <w:r>
        <w:t xml:space="preserve">on negation-bearing phrases, consistent with its bigram features</w:t>
      </w:r>
      <w:r>
        <w:t xml:space="preserve"> </w:t>
      </w:r>
      <w:r>
        <w:t xml:space="preserve">explicitly encoding</w:t>
      </w:r>
      <w:r>
        <w:t xml:space="preserve"> </w:t>
      </w:r>
      <w:r>
        <w:rPr>
          <w:i/>
          <w:iCs/>
        </w:rPr>
        <w:t xml:space="preserve">not</w:t>
      </w:r>
      <w:r>
        <w:t xml:space="preserve">-</w:t>
      </w:r>
      <w:r>
        <w:rPr>
          <w:smallCaps/>
        </w:rPr>
        <w:t xml:space="preserve">word</w:t>
      </w:r>
      <w:r>
        <w:t xml:space="preserve"> </w:t>
      </w:r>
      <w:r>
        <w:t xml:space="preserve">combinations. The quantum</w:t>
      </w:r>
      <w:r>
        <w:t xml:space="preserve"> </w:t>
      </w:r>
      <w:r>
        <w:t xml:space="preserve">models occupy an intermediate position, indicating that DisCoCat</w:t>
      </w:r>
      <w:r>
        <w:t xml:space="preserve"> </w:t>
      </w:r>
      <w:r>
        <w:t xml:space="preserve">composition captures the grammatical context of negation partially</w:t>
      </w:r>
      <w:r>
        <w:t xml:space="preserve"> </w:t>
      </w:r>
      <w:r>
        <w:t xml:space="preserve">but not exhaustively in the absence of a CCG-grammatical reader.</w:t>
      </w:r>
    </w:p>
    <w:p>
      <w:pPr>
        <w:pStyle w:val="BodyText"/>
        <w:spacing w:line="360" w:lineRule="auto" w:before="0" w:after="120"/>
        <w:ind w:firstLine="0"/>
        <w:jc w:val="both"/>
      </w:pPr>
      <w:r>
        <w:t xml:space="preserve">Six representative test phrases illustrate the qualitative behaviour</w:t>
      </w:r>
      <w:r>
        <w:t xml:space="preserve"> </w:t>
      </w:r>
      <w:r>
        <w:t xml:space="preserve">of the models (Table </w:t>
      </w:r>
      <w:hyperlink w:anchor="tab:samples">
        <w:r>
          <w:rPr>
            <w:rStyle w:val="Hyperlink"/>
          </w:rPr>
          <w:t xml:space="preserve">6</w:t>
        </w:r>
      </w:hyperlink>
      <w:r>
        <w:t xml:space="preserve">). The three negation-bearing</w:t>
      </w:r>
      <w:r>
        <w:t xml:space="preserve"> </w:t>
      </w:r>
      <w:r>
        <w:t xml:space="preserve">negative examples are correctly classified by all models with high</w:t>
      </w:r>
      <w:r>
        <w:t xml:space="preserve"> </w:t>
      </w:r>
      <w:r>
        <w:t xml:space="preserve">confidence. The Cups quantum variants invert the phrase</w:t>
      </w:r>
      <w:r>
        <w:t xml:space="preserve"> </w:t>
      </w:r>
      <w:r>
        <w:rPr>
          <w:i/>
          <w:iCs/>
        </w:rPr>
        <w:t xml:space="preserve">authentic and dark</w:t>
      </w:r>
      <w:r>
        <w:t xml:space="preserve"> </w:t>
      </w:r>
      <w:r>
        <w:t xml:space="preserve">from positive to negative, an error not</w:t>
      </w:r>
      <w:r>
        <w:t xml:space="preserve"> </w:t>
      </w:r>
      <w:r>
        <w:t xml:space="preserve">made by the classical baselines or by the Spiders quantum model. The</w:t>
      </w:r>
      <w:r>
        <w:t xml:space="preserve"> </w:t>
      </w:r>
      <w:r>
        <w:t xml:space="preserve">word</w:t>
      </w:r>
      <w:r>
        <w:t xml:space="preserve"> </w:t>
      </w:r>
      <w:r>
        <w:rPr>
          <w:i/>
          <w:iCs/>
        </w:rPr>
        <w:t xml:space="preserve">dark</w:t>
      </w:r>
      <w:r>
        <w:t xml:space="preserve"> </w:t>
      </w:r>
      <w:r>
        <w:t xml:space="preserve">likely dominates the Cups composition, which</w:t>
      </w:r>
      <w:r>
        <w:t xml:space="preserve"> </w:t>
      </w:r>
      <w:r>
        <w:t xml:space="preserve">respects token order more strongly than the Spiders composition;</w:t>
      </w:r>
      <w:r>
        <w:t xml:space="preserve"> </w:t>
      </w:r>
      <w:r>
        <w:t xml:space="preserve">this is an example of a case in which the simpler reader is</w:t>
      </w:r>
      <w:r>
        <w:t xml:space="preserve"> </w:t>
      </w:r>
      <w:r>
        <w:t xml:space="preserve">empirically more robust.</w:t>
      </w:r>
    </w:p>
    <w:bookmarkStart w:id="63" w:name="tab:samples"/>
    <w:p>
      <w:pPr>
        <w:pStyle w:val="TableCaption"/>
        <w:jc w:val="center"/>
      </w:pPr>
      <w:r>
        <w:rPr>
          <w:b/>
        </w:rPr>
        <w:t xml:space="preserve">Table 6. </w:t>
      </w:r>
      <w:r>
        <w:t xml:space="preserve">Predictions of five representative models on six hand-selected</w:t>
      </w:r>
      <w:r>
        <w:t xml:space="preserve"> </w:t>
      </w:r>
      <w:r>
        <w:t xml:space="preserve">test phrases. Each cell reports the predicted label and the probability</w:t>
      </w:r>
      <w:r>
        <w:t xml:space="preserve"> </w:t>
      </w:r>
      <w:r>
        <w:t xml:space="preserve">of the positive class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. Incorrect predictions are</w:t>
      </w:r>
      <w:r>
        <w:t xml:space="preserve"> </w:t>
      </w:r>
      <w:r>
        <w:t xml:space="preserve">marked with</w:t>
      </w:r>
      <w:r>
        <w:t xml:space="preserve"> </w:t>
      </w:r>
      <m:oMath>
        <m:r>
          <m:rPr>
            <m:sty m:val="p"/>
          </m:rPr>
          <m:t>†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edictions of five representative models on six hand-selected test phrases. Each cell reports the predicted label and the probability of the positive class P_{\text{pos}}. Incorrect predictions are marked with \dagger."/>
        <w:jc w:val="center"/>
        <w:tblBorders>
          <w:top w:val="single" w:sz="14" w:space="0" w:color="000000"/>
          <w:bottom w:val="single" w:sz="14" w:space="0" w:color="000000"/>
          <w:left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Phrase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t xml:space="preserve">True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t xml:space="preserve">TF–IDF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t xml:space="preserve">BiLSTM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t xml:space="preserve">Q-S-IQP-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t xml:space="preserve">Q-C-IQP-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t xml:space="preserve">Q-C-S14-</w:t>
            </w:r>
            <m:oMath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absolutely no sense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neg (0.01)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neg (0.00)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neg (0.00)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neg (0.11)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neg (0.01)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it’s no classic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neg (0.09)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neg (0.08)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neg (0.07)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neg (0.19)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neg (0.05)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 this pretentious mess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neg (0.04)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neg (0.00)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neg (0.00)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neg (0.00)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neg (0.00)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authentic and dark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 (0.84)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 (0.72)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 (0.86)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neg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(0.12)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neg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(0.17)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entertaining his children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 (0.94)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 (1.00)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 (0.97)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 (0.91)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 (0.95)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beauty, grace 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 (0.98)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 (1.00)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 (1.00)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 (0.98)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 (0.99)</w:t>
            </w:r>
          </w:p>
        </w:tc>
      </w:tr>
    </w:tbl>
    <w:bookmarkEnd w:id="63"/>
    <w:bookmarkEnd w:id="64"/>
    <w:bookmarkEnd w:id="65"/>
    <w:bookmarkStart w:id="72" w:name="sec:discussion"/>
    <w:p>
      <w:pPr>
        <w:pStyle w:val="Heading1"/>
      </w:pPr>
      <w:r>
        <w:t xml:space="preserve">Discussion</w:t>
      </w:r>
    </w:p>
    <w:bookmarkStart w:id="66" w:name="comparison-with-prior-qnlp-work"/>
    <w:p>
      <w:pPr>
        <w:pStyle w:val="Heading2"/>
      </w:pPr>
      <w:r>
        <w:t xml:space="preserve">Comparison with Prior QNLP Work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Lorenz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(2023)</w:t>
      </w:r>
      <w:r>
        <w:t xml:space="preserve"> </w:t>
      </w:r>
      <w:r>
        <w:t xml:space="preserve">report accuracies in the region of</w:t>
      </w:r>
      <w:r>
        <w:t xml:space="preserve"> </w:t>
      </w:r>
      <m:oMath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t xml:space="preserve">on a</w:t>
      </w:r>
      <w:r>
        <w:t xml:space="preserve"> </w:t>
      </w:r>
      <w:r>
        <w:t xml:space="preserve">custom meal-prep/IT dataset of approximately 130 training phrases.</w:t>
      </w:r>
      <w:r>
        <w:t xml:space="preserve"> </w:t>
      </w:r>
      <w:r>
        <w:t xml:space="preserve">Our work extends that line in four directions: an</w:t>
      </w:r>
      <w:r>
        <w:t xml:space="preserve"> </w:t>
      </w:r>
      <w:r>
        <w:t xml:space="preserve">order-of-magnitude larger training set (5</w:t>
      </w:r>
      <w:r>
        <w:t xml:space="preserve">,</w:t>
      </w:r>
      <w:r>
        <w:t xml:space="preserve">000 phrases); a public</w:t>
      </w:r>
      <w:r>
        <w:t xml:space="preserve"> </w:t>
      </w:r>
      <w:r>
        <w:t xml:space="preserve">standard benchmark (the short-phrase subset of SST-2); a controlled</w:t>
      </w:r>
      <w:r>
        <w:t xml:space="preserve"> </w:t>
      </w:r>
      <w:r>
        <w:t xml:space="preserve">multi-seed protocol with statistical significance testing; and</w:t>
      </w:r>
      <w:r>
        <w:t xml:space="preserve"> </w:t>
      </w:r>
      <w:r>
        <w:t xml:space="preserve">explicit classical baselines on the same data split. Within these</w:t>
      </w:r>
      <w:r>
        <w:t xml:space="preserve"> </w:t>
      </w:r>
      <w:r>
        <w:t xml:space="preserve">extended conditions, variational quantum DisCoCat continues to</w:t>
      </w:r>
      <w:r>
        <w:t xml:space="preserve"> </w:t>
      </w:r>
      <w:r>
        <w:t xml:space="preserve">deliver accuracy comparable with neural classical baselines at</w:t>
      </w:r>
      <w:r>
        <w:t xml:space="preserve"> </w:t>
      </w:r>
      <w:r>
        <w:t xml:space="preserve">substantially lower parameter cost (relative to the dense BiLSTM</w:t>
      </w:r>
      <w:r>
        <w:t xml:space="preserve"> </w:t>
      </w:r>
      <w:r>
        <w:t xml:space="preserve">baseline; see Section </w:t>
      </w:r>
      <w:hyperlink w:anchor="sec:discussion">
        <w:r>
          <w:rPr>
            <w:rStyle w:val="Hyperlink"/>
          </w:rPr>
          <w:t xml:space="preserve">5</w:t>
        </w:r>
      </w:hyperlink>
      <w:r>
        <w:t xml:space="preserve">). The framing aligns with</w:t>
      </w:r>
      <w:r>
        <w:t xml:space="preserve"> </w:t>
      </w:r>
      <w:r>
        <w:t xml:space="preserve">Schuld and Killoran (2022)</w:t>
      </w:r>
      <w:r>
        <w:t xml:space="preserve">, who argue that practical attributes such</w:t>
      </w:r>
      <w:r>
        <w:t xml:space="preserve"> </w:t>
      </w:r>
      <w:r>
        <w:t xml:space="preserve">as parameter efficiency and trainability are the right near-term</w:t>
      </w:r>
      <w:r>
        <w:t xml:space="preserve"> </w:t>
      </w:r>
      <w:r>
        <w:t xml:space="preserve">targets for quantum machine learning research, rather than a putative</w:t>
      </w:r>
      <w:r>
        <w:t xml:space="preserve"> </w:t>
      </w:r>
      <w:r>
        <w:t xml:space="preserve">computational advantage.</w:t>
      </w:r>
    </w:p>
    <w:bookmarkEnd w:id="66"/>
    <w:bookmarkStart w:id="67" w:name="X48110386390f500550f6e22becf010970d761b9"/>
    <w:p>
      <w:pPr>
        <w:pStyle w:val="Heading2"/>
      </w:pPr>
      <w:r>
        <w:t xml:space="preserve">An Honest Tension: Compositionality vs. Bag-of-Words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The theoretical motivation for DisCoCat (Section </w:t>
      </w:r>
      <w:hyperlink w:anchor="sec:method">
        <w:r>
          <w:rPr>
            <w:rStyle w:val="Hyperlink"/>
          </w:rPr>
          <w:t xml:space="preserve">3</w:t>
        </w:r>
      </w:hyperlink>
      <w:r>
        <w:t xml:space="preserve">) is</w:t>
      </w:r>
      <w:r>
        <w:t xml:space="preserve"> </w:t>
      </w:r>
      <w:r>
        <w:t xml:space="preserve">that pregroup grammar provides a syntax-aware way to compose word</w:t>
      </w:r>
      <w:r>
        <w:t xml:space="preserve"> </w:t>
      </w:r>
      <w:r>
        <w:t xml:space="preserve">representations into a phrase representation, in contrast to</w:t>
      </w:r>
      <w:r>
        <w:t xml:space="preserve"> </w:t>
      </w:r>
      <w:r>
        <w:t xml:space="preserve">bag-of-words models that ignore word order. The empirical pattern</w:t>
      </w:r>
      <w:r>
        <w:t xml:space="preserve"> </w:t>
      </w:r>
      <w:r>
        <w:t xml:space="preserve">observed here, however, runs in the opposite direction: the Spiders</w:t>
      </w:r>
      <w:r>
        <w:t xml:space="preserve"> </w:t>
      </w:r>
      <w:r>
        <w:t xml:space="preserve">reader, which is permutation-invariant and therefore a quantum</w:t>
      </w:r>
      <w:r>
        <w:t xml:space="preserve"> </w:t>
      </w:r>
      <w:r>
        <w:t xml:space="preserve">bag-of-words by construction, attains the highest accuracy among</w:t>
      </w:r>
      <w:r>
        <w:t xml:space="preserve"> </w:t>
      </w:r>
      <w:r>
        <w:t xml:space="preserve">quantum configurations on this subset and is statistically</w:t>
      </w:r>
      <w:r>
        <w:t xml:space="preserve"> </w:t>
      </w:r>
      <w:r>
        <w:t xml:space="preserve">indistinguishable from BiLSTM, while the order-respecting Cups</w:t>
      </w:r>
      <w:r>
        <w:t xml:space="preserve"> </w:t>
      </w:r>
      <w:r>
        <w:t xml:space="preserve">reader with the most expressive ansatz (Sim14, depth 3) matches but</w:t>
      </w:r>
      <w:r>
        <w:t xml:space="preserve"> </w:t>
      </w:r>
      <w:r>
        <w:t xml:space="preserve">does not exceed it. Two readings are possible. The optimistic</w:t>
      </w:r>
      <w:r>
        <w:t xml:space="preserve"> </w:t>
      </w:r>
      <w:r>
        <w:t xml:space="preserve">reading is that the compositional structure encoded by Cups is real</w:t>
      </w:r>
      <w:r>
        <w:t xml:space="preserve"> </w:t>
      </w:r>
      <w:r>
        <w:t xml:space="preserve">but not informative for the short-phrase sentiment task as</w:t>
      </w:r>
      <w:r>
        <w:t xml:space="preserve"> </w:t>
      </w:r>
      <w:r>
        <w:t xml:space="preserve">formulated here: on phrases of two to five tokens the sentiment</w:t>
      </w:r>
      <w:r>
        <w:t xml:space="preserve"> </w:t>
      </w:r>
      <w:r>
        <w:t xml:space="preserve">signal is dominated by lexical content (a few highly polar words)</w:t>
      </w:r>
      <w:r>
        <w:t xml:space="preserve"> </w:t>
      </w:r>
      <w:r>
        <w:t xml:space="preserve">rather than by combinatorial structure, so a representation that</w:t>
      </w:r>
      <w:r>
        <w:t xml:space="preserve"> </w:t>
      </w:r>
      <w:r>
        <w:t xml:space="preserve">faithfully encodes order has nothing extra to exploit. The</w:t>
      </w:r>
      <w:r>
        <w:t xml:space="preserve"> </w:t>
      </w:r>
      <w:r>
        <w:t xml:space="preserve">pessimistic reading is that the present subset cannot adjudicate</w:t>
      </w:r>
      <w:r>
        <w:t xml:space="preserve"> </w:t>
      </w:r>
      <w:r>
        <w:t xml:space="preserve">between compositional and bag-of-words quantum representations at</w:t>
      </w:r>
      <w:r>
        <w:t xml:space="preserve"> </w:t>
      </w:r>
      <w:r>
        <w:t xml:space="preserve">all, because the task is too lexical. Both readings imply the same</w:t>
      </w:r>
      <w:r>
        <w:t xml:space="preserve"> </w:t>
      </w:r>
      <w:r>
        <w:t xml:space="preserve">follow-up: the compositional advantage of DisCoCat, if it exists,</w:t>
      </w:r>
      <w:r>
        <w:t xml:space="preserve"> </w:t>
      </w:r>
      <w:r>
        <w:t xml:space="preserve">should be sought on longer sentences and on linguistic phenomena</w:t>
      </w:r>
      <w:r>
        <w:t xml:space="preserve"> </w:t>
      </w:r>
      <w:r>
        <w:t xml:space="preserve">where word order is load-bearing (for example, negation scope, or</w:t>
      </w:r>
      <w:r>
        <w:t xml:space="preserve"> </w:t>
      </w:r>
      <w:r>
        <w:t xml:space="preserve">modifier attachment), neither of which can be cleanly tested on the</w:t>
      </w:r>
      <w:r>
        <w:t xml:space="preserve"> </w:t>
      </w:r>
      <w:r>
        <w:t xml:space="preserve">two-to-five-token subset evaluated here.</w:t>
      </w:r>
    </w:p>
    <w:bookmarkEnd w:id="67"/>
    <w:bookmarkStart w:id="68" w:name="Xccf8c1a3480e71712348b25093ae5d503b20af6"/>
    <w:p>
      <w:pPr>
        <w:pStyle w:val="Heading2"/>
      </w:pPr>
      <w:r>
        <w:t xml:space="preserve">Methodological Implications for Future QNLP Studies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The implications discussed in this subsection are restricted to the</w:t>
      </w:r>
      <w:r>
        <w:t xml:space="preserve"> </w:t>
      </w:r>
      <w:r>
        <w:t xml:space="preserve">experimental setting actually examined in this paper, namely binary</w:t>
      </w:r>
      <w:r>
        <w:t xml:space="preserve"> </w:t>
      </w:r>
      <w:r>
        <w:t xml:space="preserve">sentiment classification on a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/</m:t>
        </m:r>
        <m:r>
          <m:t>400</m:t>
        </m:r>
        <m:r>
          <m:rPr>
            <m:sty m:val="p"/>
          </m:rPr>
          <m:t>/</m:t>
        </m:r>
        <m:r>
          <m:t>400</m:t>
        </m:r>
      </m:oMath>
      <w:r>
        <w:t xml:space="preserve"> </w:t>
      </w:r>
      <w:r>
        <w:t xml:space="preserve">short-phrase</w:t>
      </w:r>
      <w:r>
        <w:t xml:space="preserve"> </w:t>
      </w:r>
      <w:r>
        <w:t xml:space="preserve">subset of SST-2 trained on a noiseless CPU simulator. We do not</w:t>
      </w:r>
      <w:r>
        <w:t xml:space="preserve"> </w:t>
      </w:r>
      <w:r>
        <w:t xml:space="preserve">make claims about finance, banking, NISQ hardware, edge deployment</w:t>
      </w:r>
      <w:r>
        <w:t xml:space="preserve"> </w:t>
      </w:r>
      <w:r>
        <w:t xml:space="preserve">or non-English languages, none of which were tested. Within these</w:t>
      </w:r>
      <w:r>
        <w:t xml:space="preserve"> </w:t>
      </w:r>
      <w:r>
        <w:t xml:space="preserve">limits, four methodological points follow.</w:t>
      </w:r>
    </w:p>
    <w:p>
      <w:pPr>
        <w:pStyle w:val="BodyText"/>
        <w:spacing w:line="360" w:lineRule="auto" w:before="0" w:after="120"/>
        <w:ind w:firstLine="0"/>
        <w:jc w:val="both"/>
      </w:pPr>
      <w:r>
        <w:t xml:space="preserve">First, the choice of</w:t>
      </w:r>
      <w:r>
        <w:t xml:space="preserve"> </w:t>
      </w:r>
      <w:r>
        <w:rPr>
          <w:i/>
          <w:iCs/>
        </w:rPr>
        <w:t xml:space="preserve">reader</w:t>
      </w:r>
      <w:r>
        <w:t xml:space="preserve"> </w:t>
      </w:r>
      <w:r>
        <w:t xml:space="preserve">matters more than the choice of</w:t>
      </w:r>
      <w:r>
        <w:t xml:space="preserve"> </w:t>
      </w:r>
      <w:r>
        <w:t xml:space="preserve">ansatz family or circuit depth, at least under single-qubit atomic</w:t>
      </w:r>
      <w:r>
        <w:t xml:space="preserve"> </w:t>
      </w:r>
      <w:r>
        <w:t xml:space="preserve">types. Future QNLP studies should prioritise the identification of</w:t>
      </w:r>
      <w:r>
        <w:t xml:space="preserve"> </w:t>
      </w:r>
      <w:r>
        <w:t xml:space="preserve">a reader that genuinely produces multi-qubit boxes before investing</w:t>
      </w:r>
      <w:r>
        <w:t xml:space="preserve"> </w:t>
      </w:r>
      <w:r>
        <w:t xml:space="preserve">in ansatz hyperparameter tuning. The Spiders reader, while simple</w:t>
      </w:r>
      <w:r>
        <w:t xml:space="preserve"> </w:t>
      </w:r>
      <w:r>
        <w:t xml:space="preserve">and computationally inexpensive, is representationally degenerate in</w:t>
      </w:r>
      <w:r>
        <w:t xml:space="preserve"> </w:t>
      </w:r>
      <w:r>
        <w:t xml:space="preserve">this configuration and therefore unsuitable for studies that depend</w:t>
      </w:r>
      <w:r>
        <w:t xml:space="preserve"> </w:t>
      </w:r>
      <w:r>
        <w:t xml:space="preserve">on ablation across ansatz topology.</w:t>
      </w:r>
    </w:p>
    <w:p>
      <w:pPr>
        <w:pStyle w:val="BodyText"/>
        <w:spacing w:line="360" w:lineRule="auto" w:before="0" w:after="120"/>
        <w:ind w:firstLine="0"/>
        <w:jc w:val="both"/>
      </w:pPr>
      <w:r>
        <w:t xml:space="preserve">Second, the depth-two barren-plateau-like collapse observed for the</w:t>
      </w:r>
      <w:r>
        <w:t xml:space="preserve"> </w:t>
      </w:r>
      <w:r>
        <w:t xml:space="preserve">Cups + IQP combination is a cautionary observation. The standard</w:t>
      </w:r>
      <w:r>
        <w:t xml:space="preserve"> </w:t>
      </w:r>
      <w:r>
        <w:t xml:space="preserve">mitigation strategies investigated in this work (a</w:t>
      </w:r>
      <w:r>
        <w:t xml:space="preserve"> </w:t>
      </w:r>
      <w:r>
        <w:rPr>
          <w:rStyle w:val="VerbatimChar"/>
        </w:rPr>
        <w:t xml:space="preserve">ReduceLROnPlateau</w:t>
      </w:r>
      <w:r>
        <w:t xml:space="preserve"> </w:t>
      </w:r>
      <w:r>
        <w:t xml:space="preserve">learning-rate scheduler and unit-norm</w:t>
      </w:r>
      <w:r>
        <w:t xml:space="preserve"> </w:t>
      </w:r>
      <w:r>
        <w:t xml:space="preserve">gradient clipping) were insufficient to escape the plateau. Future</w:t>
      </w:r>
      <w:r>
        <w:t xml:space="preserve"> </w:t>
      </w:r>
      <w:r>
        <w:t xml:space="preserve">QNLP studies should expect that training pathologies can survive</w:t>
      </w:r>
      <w:r>
        <w:t xml:space="preserve"> </w:t>
      </w:r>
      <w:r>
        <w:t xml:space="preserve">textbook remedies, and should include diagnostic instrumentation</w:t>
      </w:r>
      <w:r>
        <w:t xml:space="preserve"> </w:t>
      </w:r>
      <w:r>
        <w:t xml:space="preserve">(per-seed variance plots, learning-rate trajectories, gradient-norm</w:t>
      </w:r>
      <w:r>
        <w:t xml:space="preserve"> </w:t>
      </w:r>
      <w:r>
        <w:t xml:space="preserve">histories) as a standard part of the training pipeline rather than</w:t>
      </w:r>
      <w:r>
        <w:t xml:space="preserve"> </w:t>
      </w:r>
      <w:r>
        <w:t xml:space="preserve">relying on a single training run.</w:t>
      </w:r>
    </w:p>
    <w:p>
      <w:pPr>
        <w:pStyle w:val="BodyText"/>
        <w:spacing w:line="360" w:lineRule="auto" w:before="0" w:after="120"/>
        <w:ind w:firstLine="0"/>
        <w:jc w:val="both"/>
      </w:pPr>
      <w:r>
        <w:t xml:space="preserve">Third, the requirement that the test vocabulary is a subset of the</w:t>
      </w:r>
      <w:r>
        <w:t xml:space="preserve"> </w:t>
      </w:r>
      <w:r>
        <w:t xml:space="preserve">training vocabulary is a feature of QNLP that has no direct</w:t>
      </w:r>
      <w:r>
        <w:t xml:space="preserve"> </w:t>
      </w:r>
      <w:r>
        <w:t xml:space="preserve">classical analogue. Classical models such as BiLSTM or LR with</w:t>
      </w:r>
      <w:r>
        <w:t xml:space="preserve"> </w:t>
      </w:r>
      <w:r>
        <w:t xml:space="preserve">TF–IDF gracefully handle out-of-vocabulary tokens by falling back</w:t>
      </w:r>
      <w:r>
        <w:t xml:space="preserve"> </w:t>
      </w:r>
      <w:r>
        <w:t xml:space="preserve">to a random embedding or a zero feature; the QNLP model has no such</w:t>
      </w:r>
      <w:r>
        <w:t xml:space="preserve"> </w:t>
      </w:r>
      <w:r>
        <w:t xml:space="preserve">fallback, because each token is associated with a distinct trainable</w:t>
      </w:r>
      <w:r>
        <w:t xml:space="preserve"> </w:t>
      </w:r>
      <w:r>
        <w:t xml:space="preserve">parameter in a fixed symbol table. Future QNLP work must therefore</w:t>
      </w:r>
      <w:r>
        <w:t xml:space="preserve"> </w:t>
      </w:r>
      <w:r>
        <w:t xml:space="preserve">include vocabulary-coverage checks as an explicit part of the data</w:t>
      </w:r>
      <w:r>
        <w:t xml:space="preserve"> </w:t>
      </w:r>
      <w:r>
        <w:t xml:space="preserve">preparation pipeline. The two-stage sampling protocol introduced in</w:t>
      </w:r>
      <w:r>
        <w:t xml:space="preserve"> </w:t>
      </w:r>
      <w:r>
        <w:t xml:space="preserve">Section </w:t>
      </w:r>
      <w:hyperlink w:anchor="sec:data">
        <w:r>
          <w:rPr>
            <w:rStyle w:val="Hyperlink"/>
          </w:rPr>
          <w:t xml:space="preserve">3.1</w:t>
        </w:r>
      </w:hyperlink>
      <w:r>
        <w:t xml:space="preserve"> </w:t>
      </w:r>
      <w:r>
        <w:t xml:space="preserve">provides one workable solution; alternative</w:t>
      </w:r>
      <w:r>
        <w:t xml:space="preserve"> </w:t>
      </w:r>
      <w:r>
        <w:t xml:space="preserve">approaches such as subword tokenisation are open directions.</w:t>
      </w:r>
    </w:p>
    <w:p>
      <w:pPr>
        <w:pStyle w:val="BodyText"/>
        <w:spacing w:line="360" w:lineRule="auto" w:before="0" w:after="120"/>
        <w:ind w:firstLine="0"/>
        <w:jc w:val="both"/>
      </w:pPr>
      <w:r>
        <w:t xml:space="preserve">Fourth, the parameter-efficiency advantage observed against BiLSTM</w:t>
      </w:r>
      <w:r>
        <w:t xml:space="preserve"> </w:t>
      </w:r>
      <w:r>
        <w:t xml:space="preserve">in this controlled subset is not by itself evidence of practical</w:t>
      </w:r>
      <w:r>
        <w:t xml:space="preserve"> </w:t>
      </w:r>
      <w:r>
        <w:t xml:space="preserve">deployability. Whether the advantage transfers to longer sentences,</w:t>
      </w:r>
      <w:r>
        <w:t xml:space="preserve"> </w:t>
      </w:r>
      <w:r>
        <w:t xml:space="preserve">larger vocabularies, noisy NISQ hardware or non-English languages</w:t>
      </w:r>
      <w:r>
        <w:t xml:space="preserve"> </w:t>
      </w:r>
      <w:r>
        <w:t xml:space="preserve">is an open empirical question that would require additional studies</w:t>
      </w:r>
      <w:r>
        <w:t xml:space="preserve"> </w:t>
      </w:r>
      <w:r>
        <w:t xml:space="preserve">on those targets specifically; the present paper does not address</w:t>
      </w:r>
      <w:r>
        <w:t xml:space="preserve"> </w:t>
      </w:r>
      <w:r>
        <w:t xml:space="preserve">any of these conditions.</w:t>
      </w:r>
    </w:p>
    <w:bookmarkEnd w:id="68"/>
    <w:bookmarkStart w:id="69" w:name="open-directions-for-future-work"/>
    <w:p>
      <w:pPr>
        <w:pStyle w:val="Heading2"/>
      </w:pPr>
      <w:r>
        <w:t xml:space="preserve">Open Directions for Future Work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The pregroup-grammatical backbone of DisCoCat is, in principle,</w:t>
      </w:r>
      <w:r>
        <w:t xml:space="preserve"> </w:t>
      </w:r>
      <w:r>
        <w:t xml:space="preserve">language-agnostic, so adapting the same pipeline to non-English</w:t>
      </w:r>
      <w:r>
        <w:t xml:space="preserve"> </w:t>
      </w:r>
      <w:r>
        <w:t xml:space="preserve">short-phrase sentiment benchmarks (for example, a Vietnamese</w:t>
      </w:r>
      <w:r>
        <w:t xml:space="preserve"> </w:t>
      </w:r>
      <w:r>
        <w:t xml:space="preserve">short-phrase benchmark, which to the best of our knowledge does not</w:t>
      </w:r>
      <w:r>
        <w:t xml:space="preserve"> </w:t>
      </w:r>
      <w:r>
        <w:t xml:space="preserve">yet exist as a public resource) is a natural follow-up. Equally</w:t>
      </w:r>
      <w:r>
        <w:t xml:space="preserve"> </w:t>
      </w:r>
      <w:r>
        <w:t xml:space="preserve">natural are: (i) extending the pipeline beyond five-token phrases</w:t>
      </w:r>
      <w:r>
        <w:t xml:space="preserve"> </w:t>
      </w:r>
      <w:r>
        <w:t xml:space="preserve">to full sentences, where the BobcatParser CCG reader would</w:t>
      </w:r>
      <w:r>
        <w:t xml:space="preserve"> </w:t>
      </w:r>
      <w:r>
        <w:t xml:space="preserve">contribute grammatical information not exploited here; (ii)</w:t>
      </w:r>
      <w:r>
        <w:t xml:space="preserve"> </w:t>
      </w:r>
      <w:r>
        <w:t xml:space="preserve">evaluating on noisy NISQ hardware to test whether the simulator-only</w:t>
      </w:r>
      <w:r>
        <w:t xml:space="preserve"> </w:t>
      </w:r>
      <w:r>
        <w:t xml:space="preserve">results transfer; and (iii) replicating the experimental grid on</w:t>
      </w:r>
      <w:r>
        <w:t xml:space="preserve"> </w:t>
      </w:r>
      <w:r>
        <w:t xml:space="preserve">domain-specific short-text corpora (for example, financial or</w:t>
      </w:r>
      <w:r>
        <w:t xml:space="preserve"> </w:t>
      </w:r>
      <w:r>
        <w:t xml:space="preserve">biomedical microblog data) to test whether the conclusions</w:t>
      </w:r>
      <w:r>
        <w:t xml:space="preserve"> </w:t>
      </w:r>
      <w:r>
        <w:t xml:space="preserve">generalise beyond movie-review sentiment. None of these directions</w:t>
      </w:r>
      <w:r>
        <w:t xml:space="preserve"> </w:t>
      </w:r>
      <w:r>
        <w:t xml:space="preserve">are claims of this paper; they are open questions left for</w:t>
      </w:r>
      <w:r>
        <w:t xml:space="preserve"> </w:t>
      </w:r>
      <w:r>
        <w:t xml:space="preserve">subsequent work.</w:t>
      </w:r>
    </w:p>
    <w:bookmarkEnd w:id="69"/>
    <w:bookmarkStart w:id="70" w:name="limitations"/>
    <w:p>
      <w:pPr>
        <w:pStyle w:val="Heading2"/>
      </w:pPr>
      <w:r>
        <w:t xml:space="preserve">Limitations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The conclusions reported here are subject to several constraints.</w:t>
      </w:r>
      <w:r>
        <w:t xml:space="preserve"> </w:t>
      </w:r>
      <w:r>
        <w:t xml:space="preserve">The first concerns the dataset itself. The evaluation runs on a</w:t>
      </w:r>
      <w:r>
        <w:t xml:space="preserve"> </w:t>
      </w:r>
      <w:r>
        <w:t xml:space="preserve">heavily filtered subset of the Stanford Sentiment Treebank</w:t>
      </w:r>
      <w:r>
        <w:t xml:space="preserve"> </w:t>
      </w:r>
      <w:r>
        <w:t xml:space="preserve">(Socher</w:t>
      </w:r>
      <w:r>
        <w:t xml:space="preserve"> </w:t>
      </w:r>
      <w:r>
        <w:rPr>
          <w:i/>
          <w:iCs/>
        </w:rPr>
        <w:t xml:space="preserve">et al.</w:t>
      </w:r>
      <w:r>
        <w:t xml:space="preserve">, 2013)</w:t>
      </w:r>
      <w:r>
        <w:t xml:space="preserve">, not the standard SST-2 task as it appears on the</w:t>
      </w:r>
      <w:r>
        <w:t xml:space="preserve"> </w:t>
      </w:r>
      <w:r>
        <w:t xml:space="preserve">GLUE benchmark</w:t>
      </w:r>
      <w:r>
        <w:t xml:space="preserve"> </w:t>
      </w:r>
      <w:r>
        <w:t xml:space="preserve">(Wang</w:t>
      </w:r>
      <w:r>
        <w:t xml:space="preserve"> </w:t>
      </w:r>
      <w:r>
        <w:rPr>
          <w:i/>
          <w:iCs/>
        </w:rPr>
        <w:t xml:space="preserve">et al.</w:t>
      </w:r>
      <w:r>
        <w:t xml:space="preserve">, 2018)</w:t>
      </w:r>
      <w:r>
        <w:t xml:space="preserve">. Specifically, phrases are</w:t>
      </w:r>
      <w:r>
        <w:t xml:space="preserve"> </w:t>
      </w:r>
      <w:r>
        <w:t xml:space="preserve">restricted to two to five whitespace-separated tokens, the</w:t>
      </w:r>
      <w:r>
        <w:t xml:space="preserve"> </w:t>
      </w:r>
      <w:r>
        <w:t xml:space="preserve">continuous sentiment score is binarised with the neutral band</w:t>
      </w:r>
      <w:r>
        <w:t xml:space="preserve"> </w:t>
      </w:r>
      <m:oMath>
        <m:r>
          <m:rPr>
            <m:sty m:val="p"/>
          </m:rPr>
          <m:t>[</m:t>
        </m:r>
        <m:r>
          <m:t>0.4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]</m:t>
        </m:r>
      </m:oMath>
      <w:r>
        <w:t xml:space="preserve"> </w:t>
      </w:r>
      <w:r>
        <w:t xml:space="preserve">discarded, text is lowercased, the vocabulary is</w:t>
      </w:r>
      <w:r>
        <w:t xml:space="preserve"> </w:t>
      </w:r>
      <w:r>
        <w:t xml:space="preserve">truncated to the top-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tokens with out-of-</w:t>
      </w:r>
      <w:r>
        <w:t xml:space="preserve"> </w:t>
      </w:r>
      <w:r>
        <w:t xml:space="preserve">vocabulary phrases discarded, and a deterministic two-stage</w:t>
      </w:r>
      <w:r>
        <w:t xml:space="preserve"> </w:t>
      </w:r>
      <w:r>
        <w:t xml:space="preserve">balanced sampling produces a class-balanced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/</m:t>
        </m:r>
        <m:r>
          <m:t>400</m:t>
        </m:r>
        <m:r>
          <m:rPr>
            <m:sty m:val="p"/>
          </m:rPr>
          <m:t>/</m:t>
        </m:r>
        <m:r>
          <m:t>400</m:t>
        </m:r>
      </m:oMath>
      <w:r>
        <w:t xml:space="preserve"> </w:t>
      </w:r>
      <w:r>
        <w:t xml:space="preserve">split with the additional invariant that the development and test</w:t>
      </w:r>
      <w:r>
        <w:t xml:space="preserve"> </w:t>
      </w:r>
      <w:r>
        <w:t xml:space="preserve">vocabularies are subsets of the training vocabulary by construction.</w:t>
      </w:r>
      <w:r>
        <w:t xml:space="preserve"> </w:t>
      </w:r>
      <w:r>
        <w:t xml:space="preserve">These filters keep simulation tractable on a single CPU and remove</w:t>
      </w:r>
      <w:r>
        <w:t xml:space="preserve"> </w:t>
      </w:r>
      <w:r>
        <w:t xml:space="preserve">the out-of-vocabulary issue that has no direct QNLP analogue</w:t>
      </w:r>
      <w:r>
        <w:t xml:space="preserve"> </w:t>
      </w:r>
      <w:r>
        <w:t xml:space="preserve">(Section </w:t>
      </w:r>
      <w:hyperlink w:anchor="sec:data">
        <w:r>
          <w:rPr>
            <w:rStyle w:val="Hyperlink"/>
          </w:rPr>
          <w:t xml:space="preserve">3.1</w:t>
        </w:r>
      </w:hyperlink>
      <w:r>
        <w:t xml:space="preserve">), but they also make the resulting subset</w:t>
      </w:r>
      <w:r>
        <w:t xml:space="preserve"> </w:t>
      </w:r>
      <w:r>
        <w:t xml:space="preserve">shorter, more lexically constrained and easier than the standard</w:t>
      </w:r>
      <w:r>
        <w:t xml:space="preserve"> </w:t>
      </w:r>
      <w:r>
        <w:t xml:space="preserve">SST-2 benchmark. The accuracy numbers reported in this paper</w:t>
      </w:r>
      <w:r>
        <w:t xml:space="preserve"> </w:t>
      </w:r>
      <w:r>
        <w:t xml:space="preserve">(</w:t>
      </w:r>
      <m:oMath>
        <m:r>
          <m:t>94.25</m:t>
        </m:r>
        <m:r>
          <m:rPr>
            <m:sty m:val="p"/>
          </m:rPr>
          <m:t>%</m:t>
        </m:r>
      </m:oMath>
      <w:r>
        <w:t xml:space="preserve"> </w:t>
      </w:r>
      <w:r>
        <w:t xml:space="preserve">for LR + TF–IDF,</w:t>
      </w:r>
      <w:r>
        <w:t xml:space="preserve"> </w:t>
      </w:r>
      <m:oMath>
        <m:r>
          <m:t>92.05</m:t>
        </m:r>
        <m:r>
          <m:rPr>
            <m:sty m:val="p"/>
          </m:rPr>
          <m:t>%</m:t>
        </m:r>
      </m:oMath>
      <w:r>
        <w:t xml:space="preserve"> </w:t>
      </w:r>
      <w:r>
        <w:t xml:space="preserve">for Spiders,</w:t>
      </w:r>
      <w:r>
        <w:t xml:space="preserve"> </w:t>
      </w:r>
      <m:oMath>
        <m:r>
          <m:t>91.83</m:t>
        </m:r>
        <m:r>
          <m:rPr>
            <m:sty m:val="p"/>
          </m:rPr>
          <m:t>%</m:t>
        </m:r>
      </m:oMath>
      <w:r>
        <w:t xml:space="preserve"> </w:t>
      </w:r>
      <w:r>
        <w:t xml:space="preserve">for BiLSTM) are therefore not directly comparable to</w:t>
      </w:r>
      <w:r>
        <w:t xml:space="preserve"> </w:t>
      </w:r>
      <w:r>
        <w:t xml:space="preserve">SST-2 accuracies reported in the wider literature; the comparisons</w:t>
      </w:r>
      <w:r>
        <w:t xml:space="preserve"> </w:t>
      </w:r>
      <w:r>
        <w:t xml:space="preserve">are valid</w:t>
      </w:r>
      <w:r>
        <w:t xml:space="preserve"> </w:t>
      </w:r>
      <w:r>
        <w:rPr>
          <w:i/>
          <w:iCs/>
        </w:rPr>
        <w:t xml:space="preserve">within this controlled subset</w:t>
      </w:r>
      <w:r>
        <w:t xml:space="preserve"> </w:t>
      </w:r>
      <w:r>
        <w:t xml:space="preserve">only. Extending the</w:t>
      </w:r>
      <w:r>
        <w:t xml:space="preserve"> </w:t>
      </w:r>
      <w:r>
        <w:t xml:space="preserve">framework to longer sequences or to the full GLUE SST-2 task would</w:t>
      </w:r>
      <w:r>
        <w:t xml:space="preserve"> </w:t>
      </w:r>
      <w:r>
        <w:t xml:space="preserve">require either a more efficient simulator or NISQ hardware. The</w:t>
      </w:r>
      <w:r>
        <w:t xml:space="preserve"> </w:t>
      </w:r>
      <w:r>
        <w:t xml:space="preserve">vocabulary restriction biases the corpus toward lexically frequent</w:t>
      </w:r>
      <w:r>
        <w:t xml:space="preserve"> </w:t>
      </w:r>
      <w:r>
        <w:t xml:space="preserve">items. All experiments are conducted on the noiseless</w:t>
      </w:r>
      <w:r>
        <w:t xml:space="preserve"> </w:t>
      </w:r>
      <w:r>
        <w:rPr>
          <w:rStyle w:val="VerbatimChar"/>
        </w:rPr>
        <w:t xml:space="preserve">lightning.qubit</w:t>
      </w:r>
      <w:r>
        <w:t xml:space="preserve"> </w:t>
      </w:r>
      <w:r>
        <w:t xml:space="preserve">simulator; the extent to which these results</w:t>
      </w:r>
      <w:r>
        <w:t xml:space="preserve"> </w:t>
      </w:r>
      <w:r>
        <w:t xml:space="preserve">transfer to noisy quantum hardware remains an open question. The</w:t>
      </w:r>
      <w:r>
        <w:t xml:space="preserve"> </w:t>
      </w:r>
      <w:r>
        <w:t xml:space="preserve">atomic types are assigned a single qubit each, which collapses the</w:t>
      </w:r>
      <w:r>
        <w:t xml:space="preserve"> </w:t>
      </w:r>
      <w:r>
        <w:t xml:space="preserve">Spiders ansatz comparison. Finally, the BobcatParser CCG reader was</w:t>
      </w:r>
      <w:r>
        <w:t xml:space="preserve"> </w:t>
      </w:r>
      <w:r>
        <w:t xml:space="preserve">unavailable, so the grammatically richest reader in</w:t>
      </w:r>
      <w:r>
        <w:t xml:space="preserve"> </w:t>
      </w:r>
      <w:r>
        <w:rPr>
          <w:rStyle w:val="VerbatimChar"/>
        </w:rPr>
        <w:t xml:space="preserve">lambeq</w:t>
      </w:r>
      <w:r>
        <w:t xml:space="preserve"> </w:t>
      </w:r>
      <w:r>
        <w:t xml:space="preserve">is</w:t>
      </w:r>
      <w:r>
        <w:t xml:space="preserve"> </w:t>
      </w:r>
      <w:r>
        <w:t xml:space="preserve">absent from the comparison.</w:t>
      </w:r>
    </w:p>
    <w:p>
      <w:pPr>
        <w:pStyle w:val="BodyText"/>
        <w:spacing w:line="360" w:lineRule="auto" w:before="0" w:after="120"/>
        <w:ind w:firstLine="0"/>
        <w:jc w:val="both"/>
      </w:pPr>
      <w:r>
        <w:t xml:space="preserve">A second, more fundamental caveat concerns the interpretation of the</w:t>
      </w:r>
      <w:r>
        <w:t xml:space="preserve"> </w:t>
      </w:r>
      <w:r>
        <w:t xml:space="preserve">parameter-efficiency result. Under the single-qubit setting used</w:t>
      </w:r>
      <w:r>
        <w:t xml:space="preserve"> </w:t>
      </w:r>
      <w:r>
        <w:t xml:space="preserve">here, the Spiders reader reduces to a product of single-qubit</w:t>
      </w:r>
      <w:r>
        <w:t xml:space="preserve"> </w:t>
      </w:r>
      <w:r>
        <w:t xml:space="preserve">unitaries composed by a spider, which is classically simulable in</w:t>
      </w:r>
      <w:r>
        <w:t xml:space="preserve"> </w:t>
      </w:r>
      <w:r>
        <w:t xml:space="preserve">linear time and is, by construction, permutation-invariant</w:t>
      </w:r>
      <w:r>
        <w:t xml:space="preserve"> </w:t>
      </w:r>
      <w:r>
        <w:t xml:space="preserve">(equivalent to a bag-of-words representation). The</w:t>
      </w:r>
      <w:r>
        <w:t xml:space="preserve"> </w:t>
      </w:r>
      <w:r>
        <w:t xml:space="preserve">parameter-efficiency claim attached to Spiders should therefore be</w:t>
      </w:r>
      <w:r>
        <w:t xml:space="preserve"> </w:t>
      </w:r>
      <w:r>
        <w:t xml:space="preserve">read as a property of the compositional DisCoCat embedding into</w:t>
      </w:r>
      <w:r>
        <w:t xml:space="preserve"> </w:t>
      </w:r>
      <w:r>
        <w:t xml:space="preserve">single-qubit unitaries rather than as evidence of a quantum</w:t>
      </w:r>
      <w:r>
        <w:t xml:space="preserve"> </w:t>
      </w:r>
      <w:r>
        <w:t xml:space="preserve">advantage. Only Cups + Sim14, which introduces entangling CNOT</w:t>
      </w:r>
      <w:r>
        <w:t xml:space="preserve"> </w:t>
      </w:r>
      <w:r>
        <w:t xml:space="preserve">layers between adjacent qubits, constitutes a</w:t>
      </w:r>
      <w:r>
        <w:t xml:space="preserve"> </w:t>
      </w:r>
      <w:r>
        <w:t xml:space="preserve">“true quantum”</w:t>
      </w:r>
      <w:r>
        <w:t xml:space="preserve"> </w:t>
      </w:r>
      <w:r>
        <w:t xml:space="preserve">variant in the strict sense; this configuration is statistically</w:t>
      </w:r>
      <w:r>
        <w:t xml:space="preserve"> </w:t>
      </w:r>
      <w:r>
        <w:t xml:space="preserve">indistinguishable from BiLSTM (Section </w:t>
      </w:r>
      <w:hyperlink w:anchor="sec:results">
        <w:r>
          <w:rPr>
            <w:rStyle w:val="Hyperlink"/>
          </w:rPr>
          <w:t xml:space="preserve">4</w:t>
        </w:r>
      </w:hyperlink>
      <w:r>
        <w:t xml:space="preserve">) but offers</w:t>
      </w:r>
      <w:r>
        <w:t xml:space="preserve"> </w:t>
      </w:r>
      <w:r>
        <w:t xml:space="preserve">no additional gain over Spiders. On the pure parameter-efficiency</w:t>
      </w:r>
      <w:r>
        <w:t xml:space="preserve"> </w:t>
      </w:r>
      <w:r>
        <w:t xml:space="preserve">axis, the sparse linear baseline LR + TF–IDF (</w:t>
      </w:r>
      <m:oMath>
        <m:r>
          <m:t>2</m:t>
        </m:r>
        <m:r>
          <m:rPr>
            <m:sty m:val="p"/>
          </m:rPr>
          <m:t>,</m:t>
        </m:r>
        <m:r>
          <m:t>829</m:t>
        </m:r>
      </m:oMath>
      <w:r>
        <w:t xml:space="preserve"> </w:t>
      </w:r>
      <w:r>
        <w:t xml:space="preserve">parameters) remains the most compact model in the comparison and is</w:t>
      </w:r>
      <w:r>
        <w:t xml:space="preserve"> </w:t>
      </w:r>
      <w:r>
        <w:t xml:space="preserve">in fact slightly leaner than Spiders (</w:t>
      </w:r>
      <m:oMath>
        <m:r>
          <m:t>2</m:t>
        </m:r>
        <m:r>
          <m:rPr>
            <m:sty m:val="p"/>
          </m:rPr>
          <m:t>,</m:t>
        </m:r>
        <m:r>
          <m:t>940</m:t>
        </m:r>
      </m:oMath>
      <w:r>
        <w:t xml:space="preserve">); the quantum</w:t>
      </w:r>
      <w:r>
        <w:t xml:space="preserve"> </w:t>
      </w:r>
      <w:r>
        <w:t xml:space="preserve">advantage claimed in this paper is therefore relative to</w:t>
      </w:r>
      <w:r>
        <w:t xml:space="preserve"> </w:t>
      </w:r>
      <w:r>
        <w:rPr>
          <w:i/>
          <w:iCs/>
        </w:rPr>
        <w:t xml:space="preserve">dense sequence models</w:t>
      </w:r>
      <w:r>
        <w:t xml:space="preserve"> </w:t>
      </w:r>
      <w:r>
        <w:t xml:space="preserve">such as BiLSTM, not to sparse</w:t>
      </w:r>
      <w:r>
        <w:t xml:space="preserve"> </w:t>
      </w:r>
      <w:r>
        <w:t xml:space="preserve">linear models in general.</w:t>
      </w:r>
    </w:p>
    <w:bookmarkEnd w:id="70"/>
    <w:bookmarkStart w:id="71" w:name="a-note-on-reproducibility"/>
    <w:p>
      <w:pPr>
        <w:pStyle w:val="Heading2"/>
      </w:pPr>
      <w:r>
        <w:t xml:space="preserve">A Note on Reproducibility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During the preparation of the experiments it was observed that</w:t>
      </w:r>
      <w:r>
        <w:t xml:space="preserve"> </w:t>
      </w:r>
      <w:r>
        <w:rPr>
          <w:rStyle w:val="VerbatimChar"/>
        </w:rPr>
        <w:t xml:space="preserve">lambeq</w:t>
      </w:r>
      <w:r>
        <w:t xml:space="preserve"> </w:t>
      </w:r>
      <w:r>
        <w:t xml:space="preserve">0.5.0 retains a hard-coded reference to</w:t>
      </w:r>
      <w:r>
        <w:t xml:space="preserve"> </w:t>
      </w:r>
      <w:r>
        <w:rPr>
          <w:rStyle w:val="VerbatimChar"/>
        </w:rPr>
        <w:t xml:space="preserve">https://qnlp.cambridgequantum.com/</w:t>
      </w:r>
      <w:r>
        <w:t xml:space="preserve"> </w:t>
      </w:r>
      <w:r>
        <w:t xml:space="preserve">for the BobcatParser model</w:t>
      </w:r>
      <w:r>
        <w:t xml:space="preserve"> </w:t>
      </w:r>
      <w:r>
        <w:t xml:space="preserve">download endpoint. This endpoint became unreachable following the</w:t>
      </w:r>
      <w:r>
        <w:t xml:space="preserve"> </w:t>
      </w:r>
      <w:r>
        <w:t xml:space="preserve">merger of Cambridge Quantum into Quantinuum; the candidate successor</w:t>
      </w:r>
      <w:r>
        <w:t xml:space="preserve"> </w:t>
      </w:r>
      <w:r>
        <w:rPr>
          <w:rStyle w:val="VerbatimChar"/>
        </w:rPr>
        <w:t xml:space="preserve">qnlp.quantinuum.com</w:t>
      </w:r>
      <w:r>
        <w:t xml:space="preserve"> </w:t>
      </w:r>
      <w:r>
        <w:t xml:space="preserve">does not resolve, and the Wayback Machine</w:t>
      </w:r>
      <w:r>
        <w:t xml:space="preserve"> </w:t>
      </w:r>
      <w:r>
        <w:t xml:space="preserve">contains no usable archived snapshot of the model artefacts. This is</w:t>
      </w:r>
      <w:r>
        <w:t xml:space="preserve"> </w:t>
      </w:r>
      <w:r>
        <w:t xml:space="preserve">a specific instance of the broader machine-learning reproducibility</w:t>
      </w:r>
      <w:r>
        <w:t xml:space="preserve"> </w:t>
      </w:r>
      <w:r>
        <w:t xml:space="preserve">problem in which third-party model artefacts disappear from public</w:t>
      </w:r>
      <w:r>
        <w:t xml:space="preserve"> </w:t>
      </w:r>
      <w:r>
        <w:t xml:space="preserve">endpoints. The mitigation adopted here, the self-contained</w:t>
      </w:r>
      <w:r>
        <w:t xml:space="preserve"> </w:t>
      </w:r>
      <w:r>
        <w:rPr>
          <w:rStyle w:val="VerbatimChar"/>
        </w:rPr>
        <w:t xml:space="preserve">SpidersReader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CupsReader</w:t>
      </w:r>
      <w:r>
        <w:t xml:space="preserve">, preserves the</w:t>
      </w:r>
      <w:r>
        <w:t xml:space="preserve"> </w:t>
      </w:r>
      <w:r>
        <w:t xml:space="preserve">DisCoCat compositional framework but loses the CCG-grammatical</w:t>
      </w:r>
      <w:r>
        <w:t xml:space="preserve"> </w:t>
      </w:r>
      <w:r>
        <w:t xml:space="preserve">information that BobcatParser would have provided.</w:t>
      </w:r>
    </w:p>
    <w:bookmarkEnd w:id="71"/>
    <w:bookmarkEnd w:id="72"/>
    <w:bookmarkStart w:id="128" w:name="sec:conclusion"/>
    <w:p>
      <w:pPr>
        <w:pStyle w:val="Heading1"/>
      </w:pPr>
      <w:r>
        <w:t xml:space="preserve">Conclusion and Future Work</w:t>
      </w:r>
    </w:p>
    <w:bookmarkStart w:id="73" w:name="summary-of-contributions"/>
    <w:p>
      <w:pPr>
        <w:pStyle w:val="Heading2"/>
      </w:pPr>
      <w:r>
        <w:t xml:space="preserve">Summary of Contributions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This paper has presented an end-to-end Quantum Natural Language</w:t>
      </w:r>
      <w:r>
        <w:t xml:space="preserve"> </w:t>
      </w:r>
      <w:r>
        <w:t xml:space="preserve">Processing pipeline for binary sentiment classification on a</w:t>
      </w:r>
      <w:r>
        <w:t xml:space="preserve"> </w:t>
      </w:r>
      <w:r>
        <w:t xml:space="preserve">carefully constructed short-phrase subset of SST-2 (phrases of two to</w:t>
      </w:r>
      <w:r>
        <w:t xml:space="preserve"> </w:t>
      </w:r>
      <w:r>
        <w:t xml:space="preserve">five tokens, top-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vocabulary, class-balanced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/</m:t>
        </m:r>
        <m:r>
          <m:t>400</m:t>
        </m:r>
        <m:r>
          <m:rPr>
            <m:sty m:val="p"/>
          </m:rPr>
          <m:t>/</m:t>
        </m:r>
        <m:r>
          <m:t>400</m:t>
        </m:r>
      </m:oMath>
      <w:r>
        <w:t xml:space="preserve"> </w:t>
      </w:r>
      <w:r>
        <w:t xml:space="preserve">split with test vocabulary contained in the</w:t>
      </w:r>
      <w:r>
        <w:t xml:space="preserve"> </w:t>
      </w:r>
      <w:r>
        <w:t xml:space="preserve">training vocabulary by construction), evaluated against three</w:t>
      </w:r>
      <w:r>
        <w:t xml:space="preserve"> </w:t>
      </w:r>
      <w:r>
        <w:t xml:space="preserve">classical baselines on the identical split. The Spiders quantum</w:t>
      </w:r>
      <w:r>
        <w:t xml:space="preserve"> </w:t>
      </w:r>
      <w:r>
        <w:t xml:space="preserve">model attains</w:t>
      </w:r>
      <w:r>
        <w:t xml:space="preserve"> </w:t>
      </w:r>
      <m:oMath>
        <m:r>
          <m:t>92.05</m:t>
        </m:r>
        <m:r>
          <m:rPr>
            <m:sty m:val="p"/>
          </m:rPr>
          <m:t>%</m:t>
        </m:r>
      </m:oMath>
      <w:r>
        <w:t xml:space="preserve"> </w:t>
      </w:r>
      <w:r>
        <w:t xml:space="preserve">test accuracy with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940</m:t>
        </m:r>
      </m:oMath>
      <w:r>
        <w:t xml:space="preserve"> </w:t>
      </w:r>
      <w:r>
        <w:t xml:space="preserve">trainable</w:t>
      </w:r>
      <w:r>
        <w:t xml:space="preserve"> </w:t>
      </w:r>
      <w:r>
        <w:t xml:space="preserve">parameters. Against the dense sequence baseline (BiLSTM,</w:t>
      </w:r>
      <w:r>
        <w:t xml:space="preserve"> </w:t>
      </w:r>
      <m:oMath>
        <m:r>
          <m:t>91.83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82</m:t>
        </m:r>
        <m:r>
          <m:rPr>
            <m:sty m:val="p"/>
          </m:rPr>
          <m:t>,</m:t>
        </m:r>
        <m:r>
          <m:t>369</m:t>
        </m:r>
      </m:oMath>
      <w:r>
        <w:t xml:space="preserve"> </w:t>
      </w:r>
      <w:r>
        <w:t xml:space="preserve">parameters; McNemar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0.60</m:t>
        </m:r>
      </m:oMath>
      <w:r>
        <w:t xml:space="preserve">) the</w:t>
      </w:r>
      <w:r>
        <w:t xml:space="preserve"> </w:t>
      </w:r>
      <w:r>
        <w:t xml:space="preserve">Spiders model is statistically indistinguishable while using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</m:oMath>
      <w:r>
        <w:t xml:space="preserve"> </w:t>
      </w:r>
      <w:r>
        <w:t xml:space="preserve">fewer parameters. Against the sparse linear baseline</w:t>
      </w:r>
      <w:r>
        <w:t xml:space="preserve"> </w:t>
      </w:r>
      <w:r>
        <w:t xml:space="preserve">(LR + TF–IDF,</w:t>
      </w:r>
      <w:r>
        <w:t xml:space="preserve"> </w:t>
      </w:r>
      <m:oMath>
        <m:r>
          <m:t>94.25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829</m:t>
        </m:r>
      </m:oMath>
      <w:r>
        <w:t xml:space="preserve"> </w:t>
      </w:r>
      <w:r>
        <w:t xml:space="preserve">parameters), however, the</w:t>
      </w:r>
      <w:r>
        <w:t xml:space="preserve"> </w:t>
      </w:r>
      <w:r>
        <w:t xml:space="preserve">linear model is both leaner in parameters and 2.2 percentage points</w:t>
      </w:r>
      <w:r>
        <w:t xml:space="preserve"> </w:t>
      </w:r>
      <w:r>
        <w:t xml:space="preserve">more accurate; this gap reaches raw McNemar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0.045</m:t>
        </m:r>
      </m:oMath>
      <w:r>
        <w:t xml:space="preserve"> </w:t>
      </w:r>
      <w:r>
        <w:t xml:space="preserve">but is not</w:t>
      </w:r>
      <w:r>
        <w:t xml:space="preserve"> </w:t>
      </w:r>
      <w:r>
        <w:t xml:space="preserve">significant after Holm–Bonferroni adjustment over the family of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comparisons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Holm</m:t>
            </m:r>
          </m:sub>
        </m:sSub>
        <m:r>
          <m:rPr>
            <m:sty m:val="p"/>
          </m:rPr>
          <m:t>=</m:t>
        </m:r>
        <m:r>
          <m:t>0.39</m:t>
        </m:r>
      </m:oMath>
      <w:r>
        <w:t xml:space="preserve">). Beyond these aggregate</w:t>
      </w:r>
      <w:r>
        <w:t xml:space="preserve"> </w:t>
      </w:r>
      <w:r>
        <w:t xml:space="preserve">results, the 60-run ablation reveals three structural phenomena: the</w:t>
      </w:r>
      <w:r>
        <w:t xml:space="preserve"> </w:t>
      </w:r>
      <w:r>
        <w:t xml:space="preserve">representational saturation of the Spiders reader under single-qubit</w:t>
      </w:r>
      <w:r>
        <w:t xml:space="preserve"> </w:t>
      </w:r>
      <w:r>
        <w:t xml:space="preserve">atomic types; a reproducible barren-plateau-like collapse for the</w:t>
      </w:r>
      <w:r>
        <w:t xml:space="preserve"> </w:t>
      </w:r>
      <w:r>
        <w:t xml:space="preserve">Cups + IQP family at depth two; and depth stability for the</w:t>
      </w:r>
      <w:r>
        <w:t xml:space="preserve"> </w:t>
      </w:r>
      <w:r>
        <w:t xml:space="preserve">Cups + Sim14 family at the cost of substantially more parameters.</w:t>
      </w:r>
      <w:r>
        <w:t xml:space="preserve"> </w:t>
      </w:r>
      <w:r>
        <w:t xml:space="preserve">Collectively, these findings indicate that reader and ansatz choice,</w:t>
      </w:r>
      <w:r>
        <w:t xml:space="preserve"> </w:t>
      </w:r>
      <w:r>
        <w:t xml:space="preserve">rather than circuit depth, are the dominant factors governing</w:t>
      </w:r>
      <w:r>
        <w:t xml:space="preserve"> </w:t>
      </w:r>
      <w:r>
        <w:t xml:space="preserve">variational DisCoCat training in the NISQ regime.</w:t>
      </w:r>
    </w:p>
    <w:bookmarkEnd w:id="73"/>
    <w:bookmarkStart w:id="127" w:name="directions-for-future-work"/>
    <w:p>
      <w:pPr>
        <w:pStyle w:val="Heading2"/>
      </w:pPr>
      <w:r>
        <w:t xml:space="preserve">Directions for Future Work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Several directions deserve further investigation. Among methodological extensions, higher-dimensional</w:t>
      </w:r>
      <w:r>
        <w:t xml:space="preserve"> </w:t>
      </w:r>
      <w:r>
        <w:t xml:space="preserve">atomic types (</w:t>
      </w:r>
      <m:oMath>
        <m:sSub>
          <m:e>
            <m:r>
              <m:t>q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or larger) would remove the Spiders</w:t>
      </w:r>
      <w:r>
        <w:t xml:space="preserve"> </w:t>
      </w:r>
      <w:r>
        <w:t xml:space="preserve">saturation and enable meaningful ansatz ablation under the Spiders</w:t>
      </w:r>
      <w:r>
        <w:t xml:space="preserve"> </w:t>
      </w:r>
      <w:r>
        <w:t xml:space="preserve">reader; the additional simulator cost is approximately quadratic in</w:t>
      </w:r>
      <w:r>
        <w:t xml:space="preserve"> </w:t>
      </w:r>
      <w:r>
        <w:t xml:space="preserve">the per-type qubit count, so even doubling the dimension would</w:t>
      </w:r>
      <w:r>
        <w:t xml:space="preserve"> </w:t>
      </w:r>
      <w:r>
        <w:t xml:space="preserve">demand roughly four times the experimental compute used here, but</w:t>
      </w:r>
      <w:r>
        <w:t xml:space="preserve"> </w:t>
      </w:r>
      <w:r>
        <w:t xml:space="preserve">remains tractable on simulator. An alternative line is the</w:t>
      </w:r>
      <w:r>
        <w:t xml:space="preserve"> </w:t>
      </w:r>
      <w:r>
        <w:t xml:space="preserve">exploration of CCG-grammatical readers other than BobcatParser; one</w:t>
      </w:r>
      <w:r>
        <w:t xml:space="preserve"> </w:t>
      </w:r>
      <w:r>
        <w:t xml:space="preserve">candidate is DepCCG, which has its own installation overhead but is</w:t>
      </w:r>
      <w:r>
        <w:t xml:space="preserve"> </w:t>
      </w:r>
      <w:r>
        <w:t xml:space="preserve">not dependent on the deprecated Quantinuum endpoint. A more</w:t>
      </w:r>
      <w:r>
        <w:t xml:space="preserve"> </w:t>
      </w:r>
      <w:r>
        <w:t xml:space="preserve">ambitious direction is the development of a dedicated CCG parser</w:t>
      </w:r>
      <w:r>
        <w:t xml:space="preserve"> </w:t>
      </w:r>
      <w:r>
        <w:t xml:space="preserve">trained on a smaller corpus suitable for QNLP applications.</w:t>
      </w:r>
    </w:p>
    <w:p>
      <w:pPr>
        <w:pStyle w:val="BodyText"/>
        <w:spacing w:line="360" w:lineRule="auto" w:before="0" w:after="120"/>
        <w:ind w:firstLine="0"/>
        <w:jc w:val="both"/>
      </w:pPr>
      <w:r>
        <w:t xml:space="preserve">Among empirical extensions, the most valuable next step is</w:t>
      </w:r>
      <w:r>
        <w:t xml:space="preserve"> </w:t>
      </w:r>
      <w:r>
        <w:t xml:space="preserve">evaluation on real near-term quantum hardware. Even a partial test</w:t>
      </w:r>
      <w:r>
        <w:t xml:space="preserve"> </w:t>
      </w:r>
      <w:r>
        <w:t xml:space="preserve">of the best checkpoints on a free-tier IBM Quantum or Quantinuum H1</w:t>
      </w:r>
      <w:r>
        <w:t xml:space="preserve"> </w:t>
      </w:r>
      <w:r>
        <w:t xml:space="preserve">device, restricted to a handful of test samples, would characterise</w:t>
      </w:r>
      <w:r>
        <w:t xml:space="preserve"> </w:t>
      </w:r>
      <w:r>
        <w:t xml:space="preserve">the simulator-to-hardware gap and quantify the effect of realistic</w:t>
      </w:r>
      <w:r>
        <w:t xml:space="preserve"> </w:t>
      </w:r>
      <w:r>
        <w:t xml:space="preserve">noise. Extending the framework to multi-class sentiment (SST-5) and</w:t>
      </w:r>
      <w:r>
        <w:t xml:space="preserve"> </w:t>
      </w:r>
      <w:r>
        <w:t xml:space="preserve">to longer phrases would also be valuable, although both extensions</w:t>
      </w:r>
      <w:r>
        <w:t xml:space="preserve"> </w:t>
      </w:r>
      <w:r>
        <w:t xml:space="preserve">require either larger atomic types or longer circuits and may</w:t>
      </w:r>
      <w:r>
        <w:t xml:space="preserve"> </w:t>
      </w:r>
      <w:r>
        <w:t xml:space="preserve">re-introduce the barren-plateau pathology observed here for the</w:t>
      </w:r>
      <w:r>
        <w:t xml:space="preserve"> </w:t>
      </w:r>
      <w:r>
        <w:t xml:space="preserve">deeper Cups + IQP configurations.</w:t>
      </w:r>
    </w:p>
    <w:p>
      <w:pPr>
        <w:pStyle w:val="BodyText"/>
        <w:spacing w:line="360" w:lineRule="auto" w:before="0" w:after="120"/>
        <w:ind w:firstLine="0"/>
        <w:jc w:val="both"/>
      </w:pPr>
      <w:r>
        <w:t xml:space="preserve">A third direction concerns cross-lingual QNLP. The DisCoCat</w:t>
      </w:r>
      <w:r>
        <w:t xml:space="preserve"> </w:t>
      </w:r>
      <w:r>
        <w:t xml:space="preserve">framework is, in principle, language-agnostic, and could in</w:t>
      </w:r>
      <w:r>
        <w:t xml:space="preserve"> </w:t>
      </w:r>
      <w:r>
        <w:t xml:space="preserve">principle be adapted to languages other than English. The present</w:t>
      </w:r>
      <w:r>
        <w:t xml:space="preserve"> </w:t>
      </w:r>
      <w:r>
        <w:t xml:space="preserve">paper does not test any such adaptation; constructing</w:t>
      </w:r>
      <w:r>
        <w:t xml:space="preserve"> </w:t>
      </w:r>
      <w:r>
        <w:t xml:space="preserve">non-English short-phrase sentiment benchmarks and replicating the</w:t>
      </w:r>
      <w:r>
        <w:t xml:space="preserve"> </w:t>
      </w:r>
      <w:r>
        <w:t xml:space="preserve">pipeline on them would be a natural follow-up.</w:t>
      </w:r>
    </w:p>
    <w:bookmarkStart w:id="74" w:name="acknowledgements"/>
    <w:p>
      <w:pPr>
        <w:pStyle w:val="Heading3"/>
      </w:pPr>
      <w:r>
        <w:t xml:space="preserve">Acknowledgements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The authors thank Dr. Le Quang Minh of Ho Chi Minh City Open</w:t>
      </w:r>
      <w:r>
        <w:t xml:space="preserve"> </w:t>
      </w:r>
      <w:r>
        <w:t xml:space="preserve">University, instructor of the Natural Language Processing course,</w:t>
      </w:r>
      <w:r>
        <w:t xml:space="preserve"> </w:t>
      </w:r>
      <w:r>
        <w:t xml:space="preserve">for guidance on the direction of this work.</w:t>
      </w:r>
    </w:p>
    <w:bookmarkEnd w:id="74"/>
    <w:bookmarkStart w:id="75" w:name="funding"/>
    <w:p>
      <w:pPr>
        <w:pStyle w:val="Heading3"/>
      </w:pPr>
      <w:r>
        <w:t xml:space="preserve">Funding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This research did not receive any specific grant from funding</w:t>
      </w:r>
      <w:r>
        <w:t xml:space="preserve"> </w:t>
      </w:r>
      <w:r>
        <w:t xml:space="preserve">agencies in the public, commercial, or not-for-profit sectors.</w:t>
      </w:r>
    </w:p>
    <w:bookmarkEnd w:id="75"/>
    <w:bookmarkStart w:id="76" w:name="declaration-of-conflicting-interests"/>
    <w:p>
      <w:pPr>
        <w:pStyle w:val="Heading3"/>
      </w:pPr>
      <w:r>
        <w:t xml:space="preserve">Declaration of Conflicting Interests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The authors declare that there is no conflict of interest regarding</w:t>
      </w:r>
      <w:r>
        <w:t xml:space="preserve"> </w:t>
      </w:r>
      <w:r>
        <w:t xml:space="preserve">the publication of this paper.</w:t>
      </w:r>
    </w:p>
    <w:bookmarkEnd w:id="76"/>
    <w:bookmarkStart w:id="126" w:name="data-availability"/>
    <w:p>
      <w:pPr>
        <w:pStyle w:val="Heading3"/>
      </w:pPr>
      <w:r>
        <w:t xml:space="preserve">Data Availability</w:t>
      </w:r>
    </w:p>
    <w:p>
      <w:pPr>
        <w:pStyle w:val="FirstParagraph"/>
        <w:spacing w:line="360" w:lineRule="auto" w:before="0" w:after="120"/>
        <w:ind w:firstLine="0"/>
        <w:jc w:val="both"/>
      </w:pPr>
      <w:r>
        <w:t xml:space="preserve">This work uses two publicly available datasets. The Stanford</w:t>
      </w:r>
      <w:r>
        <w:t xml:space="preserve"> </w:t>
      </w:r>
      <w:r>
        <w:t xml:space="preserve">Sentiment Treebank</w:t>
      </w:r>
      <w:r>
        <w:t xml:space="preserve"> </w:t>
      </w:r>
      <w:r>
        <w:t xml:space="preserve">(Socher</w:t>
      </w:r>
      <w:r>
        <w:t xml:space="preserve"> </w:t>
      </w:r>
      <w:r>
        <w:rPr>
          <w:i/>
          <w:iCs/>
        </w:rPr>
        <w:t xml:space="preserve">et al.</w:t>
      </w:r>
      <w:r>
        <w:t xml:space="preserve">, 2013)</w:t>
      </w:r>
      <w:r>
        <w:t xml:space="preserve"> </w:t>
      </w:r>
      <w:r>
        <w:t xml:space="preserve">is distributed by the Stanford</w:t>
      </w:r>
      <w:r>
        <w:t xml:space="preserve"> </w:t>
      </w:r>
      <w:r>
        <w:t xml:space="preserve">NLP Group at</w:t>
      </w:r>
      <w:r>
        <w:t xml:space="preserve"> </w:t>
      </w:r>
      <w:hyperlink r:id="rId77">
        <w:r>
          <w:rPr>
            <w:rStyle w:val="Hyperlink"/>
          </w:rPr>
          <w:t xml:space="preserve">https://nlp.stanford.edu/sentiment/</w:t>
        </w:r>
      </w:hyperlink>
      <w:r>
        <w:t xml:space="preserve"> </w:t>
      </w:r>
      <w:r>
        <w:t xml:space="preserve">(full corpus</w:t>
      </w:r>
      <w:r>
        <w:t xml:space="preserve"> </w:t>
      </w:r>
      <w:r>
        <w:t xml:space="preserve">archive</w:t>
      </w:r>
      <w:r>
        <w:t xml:space="preserve"> </w:t>
      </w:r>
      <w:hyperlink r:id="rId78">
        <w:r>
          <w:rPr>
            <w:rStyle w:val="Hyperlink"/>
          </w:rPr>
          <w:t xml:space="preserve">https://nlp.stanford.edu/~socherr/stanfordSentimentTreebank.zip</w:t>
        </w:r>
      </w:hyperlink>
      <w:r>
        <w:t xml:space="preserve">);</w:t>
      </w:r>
      <w:r>
        <w:t xml:space="preserve"> </w:t>
      </w:r>
      <w:r>
        <w:t xml:space="preserve">the 5</w:t>
      </w:r>
      <w:r>
        <w:t xml:space="preserve">,</w:t>
      </w:r>
      <w:r>
        <w:t xml:space="preserve">000/400/400 short-phrase subset used here is constructed</w:t>
      </w:r>
      <w:r>
        <w:t xml:space="preserve"> </w:t>
      </w:r>
      <w:r>
        <w:t xml:space="preserve">deterministically from this archive by the script</w:t>
      </w:r>
      <w:r>
        <w:t xml:space="preserve"> </w:t>
      </w:r>
      <w:r>
        <w:rPr>
          <w:rStyle w:val="VerbatimChar"/>
        </w:rPr>
        <w:t xml:space="preserve">scripts/02b_subsample_qnlp.py</w:t>
      </w:r>
      <w:r>
        <w:t xml:space="preserve"> </w:t>
      </w:r>
      <w:r>
        <w:t xml:space="preserve">with seed 42. The GloVe word</w:t>
      </w:r>
      <w:r>
        <w:t xml:space="preserve"> </w:t>
      </w:r>
      <w:r>
        <w:t xml:space="preserve">vectors used by the LR + GloVe baseline</w:t>
      </w:r>
      <w:r>
        <w:t xml:space="preserve"> </w:t>
      </w:r>
      <w:r>
        <w:t xml:space="preserve">(Pennington</w:t>
      </w:r>
      <w:r>
        <w:t xml:space="preserve"> </w:t>
      </w:r>
      <w:r>
        <w:rPr>
          <w:i/>
          <w:iCs/>
        </w:rPr>
        <w:t xml:space="preserve">et al.</w:t>
      </w:r>
      <w:r>
        <w:t xml:space="preserve">, 2014)</w:t>
      </w:r>
      <w:r>
        <w:t xml:space="preserve"> </w:t>
      </w:r>
      <w:r>
        <w:t xml:space="preserve">are</w:t>
      </w:r>
      <w:r>
        <w:t xml:space="preserve"> </w:t>
      </w:r>
      <w:r>
        <w:t xml:space="preserve">the publicly released GloVe-6B-50d set, available from</w:t>
      </w:r>
      <w:r>
        <w:t xml:space="preserve"> </w:t>
      </w:r>
      <w:hyperlink r:id="rId79">
        <w:r>
          <w:rPr>
            <w:rStyle w:val="Hyperlink"/>
          </w:rPr>
          <w:t xml:space="preserve">https://nlp.stanford.edu/data/glove.6B.zip</w:t>
        </w:r>
      </w:hyperlink>
      <w:r>
        <w:t xml:space="preserve">. The code,</w:t>
      </w:r>
      <w:r>
        <w:t xml:space="preserve"> </w:t>
      </w:r>
      <w:r>
        <w:t xml:space="preserve">configurations, training logs and per-seed prediction artefacts</w:t>
      </w:r>
      <w:r>
        <w:t xml:space="preserve"> </w:t>
      </w:r>
      <w:r>
        <w:t xml:space="preserve">produced in this work are released under the MIT licence at</w:t>
      </w:r>
      <w:r>
        <w:t xml:space="preserve"> </w:t>
      </w:r>
      <w:hyperlink r:id="rId9">
        <w:r>
          <w:rPr>
            <w:rStyle w:val="Hyperlink"/>
          </w:rPr>
          <w:t xml:space="preserve">https://github.com/hublinhdn/nlp_quantum_hub</w:t>
        </w:r>
      </w:hyperlink>
      <w:r>
        <w:t xml:space="preserve">.</w:t>
      </w:r>
    </w:p>
    <w:bookmarkStart w:id="125" w:name="refs"/>
    <w:bookmarkStart w:id="81" w:name="ref-bergholm2018"/>
    <w:p>
      <w:pPr>
        <w:pStyle w:val="Bibliography"/>
        <w:spacing w:line="360" w:lineRule="auto" w:before="0" w:after="120"/>
        <w:ind w:left="340" w:hanging="340"/>
        <w:jc w:val="both"/>
      </w:pPr>
      <w:r>
        <w:t xml:space="preserve">Bergholm, V., Izaac, J., Schuld, M., Gogolin, C., Ahmed, S., Ajith, V., Alam, M.S.,</w:t>
      </w:r>
      <w:r>
        <w:t xml:space="preserve"> </w:t>
      </w:r>
      <w:r>
        <w:rPr>
          <w:i/>
          <w:iCs/>
        </w:rPr>
        <w:t xml:space="preserve">et al.</w:t>
      </w:r>
      <w:r>
        <w:t xml:space="preserve"> (2018),</w:t>
      </w:r>
      <w:r>
        <w:t xml:space="preserve"> </w:t>
      </w:r>
      <w:r>
        <w:t xml:space="preserve">“</w:t>
      </w:r>
      <w:hyperlink r:id="rId80">
        <w:r>
          <w:rPr>
            <w:rStyle w:val="Hyperlink"/>
          </w:rPr>
          <w:t xml:space="preserve">PennyLane</w:t>
        </w:r>
        <w:r>
          <w:rPr>
            <w:rStyle w:val="Hyperlink"/>
          </w:rPr>
          <w:t xml:space="preserve">: Automatic differentiation of hybrid quantum-classical computations</w:t>
        </w:r>
      </w:hyperlink>
      <w:r>
        <w:t xml:space="preserve">”</w:t>
      </w:r>
      <w:r>
        <w:t xml:space="preserve">,</w:t>
      </w:r>
      <w:r>
        <w:t xml:space="preserve"> </w:t>
      </w:r>
      <w:r>
        <w:rPr>
          <w:i/>
          <w:iCs/>
        </w:rPr>
        <w:t xml:space="preserve">arXiv Preprint arXiv:1811.04968</w:t>
      </w:r>
      <w:r>
        <w:t xml:space="preserve">.</w:t>
      </w:r>
    </w:p>
    <w:bookmarkEnd w:id="81"/>
    <w:bookmarkStart w:id="83" w:name="ref-buonaiuto2024"/>
    <w:p>
      <w:pPr>
        <w:pStyle w:val="Bibliography"/>
        <w:spacing w:line="360" w:lineRule="auto" w:before="0" w:after="120"/>
        <w:ind w:left="340" w:hanging="340"/>
        <w:jc w:val="both"/>
      </w:pPr>
      <w:r>
        <w:t xml:space="preserve">Buonaiuto, G., Guarasci, R., Minutolo, A., De Pietro, G. and Esposito, M. (2024),</w:t>
      </w:r>
      <w:r>
        <w:t xml:space="preserve"> </w:t>
      </w:r>
      <w:r>
        <w:t xml:space="preserve">“Quantum transfer learning for acceptability judgements”</w:t>
      </w:r>
      <w:r>
        <w:t xml:space="preserve">,</w:t>
      </w:r>
      <w:r>
        <w:t xml:space="preserve"> </w:t>
      </w:r>
      <w:r>
        <w:rPr>
          <w:i/>
          <w:iCs/>
        </w:rPr>
        <w:t xml:space="preserve">Quantum Machine Intelligence</w:t>
      </w:r>
      <w:r>
        <w:t xml:space="preserve">, Springer, Vol. 6 No. 1, p. 13, doi:</w:t>
      </w:r>
      <w:r>
        <w:t xml:space="preserve"> </w:t>
      </w:r>
      <w:hyperlink r:id="rId82">
        <w:r>
          <w:rPr>
            <w:rStyle w:val="Hyperlink"/>
          </w:rPr>
          <w:t xml:space="preserve">10.1007/s42484-024-00141-8</w:t>
        </w:r>
      </w:hyperlink>
      <w:r>
        <w:t xml:space="preserve">.</w:t>
      </w:r>
    </w:p>
    <w:bookmarkEnd w:id="83"/>
    <w:bookmarkStart w:id="85" w:name="ref-cerezo2021"/>
    <w:p>
      <w:pPr>
        <w:pStyle w:val="Bibliography"/>
        <w:spacing w:line="360" w:lineRule="auto" w:before="0" w:after="120"/>
        <w:ind w:left="340" w:hanging="340"/>
        <w:jc w:val="both"/>
      </w:pPr>
      <w:r>
        <w:t xml:space="preserve">Cerezo, M., Arrasmith, A., Babbush, R., Benjamin, S.C., Endo, S., Fujii, K., McClean, J.R.,</w:t>
      </w:r>
      <w:r>
        <w:t xml:space="preserve"> </w:t>
      </w:r>
      <w:r>
        <w:rPr>
          <w:i/>
          <w:iCs/>
        </w:rPr>
        <w:t xml:space="preserve">et al.</w:t>
      </w:r>
      <w:r>
        <w:t xml:space="preserve"> (2021),</w:t>
      </w:r>
      <w:r>
        <w:t xml:space="preserve"> </w:t>
      </w:r>
      <w:r>
        <w:t xml:space="preserve">“Variational quantum algorithms”</w:t>
      </w:r>
      <w:r>
        <w:t xml:space="preserve">,</w:t>
      </w:r>
      <w:r>
        <w:t xml:space="preserve"> </w:t>
      </w:r>
      <w:r>
        <w:rPr>
          <w:i/>
          <w:iCs/>
        </w:rPr>
        <w:t xml:space="preserve">Nature Reviews Physics</w:t>
      </w:r>
      <w:r>
        <w:t xml:space="preserve">, Vol. 3 No. 9, pp. 625–644, doi:</w:t>
      </w:r>
      <w:r>
        <w:t xml:space="preserve"> </w:t>
      </w:r>
      <w:hyperlink r:id="rId84">
        <w:r>
          <w:rPr>
            <w:rStyle w:val="Hyperlink"/>
          </w:rPr>
          <w:t xml:space="preserve">10.1038/s42254-021-00348-9</w:t>
        </w:r>
      </w:hyperlink>
      <w:r>
        <w:t xml:space="preserve">.</w:t>
      </w:r>
    </w:p>
    <w:bookmarkEnd w:id="85"/>
    <w:bookmarkStart w:id="87" w:name="ref-cerezo2022qml"/>
    <w:p>
      <w:pPr>
        <w:pStyle w:val="Bibliography"/>
        <w:spacing w:line="360" w:lineRule="auto" w:before="0" w:after="120"/>
        <w:ind w:left="340" w:hanging="340"/>
        <w:jc w:val="both"/>
      </w:pPr>
      <w:r>
        <w:t xml:space="preserve">Cerezo, M., Verdon, G., Huang, H.-Y., Cincio, L. and Coles, P.J. (2022),</w:t>
      </w:r>
      <w:r>
        <w:t xml:space="preserve"> </w:t>
      </w:r>
      <w:r>
        <w:t xml:space="preserve">“Challenges and opportunities in quantum machine learning”</w:t>
      </w:r>
      <w:r>
        <w:t xml:space="preserve">,</w:t>
      </w:r>
      <w:r>
        <w:t xml:space="preserve"> </w:t>
      </w:r>
      <w:r>
        <w:rPr>
          <w:i/>
          <w:iCs/>
        </w:rPr>
        <w:t xml:space="preserve">Nature Computational Science</w:t>
      </w:r>
      <w:r>
        <w:t xml:space="preserve">, Vol. 2, pp. 567–576, doi:</w:t>
      </w:r>
      <w:r>
        <w:t xml:space="preserve"> </w:t>
      </w:r>
      <w:hyperlink r:id="rId86">
        <w:r>
          <w:rPr>
            <w:rStyle w:val="Hyperlink"/>
          </w:rPr>
          <w:t xml:space="preserve">10.1038/s43588-022-00311-3</w:t>
        </w:r>
      </w:hyperlink>
      <w:r>
        <w:t xml:space="preserve">.</w:t>
      </w:r>
    </w:p>
    <w:bookmarkEnd w:id="87"/>
    <w:bookmarkStart w:id="89" w:name="ref-coecke2010"/>
    <w:p>
      <w:pPr>
        <w:pStyle w:val="Bibliography"/>
        <w:spacing w:line="360" w:lineRule="auto" w:before="0" w:after="120"/>
        <w:ind w:left="340" w:hanging="340"/>
        <w:jc w:val="both"/>
      </w:pPr>
      <w:r>
        <w:t xml:space="preserve">Coecke, B., Sadrzadeh, M. and Clark, S. (2010),</w:t>
      </w:r>
      <w:r>
        <w:t xml:space="preserve"> </w:t>
      </w:r>
      <w:r>
        <w:t xml:space="preserve">“</w:t>
      </w:r>
      <w:hyperlink r:id="rId88">
        <w:r>
          <w:rPr>
            <w:rStyle w:val="Hyperlink"/>
          </w:rPr>
          <w:t xml:space="preserve">Mathematical foundations for a compositional distributional model of meaning</w:t>
        </w:r>
      </w:hyperlink>
      <w:r>
        <w:t xml:space="preserve">”</w:t>
      </w:r>
      <w:r>
        <w:t xml:space="preserve">,</w:t>
      </w:r>
      <w:r>
        <w:t xml:space="preserve"> </w:t>
      </w:r>
      <w:r>
        <w:rPr>
          <w:i/>
          <w:iCs/>
        </w:rPr>
        <w:t xml:space="preserve">Linguistic Analysis</w:t>
      </w:r>
      <w:r>
        <w:t xml:space="preserve">, Vol. 36, pp. 345–384.</w:t>
      </w:r>
    </w:p>
    <w:bookmarkEnd w:id="89"/>
    <w:bookmarkStart w:id="90" w:name="ref-devlin2019bert"/>
    <w:p>
      <w:pPr>
        <w:pStyle w:val="Bibliography"/>
        <w:spacing w:line="360" w:lineRule="auto" w:before="0" w:after="120"/>
        <w:ind w:left="340" w:hanging="340"/>
        <w:jc w:val="both"/>
      </w:pPr>
      <w:r>
        <w:t xml:space="preserve">Devlin, J., Chang, M.-W., Lee, K. and Toutanova, K. (2019),</w:t>
      </w:r>
      <w:r>
        <w:t xml:space="preserve"> </w:t>
      </w:r>
      <w:r>
        <w:t xml:space="preserve">“</w:t>
      </w:r>
      <w:r>
        <w:t xml:space="preserve">BERT</w:t>
      </w:r>
      <w:r>
        <w:t xml:space="preserve">: Pre-training of deep bidirectional transformers for language understanding”</w:t>
      </w:r>
      <w:r>
        <w:t xml:space="preserve">,</w:t>
      </w:r>
      <w:r>
        <w:t xml:space="preserve"> </w:t>
      </w:r>
      <w:r>
        <w:rPr>
          <w:i/>
          <w:iCs/>
        </w:rPr>
        <w:t xml:space="preserve">Proceedings of NAACL-HLT</w:t>
      </w:r>
      <w:r>
        <w:t xml:space="preserve">, pp. 4171–4186.</w:t>
      </w:r>
    </w:p>
    <w:bookmarkEnd w:id="90"/>
    <w:bookmarkStart w:id="92" w:name="ref-havlicek2019"/>
    <w:p>
      <w:pPr>
        <w:pStyle w:val="Bibliography"/>
        <w:spacing w:line="360" w:lineRule="auto" w:before="0" w:after="120"/>
        <w:ind w:left="340" w:hanging="340"/>
        <w:jc w:val="both"/>
      </w:pPr>
      <w:r>
        <w:t xml:space="preserve">Havlı́ček, V., Córcoles, A.D., Temme, K., Harrow, A.W., Kandala, A., Chow, J.M. and Gambetta, J.M. (2019),</w:t>
      </w:r>
      <w:r>
        <w:t xml:space="preserve"> </w:t>
      </w:r>
      <w:r>
        <w:t xml:space="preserve">“Supervised learning with quantum-enhanced feature spaces”</w:t>
      </w:r>
      <w:r>
        <w:t xml:space="preserve">,</w:t>
      </w:r>
      <w:r>
        <w:t xml:space="preserve"> </w:t>
      </w:r>
      <w:r>
        <w:rPr>
          <w:i/>
          <w:iCs/>
        </w:rPr>
        <w:t xml:space="preserve">Nature</w:t>
      </w:r>
      <w:r>
        <w:t xml:space="preserve">, Vol. 567 No. 7747, pp. 209–212, doi:</w:t>
      </w:r>
      <w:r>
        <w:t xml:space="preserve"> </w:t>
      </w:r>
      <w:hyperlink r:id="rId91">
        <w:r>
          <w:rPr>
            <w:rStyle w:val="Hyperlink"/>
          </w:rPr>
          <w:t xml:space="preserve">10.1038/s41586-019-0980-2</w:t>
        </w:r>
      </w:hyperlink>
      <w:r>
        <w:t xml:space="preserve">.</w:t>
      </w:r>
    </w:p>
    <w:bookmarkEnd w:id="92"/>
    <w:bookmarkStart w:id="93" w:name="ref-hochreiter1997"/>
    <w:p>
      <w:pPr>
        <w:pStyle w:val="Bibliography"/>
        <w:spacing w:line="360" w:lineRule="auto" w:before="0" w:after="120"/>
        <w:ind w:left="340" w:hanging="340"/>
        <w:jc w:val="both"/>
      </w:pPr>
      <w:r>
        <w:t xml:space="preserve">Hochreiter, S. and Schmidhuber, J. (1997),</w:t>
      </w:r>
      <w:r>
        <w:t xml:space="preserve"> </w:t>
      </w:r>
      <w:r>
        <w:t xml:space="preserve">“Long short-term memory”</w:t>
      </w:r>
      <w:r>
        <w:t xml:space="preserve">,</w:t>
      </w:r>
      <w:r>
        <w:t xml:space="preserve"> </w:t>
      </w:r>
      <w:r>
        <w:rPr>
          <w:i/>
          <w:iCs/>
        </w:rPr>
        <w:t xml:space="preserve">Neural Computation</w:t>
      </w:r>
      <w:r>
        <w:t xml:space="preserve">, Vol. 9 No. 8, pp. 1735–1780.</w:t>
      </w:r>
    </w:p>
    <w:bookmarkEnd w:id="93"/>
    <w:bookmarkStart w:id="95" w:name="ref-kartsaklis2021"/>
    <w:p>
      <w:pPr>
        <w:pStyle w:val="Bibliography"/>
        <w:spacing w:line="360" w:lineRule="auto" w:before="0" w:after="120"/>
        <w:ind w:left="340" w:hanging="340"/>
        <w:jc w:val="both"/>
      </w:pPr>
      <w:r>
        <w:t xml:space="preserve">Kartsaklis, D., Fan, I., Yeung, R., Pearson, A., Lorenz, R., Toumi, A., Felice, G. de,</w:t>
      </w:r>
      <w:r>
        <w:t xml:space="preserve"> </w:t>
      </w:r>
      <w:r>
        <w:rPr>
          <w:i/>
          <w:iCs/>
        </w:rPr>
        <w:t xml:space="preserve">et al.</w:t>
      </w:r>
      <w:r>
        <w:t xml:space="preserve"> (2021),</w:t>
      </w:r>
      <w:r>
        <w:t xml:space="preserve"> </w:t>
      </w:r>
      <w:r>
        <w:t xml:space="preserve">“</w:t>
      </w:r>
      <w:hyperlink r:id="rId94">
        <w:r>
          <w:rPr>
            <w:rStyle w:val="Hyperlink"/>
          </w:rPr>
          <w:t xml:space="preserve">Lambeq: An efficient high-level python library for quantum NLP</w:t>
        </w:r>
      </w:hyperlink>
      <w:r>
        <w:t xml:space="preserve">”</w:t>
      </w:r>
      <w:r>
        <w:t xml:space="preserve">,</w:t>
      </w:r>
      <w:r>
        <w:t xml:space="preserve"> </w:t>
      </w:r>
      <w:r>
        <w:rPr>
          <w:i/>
          <w:iCs/>
        </w:rPr>
        <w:t xml:space="preserve">arXiv Preprint arXiv:2110.04236</w:t>
      </w:r>
      <w:r>
        <w:t xml:space="preserve">.</w:t>
      </w:r>
    </w:p>
    <w:bookmarkEnd w:id="95"/>
    <w:bookmarkStart w:id="96" w:name="ref-kingma2015adam"/>
    <w:p>
      <w:pPr>
        <w:pStyle w:val="Bibliography"/>
        <w:spacing w:line="360" w:lineRule="auto" w:before="0" w:after="120"/>
        <w:ind w:left="340" w:hanging="340"/>
        <w:jc w:val="both"/>
      </w:pPr>
      <w:r>
        <w:t xml:space="preserve">Kingma, D.P. and Ba, J. (2015),</w:t>
      </w:r>
      <w:r>
        <w:t xml:space="preserve"> </w:t>
      </w:r>
      <w:r>
        <w:t xml:space="preserve">“</w:t>
      </w:r>
      <w:r>
        <w:t xml:space="preserve">Adam</w:t>
      </w:r>
      <w:r>
        <w:t xml:space="preserve">: A method for stochastic optimization”</w:t>
      </w:r>
      <w:r>
        <w:t xml:space="preserve">,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</w:p>
    <w:bookmarkEnd w:id="96"/>
    <w:bookmarkStart w:id="97" w:name="ref-lambek1958"/>
    <w:p>
      <w:pPr>
        <w:pStyle w:val="Bibliography"/>
        <w:spacing w:line="360" w:lineRule="auto" w:before="0" w:after="120"/>
        <w:ind w:left="340" w:hanging="340"/>
        <w:jc w:val="both"/>
      </w:pPr>
      <w:r>
        <w:t xml:space="preserve">Lambek, J. (1958),</w:t>
      </w:r>
      <w:r>
        <w:t xml:space="preserve"> </w:t>
      </w:r>
      <w:r>
        <w:t xml:space="preserve">“The mathematics of sentence structure”</w:t>
      </w:r>
      <w:r>
        <w:t xml:space="preserve">,</w:t>
      </w:r>
      <w:r>
        <w:t xml:space="preserve"> </w:t>
      </w:r>
      <w:r>
        <w:rPr>
          <w:i/>
          <w:iCs/>
        </w:rPr>
        <w:t xml:space="preserve">The American Mathematical Monthly</w:t>
      </w:r>
      <w:r>
        <w:t xml:space="preserve">, Vol. 65 No. 3, pp. 154–170.</w:t>
      </w:r>
    </w:p>
    <w:bookmarkEnd w:id="97"/>
    <w:bookmarkStart w:id="99" w:name="ref-larocca2025"/>
    <w:p>
      <w:pPr>
        <w:pStyle w:val="Bibliography"/>
        <w:spacing w:line="360" w:lineRule="auto" w:before="0" w:after="120"/>
        <w:ind w:left="340" w:hanging="340"/>
        <w:jc w:val="both"/>
      </w:pPr>
      <w:r>
        <w:t xml:space="preserve">Larocca, M., Thanasilp, S., Wang, S., Sharma, K., Biamonte, J., Coles, P.J., Cincio, L.,</w:t>
      </w:r>
      <w:r>
        <w:t xml:space="preserve"> </w:t>
      </w:r>
      <w:r>
        <w:rPr>
          <w:i/>
          <w:iCs/>
        </w:rPr>
        <w:t xml:space="preserve">et al.</w:t>
      </w:r>
      <w:r>
        <w:t xml:space="preserve"> (2025),</w:t>
      </w:r>
      <w:r>
        <w:t xml:space="preserve"> </w:t>
      </w:r>
      <w:r>
        <w:t xml:space="preserve">“Barren plateaus in variational quantum computing”</w:t>
      </w:r>
      <w:r>
        <w:t xml:space="preserve">,</w:t>
      </w:r>
      <w:r>
        <w:t xml:space="preserve"> </w:t>
      </w:r>
      <w:r>
        <w:rPr>
          <w:i/>
          <w:iCs/>
        </w:rPr>
        <w:t xml:space="preserve">Nature Reviews Physics</w:t>
      </w:r>
      <w:r>
        <w:t xml:space="preserve">, Vol. 7, pp. 174–189, doi:</w:t>
      </w:r>
      <w:r>
        <w:t xml:space="preserve"> </w:t>
      </w:r>
      <w:hyperlink r:id="rId98">
        <w:r>
          <w:rPr>
            <w:rStyle w:val="Hyperlink"/>
          </w:rPr>
          <w:t xml:space="preserve">10.1038/s42254-025-00813-9</w:t>
        </w:r>
      </w:hyperlink>
      <w:r>
        <w:t xml:space="preserve">.</w:t>
      </w:r>
    </w:p>
    <w:bookmarkEnd w:id="99"/>
    <w:bookmarkStart w:id="101" w:name="ref-lorenz2021"/>
    <w:p>
      <w:pPr>
        <w:pStyle w:val="Bibliography"/>
        <w:spacing w:line="360" w:lineRule="auto" w:before="0" w:after="120"/>
        <w:ind w:left="340" w:hanging="340"/>
        <w:jc w:val="both"/>
      </w:pPr>
      <w:r>
        <w:t xml:space="preserve">Lorenz, R., Pearson, A., Meichanetzidis, K., Kartsaklis, D. and Coecke, B. (2023),</w:t>
      </w:r>
      <w:r>
        <w:t xml:space="preserve"> </w:t>
      </w:r>
      <w:r>
        <w:t xml:space="preserve">“</w:t>
      </w:r>
      <w:r>
        <w:t xml:space="preserve">QNLP</w:t>
      </w:r>
      <w:r>
        <w:t xml:space="preserve"> </w:t>
      </w:r>
      <w:r>
        <w:t xml:space="preserve">in practice: Running compositional models of meaning on a quantum computer”</w:t>
      </w:r>
      <w:r>
        <w:t xml:space="preserve">,</w:t>
      </w:r>
      <w:r>
        <w:t xml:space="preserve"> </w:t>
      </w:r>
      <w:r>
        <w:rPr>
          <w:i/>
          <w:iCs/>
        </w:rPr>
        <w:t xml:space="preserve">Journal of Artificial Intelligence Research</w:t>
      </w:r>
      <w:r>
        <w:t xml:space="preserve">, Vol. 76, pp. 1305–1342, doi:</w:t>
      </w:r>
      <w:r>
        <w:t xml:space="preserve"> </w:t>
      </w:r>
      <w:hyperlink r:id="rId100">
        <w:r>
          <w:rPr>
            <w:rStyle w:val="Hyperlink"/>
          </w:rPr>
          <w:t xml:space="preserve">10.1613/jair.1.14329</w:t>
        </w:r>
      </w:hyperlink>
      <w:r>
        <w:t xml:space="preserve">.</w:t>
      </w:r>
    </w:p>
    <w:bookmarkEnd w:id="101"/>
    <w:bookmarkStart w:id="103" w:name="ref-mcclean2018"/>
    <w:p>
      <w:pPr>
        <w:pStyle w:val="Bibliography"/>
        <w:spacing w:line="360" w:lineRule="auto" w:before="0" w:after="120"/>
        <w:ind w:left="340" w:hanging="340"/>
        <w:jc w:val="both"/>
      </w:pPr>
      <w:r>
        <w:t xml:space="preserve">McClean, J.R., Boixo, S., Smelyanskiy, V.N., Babbush, R. and Neven, H. (2018),</w:t>
      </w:r>
      <w:r>
        <w:t xml:space="preserve"> </w:t>
      </w:r>
      <w:r>
        <w:t xml:space="preserve">“Barren plateaus in quantum neural network training landscapes”</w:t>
      </w:r>
      <w:r>
        <w:t xml:space="preserve">,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, Vol. 9 No. 1, p. 4812, doi:</w:t>
      </w:r>
      <w:r>
        <w:t xml:space="preserve"> </w:t>
      </w:r>
      <w:hyperlink r:id="rId102">
        <w:r>
          <w:rPr>
            <w:rStyle w:val="Hyperlink"/>
          </w:rPr>
          <w:t xml:space="preserve">10.1038/s41467-018-07090-4</w:t>
        </w:r>
      </w:hyperlink>
      <w:r>
        <w:t xml:space="preserve">.</w:t>
      </w:r>
    </w:p>
    <w:bookmarkEnd w:id="103"/>
    <w:bookmarkStart w:id="104" w:name="ref-mcnemar1947"/>
    <w:p>
      <w:pPr>
        <w:pStyle w:val="Bibliography"/>
        <w:spacing w:line="360" w:lineRule="auto" w:before="0" w:after="120"/>
        <w:ind w:left="340" w:hanging="340"/>
        <w:jc w:val="both"/>
      </w:pPr>
      <w:r>
        <w:t xml:space="preserve">McNemar, Q. (1947),</w:t>
      </w:r>
      <w:r>
        <w:t xml:space="preserve"> </w:t>
      </w:r>
      <w:r>
        <w:t xml:space="preserve">“Note on the sampling error of the difference between correlated proportions or percentages”</w:t>
      </w:r>
      <w:r>
        <w:t xml:space="preserve">,</w:t>
      </w:r>
      <w:r>
        <w:t xml:space="preserve"> </w:t>
      </w:r>
      <w:r>
        <w:rPr>
          <w:i/>
          <w:iCs/>
        </w:rPr>
        <w:t xml:space="preserve">Psychometrika</w:t>
      </w:r>
      <w:r>
        <w:t xml:space="preserve">, Vol. 12 No. 2, pp. 153–157.</w:t>
      </w:r>
    </w:p>
    <w:bookmarkEnd w:id="104"/>
    <w:bookmarkStart w:id="106" w:name="ref-meichanetzidis2020"/>
    <w:p>
      <w:pPr>
        <w:pStyle w:val="Bibliography"/>
        <w:spacing w:line="360" w:lineRule="auto" w:before="0" w:after="120"/>
        <w:ind w:left="340" w:hanging="340"/>
        <w:jc w:val="both"/>
      </w:pPr>
      <w:r>
        <w:t xml:space="preserve">Meichanetzidis, K., Gogioso, S., Felice, G. de, Chiappori, N., Toumi, A. and Coecke, B. (2020),</w:t>
      </w:r>
      <w:r>
        <w:t xml:space="preserve"> </w:t>
      </w:r>
      <w:r>
        <w:t xml:space="preserve">“</w:t>
      </w:r>
      <w:hyperlink r:id="rId105">
        <w:r>
          <w:rPr>
            <w:rStyle w:val="Hyperlink"/>
          </w:rPr>
          <w:t xml:space="preserve">Quantum natural language processing on near-term quantum computers</w:t>
        </w:r>
      </w:hyperlink>
      <w:r>
        <w:t xml:space="preserve">”</w:t>
      </w:r>
      <w:r>
        <w:t xml:space="preserve">,</w:t>
      </w:r>
      <w:r>
        <w:t xml:space="preserve"> </w:t>
      </w:r>
      <w:r>
        <w:rPr>
          <w:i/>
          <w:iCs/>
        </w:rPr>
        <w:t xml:space="preserve">arXiv Preprint arXiv:2005.04147</w:t>
      </w:r>
      <w:r>
        <w:t xml:space="preserve">.</w:t>
      </w:r>
    </w:p>
    <w:bookmarkEnd w:id="106"/>
    <w:bookmarkStart w:id="107" w:name="ref-mikolov2013"/>
    <w:p>
      <w:pPr>
        <w:pStyle w:val="Bibliography"/>
        <w:spacing w:line="360" w:lineRule="auto" w:before="0" w:after="120"/>
        <w:ind w:left="340" w:hanging="340"/>
        <w:jc w:val="both"/>
      </w:pPr>
      <w:r>
        <w:t xml:space="preserve">Mikolov, T., Sutskever, I., Chen, K., Corrado, G.S. and Dean, J. (2013),</w:t>
      </w:r>
      <w:r>
        <w:t xml:space="preserve"> </w:t>
      </w:r>
      <w:r>
        <w:t xml:space="preserve">“Distributed representations of words and phrases and their compositionality”</w:t>
      </w:r>
      <w:r>
        <w:t xml:space="preserve">,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pp. 3111–3119.</w:t>
      </w:r>
    </w:p>
    <w:bookmarkEnd w:id="107"/>
    <w:bookmarkStart w:id="109" w:name="ref-mitarai2018"/>
    <w:p>
      <w:pPr>
        <w:pStyle w:val="Bibliography"/>
        <w:spacing w:line="360" w:lineRule="auto" w:before="0" w:after="120"/>
        <w:ind w:left="340" w:hanging="340"/>
        <w:jc w:val="both"/>
      </w:pPr>
      <w:r>
        <w:t xml:space="preserve">Mitarai, K., Negoro, M., Kitagawa, M. and Fujii, K. (2018),</w:t>
      </w:r>
      <w:r>
        <w:t xml:space="preserve"> </w:t>
      </w:r>
      <w:r>
        <w:t xml:space="preserve">“Quantum circuit learning”</w:t>
      </w:r>
      <w:r>
        <w:t xml:space="preserve">,</w:t>
      </w:r>
      <w:r>
        <w:t xml:space="preserve"> </w:t>
      </w:r>
      <w:r>
        <w:rPr>
          <w:i/>
          <w:iCs/>
        </w:rPr>
        <w:t xml:space="preserve">Physical Review A</w:t>
      </w:r>
      <w:r>
        <w:t xml:space="preserve">, Vol. 98 No. 3, p. 032309, doi:</w:t>
      </w:r>
      <w:r>
        <w:t xml:space="preserve"> </w:t>
      </w:r>
      <w:hyperlink r:id="rId108">
        <w:r>
          <w:rPr>
            <w:rStyle w:val="Hyperlink"/>
          </w:rPr>
          <w:t xml:space="preserve">10.1103/PhysRevA.98.032309</w:t>
        </w:r>
      </w:hyperlink>
      <w:r>
        <w:t xml:space="preserve">.</w:t>
      </w:r>
    </w:p>
    <w:bookmarkEnd w:id="109"/>
    <w:bookmarkStart w:id="110" w:name="ref-scikit2011"/>
    <w:p>
      <w:pPr>
        <w:pStyle w:val="Bibliography"/>
        <w:spacing w:line="360" w:lineRule="auto" w:before="0" w:after="120"/>
        <w:ind w:left="340" w:hanging="340"/>
        <w:jc w:val="both"/>
      </w:pPr>
      <w:r>
        <w:t xml:space="preserve">Pedregosa, F., Varoquaux, G., Gramfort, A., Michel, V., Thirion, B., Grisel, O., Blondel, M.,</w:t>
      </w:r>
      <w:r>
        <w:t xml:space="preserve"> </w:t>
      </w:r>
      <w:r>
        <w:rPr>
          <w:i/>
          <w:iCs/>
        </w:rPr>
        <w:t xml:space="preserve">et al.</w:t>
      </w:r>
      <w:r>
        <w:t xml:space="preserve"> (2011),</w:t>
      </w:r>
      <w:r>
        <w:t xml:space="preserve"> </w:t>
      </w:r>
      <w:r>
        <w:t xml:space="preserve">“Scikit-learn: Machine learning in</w:t>
      </w:r>
      <w:r>
        <w:t xml:space="preserve"> </w:t>
      </w:r>
      <w:r>
        <w:t xml:space="preserve">P</w:t>
      </w:r>
      <w:r>
        <w:t xml:space="preserve">ython”</w:t>
      </w:r>
      <w:r>
        <w:t xml:space="preserve">,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12, pp. 2825–2830.</w:t>
      </w:r>
    </w:p>
    <w:bookmarkEnd w:id="110"/>
    <w:bookmarkStart w:id="111" w:name="ref-pennington2014"/>
    <w:p>
      <w:pPr>
        <w:pStyle w:val="Bibliography"/>
        <w:spacing w:line="360" w:lineRule="auto" w:before="0" w:after="120"/>
        <w:ind w:left="340" w:hanging="340"/>
        <w:jc w:val="both"/>
      </w:pPr>
      <w:r>
        <w:t xml:space="preserve">Pennington, J., Socher, R. and Manning, C.D. (2014),</w:t>
      </w:r>
      <w:r>
        <w:t xml:space="preserve"> </w:t>
      </w:r>
      <w:r>
        <w:t xml:space="preserve">“</w:t>
      </w:r>
      <w:r>
        <w:t xml:space="preserve">GloVe</w:t>
      </w:r>
      <w:r>
        <w:t xml:space="preserve">: Global vectors for word representation”</w:t>
      </w:r>
      <w:r>
        <w:t xml:space="preserve">,</w:t>
      </w:r>
      <w:r>
        <w:t xml:space="preserve"> </w:t>
      </w:r>
      <w:r>
        <w:rPr>
          <w:i/>
          <w:iCs/>
        </w:rPr>
        <w:t xml:space="preserve">Proceedings of the 2014 Conference on Empirical Methods in Natural Language Processing (EMNLP)</w:t>
      </w:r>
      <w:r>
        <w:t xml:space="preserve">, pp. 1532–1543.</w:t>
      </w:r>
    </w:p>
    <w:bookmarkEnd w:id="111"/>
    <w:bookmarkStart w:id="113" w:name="ref-ragone2024"/>
    <w:p>
      <w:pPr>
        <w:pStyle w:val="Bibliography"/>
        <w:spacing w:line="360" w:lineRule="auto" w:before="0" w:after="120"/>
        <w:ind w:left="340" w:hanging="340"/>
        <w:jc w:val="both"/>
      </w:pPr>
      <w:r>
        <w:t xml:space="preserve">Ragone, M., Bakalov, B.N., Sauvage, F., Kemper, A.F., Ortiz Marrero, C., Larocca, M. and Cerezo, M. (2024),</w:t>
      </w:r>
      <w:r>
        <w:t xml:space="preserve"> </w:t>
      </w:r>
      <w:r>
        <w:t xml:space="preserve">“A</w:t>
      </w:r>
      <w:r>
        <w:t xml:space="preserve"> </w:t>
      </w:r>
      <w:r>
        <w:t xml:space="preserve">L</w:t>
      </w:r>
      <w:r>
        <w:t xml:space="preserve">ie algebraic theory of barren plateaus for deep parameterized quantum circuits”</w:t>
      </w:r>
      <w:r>
        <w:t xml:space="preserve">,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, Vol. 15 No. 1, p. 7172, doi:</w:t>
      </w:r>
      <w:r>
        <w:t xml:space="preserve"> </w:t>
      </w:r>
      <w:hyperlink r:id="rId112">
        <w:r>
          <w:rPr>
            <w:rStyle w:val="Hyperlink"/>
          </w:rPr>
          <w:t xml:space="preserve">10.1038/s41467-024-49909-3</w:t>
        </w:r>
      </w:hyperlink>
      <w:r>
        <w:t xml:space="preserve">.</w:t>
      </w:r>
    </w:p>
    <w:bookmarkEnd w:id="113"/>
    <w:bookmarkStart w:id="115" w:name="ref-schuld2019"/>
    <w:p>
      <w:pPr>
        <w:pStyle w:val="Bibliography"/>
        <w:spacing w:line="360" w:lineRule="auto" w:before="0" w:after="120"/>
        <w:ind w:left="340" w:hanging="340"/>
        <w:jc w:val="both"/>
      </w:pPr>
      <w:r>
        <w:t xml:space="preserve">Schuld, M. and Killoran, N. (2019),</w:t>
      </w:r>
      <w:r>
        <w:t xml:space="preserve"> </w:t>
      </w:r>
      <w:r>
        <w:t xml:space="preserve">“Quantum machine learning in feature</w:t>
      </w:r>
      <w:r>
        <w:t xml:space="preserve"> </w:t>
      </w:r>
      <w:r>
        <w:t xml:space="preserve">H</w:t>
      </w:r>
      <w:r>
        <w:t xml:space="preserve">ilbert spaces”</w:t>
      </w:r>
      <w:r>
        <w:t xml:space="preserve">,</w:t>
      </w:r>
      <w:r>
        <w:t xml:space="preserve"> </w:t>
      </w:r>
      <w:r>
        <w:rPr>
          <w:i/>
          <w:iCs/>
        </w:rPr>
        <w:t xml:space="preserve">Physical Review Letters</w:t>
      </w:r>
      <w:r>
        <w:t xml:space="preserve">, Vol. 122 No. 4, p. 040504, doi:</w:t>
      </w:r>
      <w:r>
        <w:t xml:space="preserve"> </w:t>
      </w:r>
      <w:hyperlink r:id="rId114">
        <w:r>
          <w:rPr>
            <w:rStyle w:val="Hyperlink"/>
          </w:rPr>
          <w:t xml:space="preserve">10.1103/PhysRevLett.122.040504</w:t>
        </w:r>
      </w:hyperlink>
      <w:r>
        <w:t xml:space="preserve">.</w:t>
      </w:r>
    </w:p>
    <w:bookmarkEnd w:id="115"/>
    <w:bookmarkStart w:id="117" w:name="ref-schuld2022advantage"/>
    <w:p>
      <w:pPr>
        <w:pStyle w:val="Bibliography"/>
        <w:spacing w:line="360" w:lineRule="auto" w:before="0" w:after="120"/>
        <w:ind w:left="340" w:hanging="340"/>
        <w:jc w:val="both"/>
      </w:pPr>
      <w:r>
        <w:t xml:space="preserve">Schuld, M. and Killoran, N. (2022),</w:t>
      </w:r>
      <w:r>
        <w:t xml:space="preserve"> </w:t>
      </w:r>
      <w:r>
        <w:t xml:space="preserve">“Is quantum advantage the right goal for quantum machine learning?”</w:t>
      </w:r>
      <w:r>
        <w:t xml:space="preserve">,</w:t>
      </w:r>
      <w:r>
        <w:t xml:space="preserve"> </w:t>
      </w:r>
      <w:r>
        <w:rPr>
          <w:i/>
          <w:iCs/>
        </w:rPr>
        <w:t xml:space="preserve">PRX</w:t>
      </w:r>
      <w:r>
        <w:rPr>
          <w:i/>
          <w:iCs/>
        </w:rPr>
        <w:t xml:space="preserve"> </w:t>
      </w:r>
      <w:r>
        <w:rPr>
          <w:i/>
          <w:iCs/>
        </w:rPr>
        <w:t xml:space="preserve">Quantum</w:t>
      </w:r>
      <w:r>
        <w:t xml:space="preserve">, Vol. 3 No. 3, p. 030101, doi:</w:t>
      </w:r>
      <w:r>
        <w:t xml:space="preserve"> </w:t>
      </w:r>
      <w:hyperlink r:id="rId116">
        <w:r>
          <w:rPr>
            <w:rStyle w:val="Hyperlink"/>
          </w:rPr>
          <w:t xml:space="preserve">10.1103/PRXQuantum.3.030101</w:t>
        </w:r>
      </w:hyperlink>
      <w:r>
        <w:t xml:space="preserve">.</w:t>
      </w:r>
    </w:p>
    <w:bookmarkEnd w:id="117"/>
    <w:bookmarkStart w:id="119" w:name="ref-sim2019"/>
    <w:p>
      <w:pPr>
        <w:pStyle w:val="Bibliography"/>
        <w:spacing w:line="360" w:lineRule="auto" w:before="0" w:after="120"/>
        <w:ind w:left="340" w:hanging="340"/>
        <w:jc w:val="both"/>
      </w:pPr>
      <w:r>
        <w:t xml:space="preserve">Sim, S., Johnson, P.D. and Aspuru-Guzik, A. (2019),</w:t>
      </w:r>
      <w:r>
        <w:t xml:space="preserve"> </w:t>
      </w:r>
      <w:r>
        <w:t xml:space="preserve">“Expressibility and entangling capability of parameterized quantum circuits for hybrid quantum-classical algorithms”</w:t>
      </w:r>
      <w:r>
        <w:t xml:space="preserve">,</w:t>
      </w:r>
      <w:r>
        <w:t xml:space="preserve"> </w:t>
      </w:r>
      <w:r>
        <w:rPr>
          <w:i/>
          <w:iCs/>
        </w:rPr>
        <w:t xml:space="preserve">Advanced Quantum Technologies</w:t>
      </w:r>
      <w:r>
        <w:t xml:space="preserve">, Vol. 2 No. 12, p. 1900070, doi:</w:t>
      </w:r>
      <w:r>
        <w:t xml:space="preserve"> </w:t>
      </w:r>
      <w:hyperlink r:id="rId118">
        <w:r>
          <w:rPr>
            <w:rStyle w:val="Hyperlink"/>
          </w:rPr>
          <w:t xml:space="preserve">10.1002/qute.201900070</w:t>
        </w:r>
      </w:hyperlink>
      <w:r>
        <w:t xml:space="preserve">.</w:t>
      </w:r>
    </w:p>
    <w:bookmarkEnd w:id="119"/>
    <w:bookmarkStart w:id="121" w:name="ref-socher2013"/>
    <w:p>
      <w:pPr>
        <w:pStyle w:val="Bibliography"/>
        <w:spacing w:line="360" w:lineRule="auto" w:before="0" w:after="120"/>
        <w:ind w:left="340" w:hanging="340"/>
        <w:jc w:val="both"/>
      </w:pPr>
      <w:r>
        <w:t xml:space="preserve">Socher, R., Perelygin, A., Wu, J., Chuang, J., Manning, C.D., Ng, A. and Potts, C. (2013),</w:t>
      </w:r>
      <w:r>
        <w:t xml:space="preserve"> </w:t>
      </w:r>
      <w:r>
        <w:t xml:space="preserve">“</w:t>
      </w:r>
      <w:hyperlink r:id="rId120">
        <w:r>
          <w:rPr>
            <w:rStyle w:val="Hyperlink"/>
          </w:rPr>
          <w:t xml:space="preserve">Recursive deep models for semantic compositionality over a sentiment treebank</w:t>
        </w:r>
      </w:hyperlink>
      <w:r>
        <w:t xml:space="preserve">”</w:t>
      </w:r>
      <w:r>
        <w:t xml:space="preserve">,</w:t>
      </w:r>
      <w:r>
        <w:t xml:space="preserve"> </w:t>
      </w:r>
      <w:r>
        <w:rPr>
          <w:i/>
          <w:iCs/>
        </w:rPr>
        <w:t xml:space="preserve">Proceedings of the 2013 Conference on Empirical Methods in Natural Language Processing (EMNLP)</w:t>
      </w:r>
      <w:r>
        <w:t xml:space="preserve">, pp. 1631–1642.</w:t>
      </w:r>
    </w:p>
    <w:bookmarkEnd w:id="121"/>
    <w:bookmarkStart w:id="122" w:name="ref-wang2018glue"/>
    <w:p>
      <w:pPr>
        <w:pStyle w:val="Bibliography"/>
        <w:spacing w:line="360" w:lineRule="auto" w:before="0" w:after="120"/>
        <w:ind w:left="340" w:hanging="340"/>
        <w:jc w:val="both"/>
      </w:pPr>
      <w:r>
        <w:t xml:space="preserve">Wang, A., Singh, A., Michael, J., Hill, F., Levy, O. and Bowman, S.R. (2018),</w:t>
      </w:r>
      <w:r>
        <w:t xml:space="preserve"> </w:t>
      </w:r>
      <w:r>
        <w:t xml:space="preserve">“</w:t>
      </w:r>
      <w:r>
        <w:t xml:space="preserve">GLUE</w:t>
      </w:r>
      <w:r>
        <w:t xml:space="preserve">: A multi-task benchmark and analysis platform for natural language understanding”</w:t>
      </w:r>
      <w:r>
        <w:t xml:space="preserve">,</w:t>
      </w:r>
      <w:r>
        <w:t xml:space="preserve"> </w:t>
      </w:r>
      <w:r>
        <w:rPr>
          <w:i/>
          <w:iCs/>
        </w:rPr>
        <w:t xml:space="preserve">Proceedings of the 2018 EMNLP Workshop BlackboxNLP</w:t>
      </w:r>
      <w:r>
        <w:t xml:space="preserve">, pp. 353–355.</w:t>
      </w:r>
    </w:p>
    <w:bookmarkEnd w:id="122"/>
    <w:bookmarkStart w:id="124" w:name="ref-xu2024"/>
    <w:p>
      <w:pPr>
        <w:pStyle w:val="Bibliography"/>
        <w:spacing w:line="360" w:lineRule="auto" w:before="0" w:after="120"/>
        <w:ind w:left="340" w:hanging="340"/>
        <w:jc w:val="both"/>
      </w:pPr>
      <w:r>
        <w:t xml:space="preserve">Xu, W., Clark, S., Brown, D., Matos, G. and Meichanetzidis, K. (2024),</w:t>
      </w:r>
      <w:r>
        <w:t xml:space="preserve"> </w:t>
      </w:r>
      <w:r>
        <w:t xml:space="preserve">“</w:t>
      </w:r>
      <w:hyperlink r:id="rId123">
        <w:r>
          <w:rPr>
            <w:rStyle w:val="Hyperlink"/>
          </w:rPr>
          <w:t xml:space="preserve">Quantum recurrent architectures for text classification</w:t>
        </w:r>
      </w:hyperlink>
      <w:r>
        <w:t xml:space="preserve">”</w:t>
      </w:r>
      <w:r>
        <w:t xml:space="preserve">,</w:t>
      </w:r>
      <w:r>
        <w:t xml:space="preserve"> </w:t>
      </w:r>
      <w:r>
        <w:rPr>
          <w:i/>
          <w:iCs/>
        </w:rPr>
        <w:t xml:space="preserve">Proceedings of the 2024 Conference on Empirical Methods in Natural Language Processing</w:t>
      </w:r>
      <w:r>
        <w:t xml:space="preserve">, Association for Computational Linguistics, pp. 18020–18027.</w:t>
      </w:r>
    </w:p>
    <w:bookmarkEnd w:id="124"/>
    <w:bookmarkEnd w:id="125"/>
    <w:bookmarkEnd w:id="126"/>
    <w:bookmarkEnd w:id="127"/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31" Type="http://schemas.openxmlformats.org/officeDocument/2006/relationships/image" Target="media/rId31.png"/><Relationship Id="rId36" Type="http://schemas.openxmlformats.org/officeDocument/2006/relationships/image" Target="media/rId36.png"/><Relationship Id="rId43" Type="http://schemas.openxmlformats.org/officeDocument/2006/relationships/image" Target="media/rId43.png"/><Relationship Id="rId49" Type="http://schemas.openxmlformats.org/officeDocument/2006/relationships/image" Target="media/rId49.png"/><Relationship Id="rId54" Type="http://schemas.openxmlformats.org/officeDocument/2006/relationships/image" Target="media/rId54.png"/><Relationship Id="rId123" Type="http://schemas.openxmlformats.org/officeDocument/2006/relationships/hyperlink" Target="https://aclanthology.org/2024.emnlp-main.1000/" TargetMode="External"/><Relationship Id="rId120" Type="http://schemas.openxmlformats.org/officeDocument/2006/relationships/hyperlink" Target="https://aclanthology.org/D13-1170/" TargetMode="External"/><Relationship Id="rId88" Type="http://schemas.openxmlformats.org/officeDocument/2006/relationships/hyperlink" Target="https://arxiv.org/abs/1003.4394" TargetMode="External"/><Relationship Id="rId80" Type="http://schemas.openxmlformats.org/officeDocument/2006/relationships/hyperlink" Target="https://arxiv.org/abs/1811.04968" TargetMode="External"/><Relationship Id="rId105" Type="http://schemas.openxmlformats.org/officeDocument/2006/relationships/hyperlink" Target="https://arxiv.org/abs/2005.04147" TargetMode="External"/><Relationship Id="rId94" Type="http://schemas.openxmlformats.org/officeDocument/2006/relationships/hyperlink" Target="https://arxiv.org/abs/2110.04236" TargetMode="External"/><Relationship Id="rId118" Type="http://schemas.openxmlformats.org/officeDocument/2006/relationships/hyperlink" Target="https://doi.org/10.1002/qute.201900070" TargetMode="External"/><Relationship Id="rId82" Type="http://schemas.openxmlformats.org/officeDocument/2006/relationships/hyperlink" Target="https://doi.org/10.1007/s42484-024-00141-8" TargetMode="External"/><Relationship Id="rId102" Type="http://schemas.openxmlformats.org/officeDocument/2006/relationships/hyperlink" Target="https://doi.org/10.1038/s41467-018-07090-4" TargetMode="External"/><Relationship Id="rId112" Type="http://schemas.openxmlformats.org/officeDocument/2006/relationships/hyperlink" Target="https://doi.org/10.1038/s41467-024-49909-3" TargetMode="External"/><Relationship Id="rId91" Type="http://schemas.openxmlformats.org/officeDocument/2006/relationships/hyperlink" Target="https://doi.org/10.1038/s41586-019-0980-2" TargetMode="External"/><Relationship Id="rId84" Type="http://schemas.openxmlformats.org/officeDocument/2006/relationships/hyperlink" Target="https://doi.org/10.1038/s42254-021-00348-9" TargetMode="External"/><Relationship Id="rId98" Type="http://schemas.openxmlformats.org/officeDocument/2006/relationships/hyperlink" Target="https://doi.org/10.1038/s42254-025-00813-9" TargetMode="External"/><Relationship Id="rId86" Type="http://schemas.openxmlformats.org/officeDocument/2006/relationships/hyperlink" Target="https://doi.org/10.1038/s43588-022-00311-3" TargetMode="External"/><Relationship Id="rId116" Type="http://schemas.openxmlformats.org/officeDocument/2006/relationships/hyperlink" Target="https://doi.org/10.1103/PRXQuantum.3.030101" TargetMode="External"/><Relationship Id="rId108" Type="http://schemas.openxmlformats.org/officeDocument/2006/relationships/hyperlink" Target="https://doi.org/10.1103/PhysRevA.98.032309" TargetMode="External"/><Relationship Id="rId114" Type="http://schemas.openxmlformats.org/officeDocument/2006/relationships/hyperlink" Target="https://doi.org/10.1103/PhysRevLett.122.040504" TargetMode="External"/><Relationship Id="rId100" Type="http://schemas.openxmlformats.org/officeDocument/2006/relationships/hyperlink" Target="https://doi.org/10.1613/jair.1.14329" TargetMode="External"/><Relationship Id="rId9" Type="http://schemas.openxmlformats.org/officeDocument/2006/relationships/hyperlink" Target="https://github.com/hublinhdn/nlp_quantum_hub" TargetMode="External"/><Relationship Id="rId79" Type="http://schemas.openxmlformats.org/officeDocument/2006/relationships/hyperlink" Target="https://nlp.stanford.edu/data/glove.6B.zip" TargetMode="External"/><Relationship Id="rId77" Type="http://schemas.openxmlformats.org/officeDocument/2006/relationships/hyperlink" Target="https://nlp.stanford.edu/sentiment/" TargetMode="External"/><Relationship Id="rId78" Type="http://schemas.openxmlformats.org/officeDocument/2006/relationships/hyperlink" Target="https://nlp.stanford.edu/~socherr/stanfordSentimentTreebank.zip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https://aclanthology.org/2024.emnlp-main.1000/" TargetMode="External"/><Relationship Id="rId120" Type="http://schemas.openxmlformats.org/officeDocument/2006/relationships/hyperlink" Target="https://aclanthology.org/D13-1170/" TargetMode="External"/><Relationship Id="rId88" Type="http://schemas.openxmlformats.org/officeDocument/2006/relationships/hyperlink" Target="https://arxiv.org/abs/1003.4394" TargetMode="External"/><Relationship Id="rId80" Type="http://schemas.openxmlformats.org/officeDocument/2006/relationships/hyperlink" Target="https://arxiv.org/abs/1811.04968" TargetMode="External"/><Relationship Id="rId105" Type="http://schemas.openxmlformats.org/officeDocument/2006/relationships/hyperlink" Target="https://arxiv.org/abs/2005.04147" TargetMode="External"/><Relationship Id="rId94" Type="http://schemas.openxmlformats.org/officeDocument/2006/relationships/hyperlink" Target="https://arxiv.org/abs/2110.04236" TargetMode="External"/><Relationship Id="rId118" Type="http://schemas.openxmlformats.org/officeDocument/2006/relationships/hyperlink" Target="https://doi.org/10.1002/qute.201900070" TargetMode="External"/><Relationship Id="rId82" Type="http://schemas.openxmlformats.org/officeDocument/2006/relationships/hyperlink" Target="https://doi.org/10.1007/s42484-024-00141-8" TargetMode="External"/><Relationship Id="rId102" Type="http://schemas.openxmlformats.org/officeDocument/2006/relationships/hyperlink" Target="https://doi.org/10.1038/s41467-018-07090-4" TargetMode="External"/><Relationship Id="rId112" Type="http://schemas.openxmlformats.org/officeDocument/2006/relationships/hyperlink" Target="https://doi.org/10.1038/s41467-024-49909-3" TargetMode="External"/><Relationship Id="rId91" Type="http://schemas.openxmlformats.org/officeDocument/2006/relationships/hyperlink" Target="https://doi.org/10.1038/s41586-019-0980-2" TargetMode="External"/><Relationship Id="rId84" Type="http://schemas.openxmlformats.org/officeDocument/2006/relationships/hyperlink" Target="https://doi.org/10.1038/s42254-021-00348-9" TargetMode="External"/><Relationship Id="rId98" Type="http://schemas.openxmlformats.org/officeDocument/2006/relationships/hyperlink" Target="https://doi.org/10.1038/s42254-025-00813-9" TargetMode="External"/><Relationship Id="rId86" Type="http://schemas.openxmlformats.org/officeDocument/2006/relationships/hyperlink" Target="https://doi.org/10.1038/s43588-022-00311-3" TargetMode="External"/><Relationship Id="rId116" Type="http://schemas.openxmlformats.org/officeDocument/2006/relationships/hyperlink" Target="https://doi.org/10.1103/PRXQuantum.3.030101" TargetMode="External"/><Relationship Id="rId108" Type="http://schemas.openxmlformats.org/officeDocument/2006/relationships/hyperlink" Target="https://doi.org/10.1103/PhysRevA.98.032309" TargetMode="External"/><Relationship Id="rId114" Type="http://schemas.openxmlformats.org/officeDocument/2006/relationships/hyperlink" Target="https://doi.org/10.1103/PhysRevLett.122.040504" TargetMode="External"/><Relationship Id="rId100" Type="http://schemas.openxmlformats.org/officeDocument/2006/relationships/hyperlink" Target="https://doi.org/10.1613/jair.1.14329" TargetMode="External"/><Relationship Id="rId9" Type="http://schemas.openxmlformats.org/officeDocument/2006/relationships/hyperlink" Target="https://github.com/hublinhdn/nlp_quantum_hub" TargetMode="External"/><Relationship Id="rId79" Type="http://schemas.openxmlformats.org/officeDocument/2006/relationships/hyperlink" Target="https://nlp.stanford.edu/data/glove.6B.zip" TargetMode="External"/><Relationship Id="rId77" Type="http://schemas.openxmlformats.org/officeDocument/2006/relationships/hyperlink" Target="https://nlp.stanford.edu/sentiment/" TargetMode="External"/><Relationship Id="rId78" Type="http://schemas.openxmlformats.org/officeDocument/2006/relationships/hyperlink" Target="https://nlp.stanford.edu/~socherr/stanfordSentimentTreebank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0206030504050203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0206030504050203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2026-06-14T01:45:06Z</dcterms:created>
  <dcterms:modified xsi:type="dcterms:W3CDTF">2026-06-14T01:45:06Z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harvard-emerald.csl</vt:lpwstr>
  </property>
</Properties>
</file>