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eehtnf68fas" w:id="0"/>
      <w:bookmarkEnd w:id="0"/>
      <w:r w:rsidDel="00000000" w:rsidR="00000000" w:rsidRPr="00000000">
        <w:rPr>
          <w:rtl w:val="0"/>
        </w:rPr>
        <w:t xml:space="preserve">HuBMAP </w:t>
        <w:br w:type="textWrapping"/>
        <w:t xml:space="preserve">Assay Metadata Submission Format</w:t>
      </w:r>
    </w:p>
    <w:p w:rsidR="00000000" w:rsidDel="00000000" w:rsidP="00000000" w:rsidRDefault="00000000" w:rsidRPr="00000000" w14:paraId="00000002">
      <w:pPr>
        <w:pStyle w:val="Subtitle"/>
        <w:rPr/>
      </w:pPr>
      <w:bookmarkStart w:colFirst="0" w:colLast="0" w:name="_r0uyc5s6knmp" w:id="1"/>
      <w:bookmarkEnd w:id="1"/>
      <w:r w:rsidDel="00000000" w:rsidR="00000000" w:rsidRPr="00000000">
        <w:rPr>
          <w:rtl w:val="0"/>
        </w:rPr>
        <w:t xml:space="preserve">Draft Specification</w:t>
      </w:r>
    </w:p>
    <w:p w:rsidR="00000000" w:rsidDel="00000000" w:rsidP="00000000" w:rsidRDefault="00000000" w:rsidRPr="00000000" w14:paraId="00000003">
      <w:pPr>
        <w:rPr>
          <w:i w:val="1"/>
        </w:rPr>
      </w:pPr>
      <w:r w:rsidDel="00000000" w:rsidR="00000000" w:rsidRPr="00000000">
        <w:rPr>
          <w:i w:val="1"/>
          <w:rtl w:val="0"/>
        </w:rPr>
        <w:t xml:space="preserve">Chuck McCallum, Christine Briggs, Nils Gehlenborg</w:t>
      </w:r>
    </w:p>
    <w:p w:rsidR="00000000" w:rsidDel="00000000" w:rsidP="00000000" w:rsidRDefault="00000000" w:rsidRPr="00000000" w14:paraId="00000004">
      <w:pPr>
        <w:pStyle w:val="Heading1"/>
        <w:rPr/>
      </w:pPr>
      <w:bookmarkStart w:colFirst="0" w:colLast="0" w:name="_xktzm2txnt74" w:id="2"/>
      <w:bookmarkEnd w:id="2"/>
      <w:r w:rsidDel="00000000" w:rsidR="00000000" w:rsidRPr="00000000">
        <w:rPr>
          <w:rtl w:val="0"/>
        </w:rPr>
        <w:t xml:space="preserve">Overview</w:t>
      </w:r>
    </w:p>
    <w:p w:rsidR="00000000" w:rsidDel="00000000" w:rsidP="00000000" w:rsidRDefault="00000000" w:rsidRPr="00000000" w14:paraId="00000005">
      <w:pPr>
        <w:rPr/>
      </w:pPr>
      <w:r w:rsidDel="00000000" w:rsidR="00000000" w:rsidRPr="00000000">
        <w:rPr>
          <w:rtl w:val="0"/>
        </w:rPr>
        <w:t xml:space="preserve">The approach described below is based on this simplified model of </w:t>
      </w:r>
      <w:commentRangeStart w:id="0"/>
      <w:r w:rsidDel="00000000" w:rsidR="00000000" w:rsidRPr="00000000">
        <w:rPr>
          <w:rtl w:val="0"/>
        </w:rPr>
        <w:t xml:space="preserve">HuBMAP data entities</w:t>
      </w:r>
      <w:commentRangeEnd w:id="0"/>
      <w:r w:rsidDel="00000000" w:rsidR="00000000" w:rsidRPr="00000000">
        <w:commentReference w:id="0"/>
      </w:r>
      <w:r w:rsidDel="00000000" w:rsidR="00000000" w:rsidRPr="00000000">
        <w:rPr>
          <w:rtl w:val="0"/>
        </w:rPr>
        <w:t xml:space="preserve"> (the file icons are representing metadata files):</w:t>
      </w:r>
    </w:p>
    <w:p w:rsidR="00000000" w:rsidDel="00000000" w:rsidP="00000000" w:rsidRDefault="00000000" w:rsidRPr="00000000" w14:paraId="00000006">
      <w:pPr>
        <w:jc w:val="both"/>
        <w:rPr/>
      </w:pPr>
      <w:r w:rsidDel="00000000" w:rsidR="00000000" w:rsidRPr="00000000">
        <w:rPr/>
        <w:drawing>
          <wp:inline distB="114300" distT="114300" distL="114300" distR="114300">
            <wp:extent cx="5943600" cy="2222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Metadata for HuBMAP assays are submitted as tabular text files with the following </w:t>
      </w:r>
      <w:r w:rsidDel="00000000" w:rsidR="00000000" w:rsidRPr="00000000">
        <w:rPr>
          <w:i w:val="1"/>
          <w:rtl w:val="0"/>
        </w:rPr>
        <w:t xml:space="preserve">sections</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530"/>
        <w:gridCol w:w="1500"/>
        <w:gridCol w:w="1515"/>
        <w:gridCol w:w="1560"/>
        <w:gridCol w:w="1560"/>
        <w:tblGridChange w:id="0">
          <w:tblGrid>
            <w:gridCol w:w="1695"/>
            <w:gridCol w:w="1530"/>
            <w:gridCol w:w="1500"/>
            <w:gridCol w:w="1515"/>
            <w:gridCol w:w="1560"/>
            <w:gridCol w:w="1560"/>
          </w:tblGrid>
        </w:tblGridChange>
      </w:tblGrid>
      <w:tr>
        <w:tc>
          <w:tcPr>
            <w:shd w:fill="e69138"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16"/>
                <w:szCs w:val="16"/>
              </w:rPr>
            </w:pPr>
            <w:r w:rsidDel="00000000" w:rsidR="00000000" w:rsidRPr="00000000">
              <w:rPr>
                <w:b w:val="1"/>
                <w:color w:val="ffffff"/>
                <w:sz w:val="16"/>
                <w:szCs w:val="16"/>
                <w:rtl w:val="0"/>
              </w:rPr>
              <w:t xml:space="preserve">Tissue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16"/>
                <w:szCs w:val="16"/>
              </w:rPr>
            </w:pPr>
            <w:r w:rsidDel="00000000" w:rsidR="00000000" w:rsidRPr="00000000">
              <w:rPr>
                <w:b w:val="1"/>
                <w:color w:val="ffffff"/>
                <w:sz w:val="16"/>
                <w:szCs w:val="16"/>
                <w:rtl w:val="0"/>
              </w:rPr>
              <w:t xml:space="preserve">References</w:t>
            </w:r>
          </w:p>
        </w:tc>
        <w:tc>
          <w:tcPr>
            <w:shd w:fill="469b76"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16"/>
                <w:szCs w:val="16"/>
              </w:rPr>
            </w:pPr>
            <w:r w:rsidDel="00000000" w:rsidR="00000000" w:rsidRPr="00000000">
              <w:rPr>
                <w:b w:val="1"/>
                <w:color w:val="ffffff"/>
                <w:sz w:val="16"/>
                <w:szCs w:val="16"/>
                <w:rtl w:val="0"/>
              </w:rPr>
              <w:t xml:space="preserve">Level 1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16"/>
                <w:szCs w:val="16"/>
              </w:rPr>
            </w:pPr>
            <w:r w:rsidDel="00000000" w:rsidR="00000000" w:rsidRPr="00000000">
              <w:rPr>
                <w:b w:val="1"/>
                <w:color w:val="ffffff"/>
                <w:sz w:val="16"/>
                <w:szCs w:val="16"/>
                <w:rtl w:val="0"/>
              </w:rPr>
              <w:t xml:space="preserve">Attributes</w:t>
            </w:r>
          </w:p>
        </w:tc>
        <w:tc>
          <w:tcPr>
            <w:shd w:fill="469b76"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16"/>
                <w:szCs w:val="16"/>
              </w:rPr>
            </w:pPr>
            <w:r w:rsidDel="00000000" w:rsidR="00000000" w:rsidRPr="00000000">
              <w:rPr>
                <w:b w:val="1"/>
                <w:color w:val="ffffff"/>
                <w:sz w:val="16"/>
                <w:szCs w:val="16"/>
                <w:rtl w:val="0"/>
              </w:rPr>
              <w:t xml:space="preserve">Level 2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16"/>
                <w:szCs w:val="16"/>
              </w:rPr>
            </w:pPr>
            <w:r w:rsidDel="00000000" w:rsidR="00000000" w:rsidRPr="00000000">
              <w:rPr>
                <w:b w:val="1"/>
                <w:color w:val="ffffff"/>
                <w:sz w:val="16"/>
                <w:szCs w:val="16"/>
                <w:rtl w:val="0"/>
              </w:rPr>
              <w:t xml:space="preserve">Attributes</w:t>
            </w:r>
          </w:p>
        </w:tc>
        <w:tc>
          <w:tcPr>
            <w:shd w:fill="469b76"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16"/>
                <w:szCs w:val="16"/>
              </w:rPr>
            </w:pPr>
            <w:r w:rsidDel="00000000" w:rsidR="00000000" w:rsidRPr="00000000">
              <w:rPr>
                <w:b w:val="1"/>
                <w:color w:val="ffffff"/>
                <w:sz w:val="16"/>
                <w:szCs w:val="16"/>
                <w:rtl w:val="0"/>
              </w:rPr>
              <w:t xml:space="preserve">Level 3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16"/>
                <w:szCs w:val="16"/>
              </w:rPr>
            </w:pPr>
            <w:r w:rsidDel="00000000" w:rsidR="00000000" w:rsidRPr="00000000">
              <w:rPr>
                <w:b w:val="1"/>
                <w:color w:val="ffffff"/>
                <w:sz w:val="16"/>
                <w:szCs w:val="16"/>
                <w:rtl w:val="0"/>
              </w:rPr>
              <w:t xml:space="preserve">Attributes</w:t>
            </w:r>
          </w:p>
        </w:tc>
        <w:tc>
          <w:tcPr>
            <w:shd w:fill="469b76"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16"/>
                <w:szCs w:val="16"/>
              </w:rPr>
            </w:pPr>
            <w:r w:rsidDel="00000000" w:rsidR="00000000" w:rsidRPr="00000000">
              <w:rPr>
                <w:b w:val="1"/>
                <w:color w:val="ffffff"/>
                <w:sz w:val="16"/>
                <w:szCs w:val="16"/>
                <w:rtl w:val="0"/>
              </w:rPr>
              <w:t xml:space="preserve">Level 4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16"/>
                <w:szCs w:val="16"/>
              </w:rPr>
            </w:pPr>
            <w:r w:rsidDel="00000000" w:rsidR="00000000" w:rsidRPr="00000000">
              <w:rPr>
                <w:b w:val="1"/>
                <w:color w:val="ffffff"/>
                <w:sz w:val="16"/>
                <w:szCs w:val="16"/>
                <w:rtl w:val="0"/>
              </w:rPr>
              <w:t xml:space="preserve">Reference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16"/>
                <w:szCs w:val="16"/>
              </w:rPr>
            </w:pPr>
            <w:r w:rsidDel="00000000" w:rsidR="00000000" w:rsidRPr="00000000">
              <w:rPr>
                <w:b w:val="1"/>
                <w:color w:val="ffffff"/>
                <w:sz w:val="16"/>
                <w:szCs w:val="16"/>
                <w:rtl w:val="0"/>
              </w:rPr>
              <w:t xml:space="preserve">Output Data 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sz w:val="16"/>
                <w:szCs w:val="16"/>
              </w:rPr>
            </w:pPr>
            <w:r w:rsidDel="00000000" w:rsidR="00000000" w:rsidRPr="00000000">
              <w:rPr>
                <w:sz w:val="16"/>
                <w:szCs w:val="16"/>
                <w:rtl w:val="0"/>
              </w:rPr>
              <w:t xml:space="preserve">… </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 </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sz w:val="16"/>
                <w:szCs w:val="16"/>
              </w:rPr>
            </w:pPr>
            <w:r w:rsidDel="00000000" w:rsidR="00000000" w:rsidRPr="00000000">
              <w:rPr>
                <w:sz w:val="16"/>
                <w:szCs w:val="16"/>
                <w:rtl w:val="0"/>
              </w:rPr>
              <w:t xml:space="preserve">… </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sz w:val="16"/>
                <w:szCs w:val="16"/>
              </w:rPr>
            </w:pPr>
            <w:r w:rsidDel="00000000" w:rsidR="00000000" w:rsidRPr="00000000">
              <w:rPr>
                <w:sz w:val="16"/>
                <w:szCs w:val="16"/>
                <w:rtl w:val="0"/>
              </w:rPr>
              <w:t xml:space="preserve">… </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sz w:val="16"/>
                <w:szCs w:val="16"/>
              </w:rPr>
            </w:pPr>
            <w:r w:rsidDel="00000000" w:rsidR="00000000" w:rsidRPr="00000000">
              <w:rPr>
                <w:sz w:val="16"/>
                <w:szCs w:val="16"/>
                <w:rtl w:val="0"/>
              </w:rPr>
              <w:t xml:space="preserve">… </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16"/>
                <w:szCs w:val="16"/>
              </w:rPr>
            </w:pPr>
            <w:r w:rsidDel="00000000" w:rsidR="00000000" w:rsidRPr="00000000">
              <w:rPr>
                <w:sz w:val="16"/>
                <w:szCs w:val="16"/>
                <w:rtl w:val="0"/>
              </w:rPr>
              <w:t xml:space="preserve">… </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Sections general include </w:t>
      </w:r>
      <w:r w:rsidDel="00000000" w:rsidR="00000000" w:rsidRPr="00000000">
        <w:rPr>
          <w:i w:val="1"/>
          <w:rtl w:val="0"/>
        </w:rPr>
        <w:t xml:space="preserve">multiple columns</w:t>
      </w:r>
      <w:r w:rsidDel="00000000" w:rsidR="00000000" w:rsidRPr="00000000">
        <w:rPr>
          <w:rtl w:val="0"/>
        </w:rPr>
        <w:t xml:space="preserve"> and are used to capture the metadata attributes associated with the assay (“</w:t>
      </w:r>
      <w:commentRangeStart w:id="1"/>
      <w:r w:rsidDel="00000000" w:rsidR="00000000" w:rsidRPr="00000000">
        <w:rPr>
          <w:rtl w:val="0"/>
        </w:rPr>
        <w:t xml:space="preserve">Level 1”, “Level 2”, “Level 3”, “Level 4</w:t>
      </w:r>
      <w:commentRangeEnd w:id="1"/>
      <w:r w:rsidDel="00000000" w:rsidR="00000000" w:rsidRPr="00000000">
        <w:commentReference w:id="1"/>
      </w:r>
      <w:r w:rsidDel="00000000" w:rsidR="00000000" w:rsidRPr="00000000">
        <w:rPr>
          <w:rtl w:val="0"/>
        </w:rPr>
        <w:t xml:space="preserve">”, see below for definitions), to reference the input material for the assay (“Sample Reference”) as well as to reference the </w:t>
      </w:r>
      <w:r w:rsidDel="00000000" w:rsidR="00000000" w:rsidRPr="00000000">
        <w:rPr>
          <w:i w:val="1"/>
          <w:rtl w:val="0"/>
        </w:rPr>
        <w:t xml:space="preserve">raw</w:t>
      </w:r>
      <w:r w:rsidDel="00000000" w:rsidR="00000000" w:rsidRPr="00000000">
        <w:rPr>
          <w:rtl w:val="0"/>
        </w:rPr>
        <w:t xml:space="preserve"> data files generated by the assay (“Output Data Reference”).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In this context “reference” describes a column that contains a pointer to a HuBMAP ID, to a file (could also be a ZIP archive), or to a directory containing multiple files.</w:t>
      </w:r>
      <w:r w:rsidDel="00000000" w:rsidR="00000000" w:rsidRPr="00000000">
        <w:rPr>
          <w:rtl w:val="0"/>
        </w:rPr>
        <w:t xml:space="preserve"> The term “attribute” corresponds to a column in the tabular file.</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A row in the metadata file can either refer to a single data file or to a directory of data files (which might contain further directories). In the latter case, the attributes provided in that row would apply to all files contained within the directory.</w:t>
      </w:r>
    </w:p>
    <w:p w:rsidR="00000000" w:rsidDel="00000000" w:rsidP="00000000" w:rsidRDefault="00000000" w:rsidRPr="00000000" w14:paraId="00000026">
      <w:pPr>
        <w:pStyle w:val="Heading1"/>
        <w:rPr/>
      </w:pPr>
      <w:bookmarkStart w:colFirst="0" w:colLast="0" w:name="_2ypo5ht5frei" w:id="3"/>
      <w:bookmarkEnd w:id="3"/>
      <w:r w:rsidDel="00000000" w:rsidR="00000000" w:rsidRPr="00000000">
        <w:rPr>
          <w:rtl w:val="0"/>
        </w:rPr>
        <w:t xml:space="preserve">Metadata Levels for Assays</w:t>
      </w:r>
    </w:p>
    <w:p w:rsidR="00000000" w:rsidDel="00000000" w:rsidP="00000000" w:rsidRDefault="00000000" w:rsidRPr="00000000" w14:paraId="00000027">
      <w:pPr>
        <w:pStyle w:val="Heading2"/>
        <w:rPr/>
      </w:pPr>
      <w:bookmarkStart w:colFirst="0" w:colLast="0" w:name="_d2xv5n06iyn" w:id="4"/>
      <w:bookmarkEnd w:id="4"/>
      <w:r w:rsidDel="00000000" w:rsidR="00000000" w:rsidRPr="00000000">
        <w:rPr>
          <w:rtl w:val="0"/>
        </w:rPr>
        <w:t xml:space="preserve">Definition of Levels</w:t>
      </w:r>
    </w:p>
    <w:p w:rsidR="00000000" w:rsidDel="00000000" w:rsidP="00000000" w:rsidRDefault="00000000" w:rsidRPr="00000000" w14:paraId="00000028">
      <w:pPr>
        <w:numPr>
          <w:ilvl w:val="0"/>
          <w:numId w:val="2"/>
        </w:numPr>
        <w:ind w:left="720" w:hanging="360"/>
        <w:rPr>
          <w:u w:val="none"/>
        </w:rPr>
      </w:pPr>
      <w:r w:rsidDel="00000000" w:rsidR="00000000" w:rsidRPr="00000000">
        <w:rPr>
          <w:b w:val="1"/>
          <w:rtl w:val="0"/>
        </w:rPr>
        <w:t xml:space="preserve">Level 1:</w:t>
      </w:r>
      <w:r w:rsidDel="00000000" w:rsidR="00000000" w:rsidRPr="00000000">
        <w:rPr>
          <w:b w:val="1"/>
          <w:rtl w:val="0"/>
        </w:rPr>
        <w:t xml:space="preserve"> </w:t>
      </w:r>
      <w:r w:rsidDel="00000000" w:rsidR="00000000" w:rsidRPr="00000000">
        <w:rPr>
          <w:rtl w:val="0"/>
        </w:rPr>
        <w:t xml:space="preserve">T</w:t>
      </w:r>
      <w:r w:rsidDel="00000000" w:rsidR="00000000" w:rsidRPr="00000000">
        <w:rPr>
          <w:rtl w:val="0"/>
        </w:rPr>
        <w:t xml:space="preserve">hese are attributes that are </w:t>
      </w:r>
      <w:r w:rsidDel="00000000" w:rsidR="00000000" w:rsidRPr="00000000">
        <w:rPr>
          <w:u w:val="single"/>
          <w:rtl w:val="0"/>
        </w:rPr>
        <w:t xml:space="preserve">common to all assays</w:t>
      </w:r>
      <w:r w:rsidDel="00000000" w:rsidR="00000000" w:rsidRPr="00000000">
        <w:rPr>
          <w:rtl w:val="0"/>
        </w:rPr>
        <w:t xml:space="preserve">, for example, the type (“CODEX”) and </w:t>
      </w:r>
      <w:r w:rsidDel="00000000" w:rsidR="00000000" w:rsidRPr="00000000">
        <w:rPr>
          <w:rtl w:val="0"/>
        </w:rPr>
        <w:t xml:space="preserve">category</w:t>
      </w:r>
      <w:r w:rsidDel="00000000" w:rsidR="00000000" w:rsidRPr="00000000">
        <w:rPr>
          <w:rtl w:val="0"/>
        </w:rPr>
        <w:t xml:space="preserve"> of assay (“imaging”), a timestamp, and the name of the person who executed the assay.</w:t>
      </w:r>
    </w:p>
    <w:p w:rsidR="00000000" w:rsidDel="00000000" w:rsidP="00000000" w:rsidRDefault="00000000" w:rsidRPr="00000000" w14:paraId="00000029">
      <w:pPr>
        <w:numPr>
          <w:ilvl w:val="0"/>
          <w:numId w:val="2"/>
        </w:numPr>
        <w:ind w:left="720" w:hanging="360"/>
        <w:rPr>
          <w:b w:val="1"/>
        </w:rPr>
      </w:pPr>
      <w:r w:rsidDel="00000000" w:rsidR="00000000" w:rsidRPr="00000000">
        <w:rPr>
          <w:b w:val="1"/>
          <w:rtl w:val="0"/>
        </w:rPr>
        <w:t xml:space="preserve">Level 2: </w:t>
      </w:r>
      <w:r w:rsidDel="00000000" w:rsidR="00000000" w:rsidRPr="00000000">
        <w:rPr>
          <w:rtl w:val="0"/>
        </w:rPr>
        <w:t xml:space="preserve">These are attributes that are </w:t>
      </w:r>
      <w:r w:rsidDel="00000000" w:rsidR="00000000" w:rsidRPr="00000000">
        <w:rPr>
          <w:u w:val="single"/>
          <w:rtl w:val="0"/>
        </w:rPr>
        <w:t xml:space="preserve">common to a category of HuBMAP assays</w:t>
      </w:r>
      <w:r w:rsidDel="00000000" w:rsidR="00000000" w:rsidRPr="00000000">
        <w:rPr>
          <w:rtl w:val="0"/>
        </w:rPr>
        <w:t xml:space="preserve">, i.e. </w:t>
      </w:r>
      <w:r w:rsidDel="00000000" w:rsidR="00000000" w:rsidRPr="00000000">
        <w:rPr>
          <w:i w:val="1"/>
          <w:rtl w:val="0"/>
        </w:rPr>
        <w:t xml:space="preserve">imaging</w:t>
      </w:r>
      <w:r w:rsidDel="00000000" w:rsidR="00000000" w:rsidRPr="00000000">
        <w:rPr>
          <w:rtl w:val="0"/>
        </w:rPr>
        <w:t xml:space="preserve">, </w:t>
      </w:r>
      <w:r w:rsidDel="00000000" w:rsidR="00000000" w:rsidRPr="00000000">
        <w:rPr>
          <w:i w:val="1"/>
          <w:rtl w:val="0"/>
        </w:rPr>
        <w:t xml:space="preserve">sequencing</w:t>
      </w:r>
      <w:r w:rsidDel="00000000" w:rsidR="00000000" w:rsidRPr="00000000">
        <w:rPr>
          <w:rtl w:val="0"/>
        </w:rPr>
        <w:t xml:space="preserve">, or </w:t>
      </w:r>
      <w:r w:rsidDel="00000000" w:rsidR="00000000" w:rsidRPr="00000000">
        <w:rPr>
          <w:i w:val="1"/>
          <w:rtl w:val="0"/>
        </w:rPr>
        <w:t xml:space="preserve">mass spectrometry</w:t>
      </w:r>
      <w:r w:rsidDel="00000000" w:rsidR="00000000" w:rsidRPr="00000000">
        <w:rPr>
          <w:rtl w:val="0"/>
        </w:rPr>
        <w:t xml:space="preserve">. For example, for imaging assays this includes fields such as </w:t>
      </w:r>
      <w:r w:rsidDel="00000000" w:rsidR="00000000" w:rsidRPr="00000000">
        <w:rPr>
          <w:i w:val="1"/>
          <w:rtl w:val="0"/>
        </w:rPr>
        <w:t xml:space="preserve">x resolution</w:t>
      </w:r>
      <w:r w:rsidDel="00000000" w:rsidR="00000000" w:rsidRPr="00000000">
        <w:rPr>
          <w:rtl w:val="0"/>
        </w:rPr>
        <w:t xml:space="preserve"> and</w:t>
      </w:r>
      <w:r w:rsidDel="00000000" w:rsidR="00000000" w:rsidRPr="00000000">
        <w:rPr>
          <w:i w:val="1"/>
          <w:rtl w:val="0"/>
        </w:rPr>
        <w:t xml:space="preserve"> y resolution.</w:t>
      </w:r>
      <w:r w:rsidDel="00000000" w:rsidR="00000000" w:rsidRPr="00000000">
        <w:rPr>
          <w:rtl w:val="0"/>
        </w:rPr>
        <w:t xml:space="preserve"> </w:t>
      </w:r>
    </w:p>
    <w:p w:rsidR="00000000" w:rsidDel="00000000" w:rsidP="00000000" w:rsidRDefault="00000000" w:rsidRPr="00000000" w14:paraId="0000002A">
      <w:pPr>
        <w:numPr>
          <w:ilvl w:val="0"/>
          <w:numId w:val="2"/>
        </w:numPr>
        <w:ind w:left="720" w:hanging="360"/>
        <w:rPr>
          <w:b w:val="1"/>
        </w:rPr>
      </w:pPr>
      <w:r w:rsidDel="00000000" w:rsidR="00000000" w:rsidRPr="00000000">
        <w:rPr>
          <w:b w:val="1"/>
          <w:rtl w:val="0"/>
        </w:rPr>
        <w:t xml:space="preserve">Level 3: </w:t>
      </w:r>
      <w:r w:rsidDel="00000000" w:rsidR="00000000" w:rsidRPr="00000000">
        <w:rPr>
          <w:rtl w:val="0"/>
        </w:rPr>
        <w:t xml:space="preserve">These are attributes that are </w:t>
      </w:r>
      <w:r w:rsidDel="00000000" w:rsidR="00000000" w:rsidRPr="00000000">
        <w:rPr>
          <w:u w:val="single"/>
          <w:rtl w:val="0"/>
        </w:rPr>
        <w:t xml:space="preserve">specific to the type of assay</w:t>
      </w:r>
      <w:r w:rsidDel="00000000" w:rsidR="00000000" w:rsidRPr="00000000">
        <w:rPr>
          <w:rtl w:val="0"/>
        </w:rPr>
        <w:t xml:space="preserve">, for example for CODEX that would include</w:t>
      </w:r>
      <w:r w:rsidDel="00000000" w:rsidR="00000000" w:rsidRPr="00000000">
        <w:rPr>
          <w:i w:val="1"/>
          <w:rtl w:val="0"/>
        </w:rPr>
        <w:t xml:space="preserve"> number of antibodies</w:t>
      </w:r>
      <w:r w:rsidDel="00000000" w:rsidR="00000000" w:rsidRPr="00000000">
        <w:rPr>
          <w:rtl w:val="0"/>
        </w:rPr>
        <w:t xml:space="preserve"> and </w:t>
      </w:r>
      <w:r w:rsidDel="00000000" w:rsidR="00000000" w:rsidRPr="00000000">
        <w:rPr>
          <w:i w:val="1"/>
          <w:rtl w:val="0"/>
        </w:rPr>
        <w:t xml:space="preserve">number of cycles</w:t>
      </w:r>
      <w:r w:rsidDel="00000000" w:rsidR="00000000" w:rsidRPr="00000000">
        <w:rPr>
          <w:rtl w:val="0"/>
        </w:rPr>
        <w:t xml:space="preserve">.</w:t>
      </w:r>
    </w:p>
    <w:p w:rsidR="00000000" w:rsidDel="00000000" w:rsidP="00000000" w:rsidRDefault="00000000" w:rsidRPr="00000000" w14:paraId="0000002B">
      <w:pPr>
        <w:numPr>
          <w:ilvl w:val="0"/>
          <w:numId w:val="2"/>
        </w:numPr>
        <w:ind w:left="720" w:hanging="360"/>
        <w:rPr>
          <w:u w:val="none"/>
        </w:rPr>
      </w:pPr>
      <w:r w:rsidDel="00000000" w:rsidR="00000000" w:rsidRPr="00000000">
        <w:rPr>
          <w:b w:val="1"/>
          <w:rtl w:val="0"/>
        </w:rPr>
        <w:t xml:space="preserve">Level 4:</w:t>
      </w:r>
      <w:r w:rsidDel="00000000" w:rsidR="00000000" w:rsidRPr="00000000">
        <w:rPr>
          <w:rtl w:val="0"/>
        </w:rPr>
        <w:t xml:space="preserve"> This is information that might be unique to a lab or is not required for reproducibility or is otherwise not relevant for outside groups. This information is submitted in the form of a single file, a ZIP archive containing multiple files, or a directory of files. There is no formatting requirement (although formats readable with common tools such as text editors are preferable over proprietary binary formats).</w:t>
      </w:r>
    </w:p>
    <w:p w:rsidR="00000000" w:rsidDel="00000000" w:rsidP="00000000" w:rsidRDefault="00000000" w:rsidRPr="00000000" w14:paraId="0000002C">
      <w:pPr>
        <w:pStyle w:val="Heading2"/>
        <w:rPr/>
      </w:pPr>
      <w:bookmarkStart w:colFirst="0" w:colLast="0" w:name="_5b68jx9iumav" w:id="5"/>
      <w:bookmarkEnd w:id="5"/>
      <w:r w:rsidDel="00000000" w:rsidR="00000000" w:rsidRPr="00000000">
        <w:rPr>
          <w:rtl w:val="0"/>
        </w:rPr>
        <w:t xml:space="preserve">Use in </w:t>
      </w:r>
      <w:r w:rsidDel="00000000" w:rsidR="00000000" w:rsidRPr="00000000">
        <w:rPr>
          <w:rtl w:val="0"/>
        </w:rPr>
        <w:t xml:space="preserve">HuBMAP Portal</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65"/>
        <w:gridCol w:w="1665"/>
        <w:gridCol w:w="1665"/>
        <w:gridCol w:w="1665"/>
        <w:gridCol w:w="1665"/>
        <w:tblGridChange w:id="0">
          <w:tblGrid>
            <w:gridCol w:w="1035"/>
            <w:gridCol w:w="1665"/>
            <w:gridCol w:w="1665"/>
            <w:gridCol w:w="1665"/>
            <w:gridCol w:w="1665"/>
            <w:gridCol w:w="1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Indexed for Faceted Browsing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Indexed for Free-Text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Displayed in Assay Over-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Displayed in Assay Detail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Available for Download</w:t>
            </w:r>
          </w:p>
        </w:tc>
      </w:tr>
      <w:tr>
        <w:tc>
          <w:tcPr>
            <w:shd w:fill="469b76"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Level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c>
          <w:tcPr>
            <w:shd w:fill="469b76"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Level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c>
          <w:tcPr>
            <w:shd w:fill="469b76"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Level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c>
          <w:tcPr>
            <w:shd w:fill="469b76"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Level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04C">
      <w:pPr>
        <w:pStyle w:val="Heading1"/>
        <w:rPr/>
      </w:pPr>
      <w:bookmarkStart w:colFirst="0" w:colLast="0" w:name="_mujpno4b5vxl" w:id="6"/>
      <w:bookmarkEnd w:id="6"/>
      <w:r w:rsidDel="00000000" w:rsidR="00000000" w:rsidRPr="00000000">
        <w:rPr>
          <w:rtl w:val="0"/>
        </w:rPr>
        <w:t xml:space="preserve">Example for CODEX Data</w:t>
      </w:r>
    </w:p>
    <w:p w:rsidR="00000000" w:rsidDel="00000000" w:rsidP="00000000" w:rsidRDefault="00000000" w:rsidRPr="00000000" w14:paraId="0000004D">
      <w:pPr>
        <w:rPr/>
      </w:pPr>
      <w:r w:rsidDel="00000000" w:rsidR="00000000" w:rsidRPr="00000000">
        <w:rPr>
          <w:rtl w:val="0"/>
        </w:rPr>
        <w:t xml:space="preserve">We have prepared a sample spreadsheet (with mostly fictional data) for a submission of a single CODEX data set that illustrates how the definitions below would be implemented.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hyperlink r:id="rId8">
        <w:r w:rsidDel="00000000" w:rsidR="00000000" w:rsidRPr="00000000">
          <w:rPr>
            <w:color w:val="1155cc"/>
            <w:u w:val="single"/>
            <w:rtl w:val="0"/>
          </w:rPr>
          <w:t xml:space="preserve">https://docs.google.com/spreadsheets/d/1GaBbtXb0jWCcx_G0RWrBp3ME4yyqglGbQJGC6xCkkHs/edit#gid=1784808680</w:t>
        </w:r>
      </w:hyperlink>
      <w:r w:rsidDel="00000000" w:rsidR="00000000" w:rsidRPr="00000000">
        <w:rPr>
          <w:rtl w:val="0"/>
        </w:rPr>
        <w:t xml:space="preserve"> </w:t>
      </w:r>
    </w:p>
    <w:p w:rsidR="00000000" w:rsidDel="00000000" w:rsidP="00000000" w:rsidRDefault="00000000" w:rsidRPr="00000000" w14:paraId="00000050">
      <w:pPr>
        <w:pStyle w:val="Heading1"/>
        <w:rPr/>
      </w:pPr>
      <w:bookmarkStart w:colFirst="0" w:colLast="0" w:name="_yw4fhwupj7at" w:id="7"/>
      <w:bookmarkEnd w:id="7"/>
      <w:r w:rsidDel="00000000" w:rsidR="00000000" w:rsidRPr="00000000">
        <w:rPr>
          <w:rtl w:val="0"/>
        </w:rPr>
        <w:t xml:space="preserve">Format Definition (here: “CODEX”)</w:t>
      </w:r>
    </w:p>
    <w:p w:rsidR="00000000" w:rsidDel="00000000" w:rsidP="00000000" w:rsidRDefault="00000000" w:rsidRPr="00000000" w14:paraId="00000051">
      <w:pPr>
        <w:pStyle w:val="Heading2"/>
        <w:rPr/>
      </w:pPr>
      <w:bookmarkStart w:colFirst="0" w:colLast="0" w:name="_q5d3p0jxhcd2" w:id="8"/>
      <w:bookmarkEnd w:id="8"/>
      <w:r w:rsidDel="00000000" w:rsidR="00000000" w:rsidRPr="00000000">
        <w:rPr>
          <w:rtl w:val="0"/>
        </w:rPr>
        <w:t xml:space="preserve">Tissue</w:t>
      </w:r>
      <w:r w:rsidDel="00000000" w:rsidR="00000000" w:rsidRPr="00000000">
        <w:rPr>
          <w:rtl w:val="0"/>
        </w:rPr>
        <w:t xml:space="preserve"> Reference Section</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This section links back to the tissue that the assay was executed on. The donor ID is redundant but can be used for sanity checks against the tissue ID.</w:t>
      </w:r>
    </w:p>
    <w:p w:rsidR="00000000" w:rsidDel="00000000" w:rsidP="00000000" w:rsidRDefault="00000000" w:rsidRPr="00000000" w14:paraId="00000053">
      <w:pPr>
        <w:pStyle w:val="Heading3"/>
        <w:rPr>
          <w:rFonts w:ascii="Courier New" w:cs="Courier New" w:eastAsia="Courier New" w:hAnsi="Courier New"/>
        </w:rPr>
      </w:pPr>
      <w:bookmarkStart w:colFirst="0" w:colLast="0" w:name="_3vrw0ytoextv" w:id="9"/>
      <w:bookmarkEnd w:id="9"/>
      <w:r w:rsidDel="00000000" w:rsidR="00000000" w:rsidRPr="00000000">
        <w:rPr>
          <w:rFonts w:ascii="Courier New" w:cs="Courier New" w:eastAsia="Courier New" w:hAnsi="Courier New"/>
          <w:rtl w:val="0"/>
        </w:rPr>
        <w:t xml:space="preserve">donor_id</w:t>
      </w:r>
    </w:p>
    <w:p w:rsidR="00000000" w:rsidDel="00000000" w:rsidP="00000000" w:rsidRDefault="00000000" w:rsidRPr="00000000" w14:paraId="00000054">
      <w:pPr>
        <w:rPr/>
      </w:pPr>
      <w:r w:rsidDel="00000000" w:rsidR="00000000" w:rsidRPr="00000000">
        <w:rPr>
          <w:b w:val="1"/>
          <w:rtl w:val="0"/>
        </w:rPr>
        <w:t xml:space="preserve">Description:</w:t>
      </w:r>
      <w:r w:rsidDel="00000000" w:rsidR="00000000" w:rsidRPr="00000000">
        <w:rPr>
          <w:rtl w:val="0"/>
        </w:rPr>
        <w:t xml:space="preserve"> HuBMAP ID of the donor of the assayed tissue.</w:t>
      </w:r>
    </w:p>
    <w:p w:rsidR="00000000" w:rsidDel="00000000" w:rsidP="00000000" w:rsidRDefault="00000000" w:rsidRPr="00000000" w14:paraId="00000055">
      <w:pPr>
        <w:rPr/>
      </w:pPr>
      <w:r w:rsidDel="00000000" w:rsidR="00000000" w:rsidRPr="00000000">
        <w:rPr>
          <w:b w:val="1"/>
          <w:rtl w:val="0"/>
        </w:rPr>
        <w:t xml:space="preserve">Allowed Values:</w:t>
      </w:r>
      <w:r w:rsidDel="00000000" w:rsidR="00000000" w:rsidRPr="00000000">
        <w:rPr>
          <w:rtl w:val="0"/>
        </w:rPr>
        <w:t xml:space="preserve"> HuBMAP ID (must reference a donor)</w:t>
      </w:r>
    </w:p>
    <w:p w:rsidR="00000000" w:rsidDel="00000000" w:rsidP="00000000" w:rsidRDefault="00000000" w:rsidRPr="00000000" w14:paraId="00000056">
      <w:pPr>
        <w:pStyle w:val="Heading3"/>
        <w:rPr>
          <w:rFonts w:ascii="Courier New" w:cs="Courier New" w:eastAsia="Courier New" w:hAnsi="Courier New"/>
        </w:rPr>
      </w:pPr>
      <w:bookmarkStart w:colFirst="0" w:colLast="0" w:name="_ytqkqvgzwzn" w:id="10"/>
      <w:bookmarkEnd w:id="10"/>
      <w:r w:rsidDel="00000000" w:rsidR="00000000" w:rsidRPr="00000000">
        <w:rPr>
          <w:rtl w:val="0"/>
        </w:rPr>
        <w:t xml:space="preserve">tissue</w:t>
      </w:r>
      <w:r w:rsidDel="00000000" w:rsidR="00000000" w:rsidRPr="00000000">
        <w:rPr>
          <w:rtl w:val="0"/>
        </w:rPr>
        <w:t xml:space="preserve">_id</w:t>
      </w: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Description:</w:t>
      </w:r>
      <w:r w:rsidDel="00000000" w:rsidR="00000000" w:rsidRPr="00000000">
        <w:rPr>
          <w:rtl w:val="0"/>
        </w:rPr>
        <w:t xml:space="preserve"> HuBMAP ID of the assayed tissue.</w:t>
      </w:r>
    </w:p>
    <w:p w:rsidR="00000000" w:rsidDel="00000000" w:rsidP="00000000" w:rsidRDefault="00000000" w:rsidRPr="00000000" w14:paraId="00000058">
      <w:pPr>
        <w:rPr/>
      </w:pPr>
      <w:r w:rsidDel="00000000" w:rsidR="00000000" w:rsidRPr="00000000">
        <w:rPr>
          <w:b w:val="1"/>
          <w:rtl w:val="0"/>
        </w:rPr>
        <w:t xml:space="preserve">Allowed Values:</w:t>
      </w:r>
      <w:r w:rsidDel="00000000" w:rsidR="00000000" w:rsidRPr="00000000">
        <w:rPr>
          <w:rtl w:val="0"/>
        </w:rPr>
        <w:t xml:space="preserve"> HuBMAP ID (must reference a tissue)</w:t>
      </w:r>
    </w:p>
    <w:p w:rsidR="00000000" w:rsidDel="00000000" w:rsidP="00000000" w:rsidRDefault="00000000" w:rsidRPr="00000000" w14:paraId="00000059">
      <w:pPr>
        <w:pStyle w:val="Heading2"/>
        <w:rPr/>
      </w:pPr>
      <w:bookmarkStart w:colFirst="0" w:colLast="0" w:name="_jgl800vh5o71" w:id="11"/>
      <w:bookmarkEnd w:id="11"/>
      <w:r w:rsidDel="00000000" w:rsidR="00000000" w:rsidRPr="00000000">
        <w:rPr>
          <w:rtl w:val="0"/>
        </w:rPr>
        <w:t xml:space="preserve">Level 1 Attributes Section</w:t>
      </w:r>
      <w:r w:rsidDel="00000000" w:rsidR="00000000" w:rsidRPr="00000000">
        <w:rPr>
          <w:rtl w:val="0"/>
        </w:rPr>
      </w:r>
    </w:p>
    <w:p w:rsidR="00000000" w:rsidDel="00000000" w:rsidP="00000000" w:rsidRDefault="00000000" w:rsidRPr="00000000" w14:paraId="0000005A">
      <w:pPr>
        <w:pStyle w:val="Heading3"/>
        <w:rPr/>
      </w:pPr>
      <w:bookmarkStart w:colFirst="0" w:colLast="0" w:name="_x1dvx5se2rf9" w:id="12"/>
      <w:bookmarkEnd w:id="12"/>
      <w:r w:rsidDel="00000000" w:rsidR="00000000" w:rsidRPr="00000000">
        <w:rPr>
          <w:rtl w:val="0"/>
        </w:rPr>
        <w:t xml:space="preserve">execution_datetime</w:t>
      </w:r>
    </w:p>
    <w:p w:rsidR="00000000" w:rsidDel="00000000" w:rsidP="00000000" w:rsidRDefault="00000000" w:rsidRPr="00000000" w14:paraId="0000005B">
      <w:pPr>
        <w:rPr/>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rtl w:val="0"/>
        </w:rPr>
        <w:t xml:space="preserve">Start</w:t>
      </w:r>
      <w:r w:rsidDel="00000000" w:rsidR="00000000" w:rsidRPr="00000000">
        <w:rPr>
          <w:rtl w:val="0"/>
        </w:rPr>
        <w:t xml:space="preserve"> date and time of assay.</w:t>
      </w:r>
    </w:p>
    <w:p w:rsidR="00000000" w:rsidDel="00000000" w:rsidP="00000000" w:rsidRDefault="00000000" w:rsidRPr="00000000" w14:paraId="0000005C">
      <w:pPr>
        <w:rPr/>
      </w:pPr>
      <w:r w:rsidDel="00000000" w:rsidR="00000000" w:rsidRPr="00000000">
        <w:rPr>
          <w:b w:val="1"/>
          <w:rtl w:val="0"/>
        </w:rPr>
        <w:t xml:space="preserve">Allowed Values:</w:t>
      </w:r>
      <w:r w:rsidDel="00000000" w:rsidR="00000000" w:rsidRPr="00000000">
        <w:rPr>
          <w:rtl w:val="0"/>
        </w:rPr>
        <w:t xml:space="preserve"> </w:t>
      </w:r>
      <w:r w:rsidDel="00000000" w:rsidR="00000000" w:rsidRPr="00000000">
        <w:rPr>
          <w:rtl w:val="0"/>
        </w:rPr>
        <w:t xml:space="preserve">A date and time string</w:t>
      </w:r>
      <w:r w:rsidDel="00000000" w:rsidR="00000000" w:rsidRPr="00000000">
        <w:rPr>
          <w:rtl w:val="0"/>
        </w:rPr>
        <w:t xml:space="preserve"> formatted as “YYYY-MM-DD hh:mm ZZZ”, where YYYY is the year, MM is the month with leading 0s, and DD is the day with leading 0s, hh is the hour with leading zeros, mm are the minutes with leading zeros, and ZZZ is the three letter timezone abbreviation.</w:t>
      </w:r>
    </w:p>
    <w:p w:rsidR="00000000" w:rsidDel="00000000" w:rsidP="00000000" w:rsidRDefault="00000000" w:rsidRPr="00000000" w14:paraId="0000005D">
      <w:pPr>
        <w:pStyle w:val="Heading3"/>
        <w:rPr/>
      </w:pPr>
      <w:bookmarkStart w:colFirst="0" w:colLast="0" w:name="_l959mvvw84z0" w:id="13"/>
      <w:bookmarkEnd w:id="13"/>
      <w:r w:rsidDel="00000000" w:rsidR="00000000" w:rsidRPr="00000000">
        <w:rPr>
          <w:rtl w:val="0"/>
        </w:rPr>
        <w:t xml:space="preserve">protocols_io_doi</w:t>
      </w:r>
    </w:p>
    <w:p w:rsidR="00000000" w:rsidDel="00000000" w:rsidP="00000000" w:rsidRDefault="00000000" w:rsidRPr="00000000" w14:paraId="0000005E">
      <w:pPr>
        <w:rPr/>
      </w:pPr>
      <w:r w:rsidDel="00000000" w:rsidR="00000000" w:rsidRPr="00000000">
        <w:rPr>
          <w:b w:val="1"/>
          <w:rtl w:val="0"/>
        </w:rPr>
        <w:t xml:space="preserve">Description:</w:t>
      </w:r>
      <w:r w:rsidDel="00000000" w:rsidR="00000000" w:rsidRPr="00000000">
        <w:rPr>
          <w:rtl w:val="0"/>
        </w:rPr>
        <w:t xml:space="preserve"> DOI for protocols.io referring to the protocol for this assay. Note: any parameters of this protocol should be captured as Level 3 fields. In exceptional cases, some parameters might be included in Level 4 information.</w:t>
      </w:r>
    </w:p>
    <w:p w:rsidR="00000000" w:rsidDel="00000000" w:rsidP="00000000" w:rsidRDefault="00000000" w:rsidRPr="00000000" w14:paraId="0000005F">
      <w:pPr>
        <w:rPr/>
      </w:pPr>
      <w:r w:rsidDel="00000000" w:rsidR="00000000" w:rsidRPr="00000000">
        <w:rPr>
          <w:b w:val="1"/>
          <w:rtl w:val="0"/>
        </w:rPr>
        <w:t xml:space="preserve">Allowed Values:</w:t>
      </w:r>
      <w:r w:rsidDel="00000000" w:rsidR="00000000" w:rsidRPr="00000000">
        <w:rPr>
          <w:rtl w:val="0"/>
        </w:rPr>
        <w:t xml:space="preserve"> DOI (e.g. "10.17504/protocols.io.basdiea6")</w:t>
      </w:r>
    </w:p>
    <w:p w:rsidR="00000000" w:rsidDel="00000000" w:rsidP="00000000" w:rsidRDefault="00000000" w:rsidRPr="00000000" w14:paraId="00000060">
      <w:pPr>
        <w:pStyle w:val="Heading3"/>
        <w:rPr/>
      </w:pPr>
      <w:bookmarkStart w:colFirst="0" w:colLast="0" w:name="_b131g68e4uie" w:id="14"/>
      <w:bookmarkEnd w:id="14"/>
      <w:r w:rsidDel="00000000" w:rsidR="00000000" w:rsidRPr="00000000">
        <w:rPr>
          <w:rtl w:val="0"/>
        </w:rPr>
        <w:t xml:space="preserve">operator</w:t>
      </w:r>
    </w:p>
    <w:p w:rsidR="00000000" w:rsidDel="00000000" w:rsidP="00000000" w:rsidRDefault="00000000" w:rsidRPr="00000000" w14:paraId="00000061">
      <w:pPr>
        <w:rPr/>
      </w:pPr>
      <w:r w:rsidDel="00000000" w:rsidR="00000000" w:rsidRPr="00000000">
        <w:rPr>
          <w:b w:val="1"/>
          <w:rtl w:val="0"/>
        </w:rPr>
        <w:t xml:space="preserve">Description:</w:t>
      </w:r>
      <w:r w:rsidDel="00000000" w:rsidR="00000000" w:rsidRPr="00000000">
        <w:rPr>
          <w:rtl w:val="0"/>
        </w:rPr>
        <w:t xml:space="preserve"> Name of the person responsible for executing the assay.</w:t>
      </w:r>
    </w:p>
    <w:p w:rsidR="00000000" w:rsidDel="00000000" w:rsidP="00000000" w:rsidRDefault="00000000" w:rsidRPr="00000000" w14:paraId="00000062">
      <w:pPr>
        <w:rPr/>
      </w:pPr>
      <w:r w:rsidDel="00000000" w:rsidR="00000000" w:rsidRPr="00000000">
        <w:rPr>
          <w:b w:val="1"/>
          <w:rtl w:val="0"/>
        </w:rPr>
        <w:t xml:space="preserve">Allowed Values:</w:t>
      </w:r>
      <w:r w:rsidDel="00000000" w:rsidR="00000000" w:rsidRPr="00000000">
        <w:rPr>
          <w:rtl w:val="0"/>
        </w:rPr>
        <w:t xml:space="preserve"> </w:t>
      </w:r>
      <w:r w:rsidDel="00000000" w:rsidR="00000000" w:rsidRPr="00000000">
        <w:rPr>
          <w:rtl w:val="0"/>
        </w:rPr>
        <w:t xml:space="preserve">Any string.</w:t>
      </w:r>
      <w:r w:rsidDel="00000000" w:rsidR="00000000" w:rsidRPr="00000000">
        <w:rPr>
          <w:rtl w:val="0"/>
        </w:rPr>
      </w:r>
    </w:p>
    <w:p w:rsidR="00000000" w:rsidDel="00000000" w:rsidP="00000000" w:rsidRDefault="00000000" w:rsidRPr="00000000" w14:paraId="00000063">
      <w:pPr>
        <w:pStyle w:val="Heading3"/>
        <w:rPr/>
      </w:pPr>
      <w:bookmarkStart w:colFirst="0" w:colLast="0" w:name="_jbzttippao50" w:id="15"/>
      <w:bookmarkEnd w:id="15"/>
      <w:r w:rsidDel="00000000" w:rsidR="00000000" w:rsidRPr="00000000">
        <w:rPr>
          <w:rtl w:val="0"/>
        </w:rPr>
        <w:t xml:space="preserve">operator_email</w:t>
      </w:r>
    </w:p>
    <w:p w:rsidR="00000000" w:rsidDel="00000000" w:rsidP="00000000" w:rsidRDefault="00000000" w:rsidRPr="00000000" w14:paraId="00000064">
      <w:pPr>
        <w:rPr/>
      </w:pPr>
      <w:r w:rsidDel="00000000" w:rsidR="00000000" w:rsidRPr="00000000">
        <w:rPr>
          <w:b w:val="1"/>
          <w:rtl w:val="0"/>
        </w:rPr>
        <w:t xml:space="preserve">Description:</w:t>
      </w:r>
      <w:r w:rsidDel="00000000" w:rsidR="00000000" w:rsidRPr="00000000">
        <w:rPr>
          <w:rtl w:val="0"/>
        </w:rPr>
        <w:t xml:space="preserve"> Email address for the operator.</w:t>
      </w:r>
    </w:p>
    <w:p w:rsidR="00000000" w:rsidDel="00000000" w:rsidP="00000000" w:rsidRDefault="00000000" w:rsidRPr="00000000" w14:paraId="00000065">
      <w:pPr>
        <w:rPr/>
      </w:pPr>
      <w:r w:rsidDel="00000000" w:rsidR="00000000" w:rsidRPr="00000000">
        <w:rPr>
          <w:b w:val="1"/>
          <w:rtl w:val="0"/>
        </w:rPr>
        <w:t xml:space="preserve">Allowed Values:</w:t>
      </w:r>
      <w:r w:rsidDel="00000000" w:rsidR="00000000" w:rsidRPr="00000000">
        <w:rPr>
          <w:rtl w:val="0"/>
        </w:rPr>
        <w:t xml:space="preserve"> Syntactically correct email address.</w:t>
      </w:r>
    </w:p>
    <w:p w:rsidR="00000000" w:rsidDel="00000000" w:rsidP="00000000" w:rsidRDefault="00000000" w:rsidRPr="00000000" w14:paraId="00000066">
      <w:pPr>
        <w:pStyle w:val="Heading3"/>
        <w:rPr/>
      </w:pPr>
      <w:bookmarkStart w:colFirst="0" w:colLast="0" w:name="_nz3v6g3bcsnp" w:id="16"/>
      <w:bookmarkEnd w:id="16"/>
      <w:r w:rsidDel="00000000" w:rsidR="00000000" w:rsidRPr="00000000">
        <w:rPr>
          <w:rtl w:val="0"/>
        </w:rPr>
        <w:t xml:space="preserve">pi</w:t>
      </w:r>
    </w:p>
    <w:p w:rsidR="00000000" w:rsidDel="00000000" w:rsidP="00000000" w:rsidRDefault="00000000" w:rsidRPr="00000000" w14:paraId="00000067">
      <w:pPr>
        <w:rPr/>
      </w:pPr>
      <w:r w:rsidDel="00000000" w:rsidR="00000000" w:rsidRPr="00000000">
        <w:rPr>
          <w:b w:val="1"/>
          <w:rtl w:val="0"/>
        </w:rPr>
        <w:t xml:space="preserve">Description:</w:t>
      </w:r>
      <w:r w:rsidDel="00000000" w:rsidR="00000000" w:rsidRPr="00000000">
        <w:rPr>
          <w:rtl w:val="0"/>
        </w:rPr>
        <w:t xml:space="preserve"> Name of the principal investigator responsible for the data.</w:t>
      </w:r>
    </w:p>
    <w:p w:rsidR="00000000" w:rsidDel="00000000" w:rsidP="00000000" w:rsidRDefault="00000000" w:rsidRPr="00000000" w14:paraId="00000068">
      <w:pPr>
        <w:rPr/>
      </w:pPr>
      <w:r w:rsidDel="00000000" w:rsidR="00000000" w:rsidRPr="00000000">
        <w:rPr>
          <w:b w:val="1"/>
          <w:rtl w:val="0"/>
        </w:rPr>
        <w:t xml:space="preserve">Allowed Values:</w:t>
      </w:r>
      <w:r w:rsidDel="00000000" w:rsidR="00000000" w:rsidRPr="00000000">
        <w:rPr>
          <w:rtl w:val="0"/>
        </w:rPr>
        <w:t xml:space="preserve"> </w:t>
      </w:r>
      <w:r w:rsidDel="00000000" w:rsidR="00000000" w:rsidRPr="00000000">
        <w:rPr>
          <w:rtl w:val="0"/>
        </w:rPr>
        <w:t xml:space="preserve">Any string.</w:t>
      </w:r>
      <w:r w:rsidDel="00000000" w:rsidR="00000000" w:rsidRPr="00000000">
        <w:rPr>
          <w:rtl w:val="0"/>
        </w:rPr>
      </w:r>
    </w:p>
    <w:p w:rsidR="00000000" w:rsidDel="00000000" w:rsidP="00000000" w:rsidRDefault="00000000" w:rsidRPr="00000000" w14:paraId="00000069">
      <w:pPr>
        <w:pStyle w:val="Heading3"/>
        <w:rPr/>
      </w:pPr>
      <w:bookmarkStart w:colFirst="0" w:colLast="0" w:name="_v81vztl6z22r" w:id="17"/>
      <w:bookmarkEnd w:id="17"/>
      <w:r w:rsidDel="00000000" w:rsidR="00000000" w:rsidRPr="00000000">
        <w:rPr>
          <w:rtl w:val="0"/>
        </w:rPr>
        <w:t xml:space="preserve">pi_email</w:t>
      </w:r>
    </w:p>
    <w:p w:rsidR="00000000" w:rsidDel="00000000" w:rsidP="00000000" w:rsidRDefault="00000000" w:rsidRPr="00000000" w14:paraId="0000006A">
      <w:pPr>
        <w:rPr/>
      </w:pPr>
      <w:r w:rsidDel="00000000" w:rsidR="00000000" w:rsidRPr="00000000">
        <w:rPr>
          <w:b w:val="1"/>
          <w:rtl w:val="0"/>
        </w:rPr>
        <w:t xml:space="preserve">Description:</w:t>
      </w:r>
      <w:r w:rsidDel="00000000" w:rsidR="00000000" w:rsidRPr="00000000">
        <w:rPr>
          <w:rtl w:val="0"/>
        </w:rPr>
        <w:t xml:space="preserve"> Email address for the principal investigator.</w:t>
      </w:r>
    </w:p>
    <w:p w:rsidR="00000000" w:rsidDel="00000000" w:rsidP="00000000" w:rsidRDefault="00000000" w:rsidRPr="00000000" w14:paraId="0000006B">
      <w:pPr>
        <w:rPr/>
      </w:pPr>
      <w:r w:rsidDel="00000000" w:rsidR="00000000" w:rsidRPr="00000000">
        <w:rPr>
          <w:b w:val="1"/>
          <w:rtl w:val="0"/>
        </w:rPr>
        <w:t xml:space="preserve">Allowed Values:</w:t>
      </w:r>
      <w:r w:rsidDel="00000000" w:rsidR="00000000" w:rsidRPr="00000000">
        <w:rPr>
          <w:rtl w:val="0"/>
        </w:rPr>
        <w:t xml:space="preserve"> Syntactically correct email address.</w:t>
      </w:r>
    </w:p>
    <w:p w:rsidR="00000000" w:rsidDel="00000000" w:rsidP="00000000" w:rsidRDefault="00000000" w:rsidRPr="00000000" w14:paraId="0000006C">
      <w:pPr>
        <w:pStyle w:val="Heading3"/>
        <w:rPr/>
      </w:pPr>
      <w:bookmarkStart w:colFirst="0" w:colLast="0" w:name="_o1p9dxspd4d5" w:id="18"/>
      <w:bookmarkEnd w:id="18"/>
      <w:r w:rsidDel="00000000" w:rsidR="00000000" w:rsidRPr="00000000">
        <w:rPr>
          <w:rtl w:val="0"/>
        </w:rPr>
        <w:t xml:space="preserve">assay_</w:t>
      </w:r>
      <w:r w:rsidDel="00000000" w:rsidR="00000000" w:rsidRPr="00000000">
        <w:rPr>
          <w:rtl w:val="0"/>
        </w:rPr>
        <w:t xml:space="preserve">category</w:t>
      </w:r>
    </w:p>
    <w:p w:rsidR="00000000" w:rsidDel="00000000" w:rsidP="00000000" w:rsidRDefault="00000000" w:rsidRPr="00000000" w14:paraId="0000006D">
      <w:pPr>
        <w:rPr/>
      </w:pPr>
      <w:r w:rsidDel="00000000" w:rsidR="00000000" w:rsidRPr="00000000">
        <w:rPr>
          <w:b w:val="1"/>
          <w:rtl w:val="0"/>
        </w:rPr>
        <w:t xml:space="preserve">Description:</w:t>
      </w:r>
      <w:r w:rsidDel="00000000" w:rsidR="00000000" w:rsidRPr="00000000">
        <w:rPr>
          <w:rtl w:val="0"/>
        </w:rPr>
        <w:t xml:space="preserve"> Each assay is placed into one of the following 3 general categories: generation of images of microscopic entities, identification &amp; quantitation of molecules by mass spectrometry, and determination of nucleotide sequence.</w:t>
      </w:r>
    </w:p>
    <w:p w:rsidR="00000000" w:rsidDel="00000000" w:rsidP="00000000" w:rsidRDefault="00000000" w:rsidRPr="00000000" w14:paraId="0000006E">
      <w:pPr>
        <w:rPr/>
      </w:pPr>
      <w:r w:rsidDel="00000000" w:rsidR="00000000" w:rsidRPr="00000000">
        <w:rPr>
          <w:b w:val="1"/>
          <w:rtl w:val="0"/>
        </w:rPr>
        <w:t xml:space="preserve">Allowed Values:</w:t>
      </w:r>
      <w:r w:rsidDel="00000000" w:rsidR="00000000" w:rsidRPr="00000000">
        <w:rPr>
          <w:rtl w:val="0"/>
        </w:rPr>
        <w:t xml:space="preserve"> "microscopy</w:t>
      </w:r>
      <w:r w:rsidDel="00000000" w:rsidR="00000000" w:rsidRPr="00000000">
        <w:rPr>
          <w:rtl w:val="0"/>
        </w:rPr>
        <w:t xml:space="preserve">"</w:t>
      </w:r>
      <w:r w:rsidDel="00000000" w:rsidR="00000000" w:rsidRPr="00000000">
        <w:rPr>
          <w:rtl w:val="0"/>
        </w:rPr>
        <w:t xml:space="preserve">, "mass-spectrometry", "sequencing"</w:t>
      </w:r>
    </w:p>
    <w:p w:rsidR="00000000" w:rsidDel="00000000" w:rsidP="00000000" w:rsidRDefault="00000000" w:rsidRPr="00000000" w14:paraId="0000006F">
      <w:pPr>
        <w:pStyle w:val="Heading3"/>
        <w:rPr/>
      </w:pPr>
      <w:bookmarkStart w:colFirst="0" w:colLast="0" w:name="_aae6vor8rhpl" w:id="19"/>
      <w:bookmarkEnd w:id="19"/>
      <w:r w:rsidDel="00000000" w:rsidR="00000000" w:rsidRPr="00000000">
        <w:rPr>
          <w:rtl w:val="0"/>
        </w:rPr>
        <w:t xml:space="preserve">assay_type</w:t>
      </w: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Description:</w:t>
      </w:r>
      <w:r w:rsidDel="00000000" w:rsidR="00000000" w:rsidRPr="00000000">
        <w:rPr>
          <w:rtl w:val="0"/>
        </w:rPr>
        <w:t xml:space="preserve"> The specific type of assay being executed.</w:t>
      </w:r>
    </w:p>
    <w:p w:rsidR="00000000" w:rsidDel="00000000" w:rsidP="00000000" w:rsidRDefault="00000000" w:rsidRPr="00000000" w14:paraId="00000071">
      <w:pPr>
        <w:rPr/>
      </w:pPr>
      <w:r w:rsidDel="00000000" w:rsidR="00000000" w:rsidRPr="00000000">
        <w:rPr>
          <w:b w:val="1"/>
          <w:rtl w:val="0"/>
        </w:rPr>
        <w:t xml:space="preserve">Allowed Values:</w:t>
      </w:r>
      <w:r w:rsidDel="00000000" w:rsidR="00000000" w:rsidRPr="00000000">
        <w:rPr>
          <w:rtl w:val="0"/>
        </w:rPr>
        <w:t xml:space="preserve"> Will vary by </w:t>
      </w:r>
      <w:r w:rsidDel="00000000" w:rsidR="00000000" w:rsidRPr="00000000">
        <w:rPr>
          <w:rFonts w:ascii="Courier New" w:cs="Courier New" w:eastAsia="Courier New" w:hAnsi="Courier New"/>
          <w:rtl w:val="0"/>
        </w:rPr>
        <w:t xml:space="preserve">assay_category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2">
      <w:pPr>
        <w:ind w:left="0" w:firstLine="0"/>
        <w:rPr>
          <w:sz w:val="20"/>
          <w:szCs w:val="20"/>
          <w:highlight w:val="white"/>
        </w:rPr>
      </w:pPr>
      <w:r w:rsidDel="00000000" w:rsidR="00000000" w:rsidRPr="00000000">
        <w:rPr>
          <w:rtl w:val="0"/>
        </w:rPr>
      </w:r>
    </w:p>
    <w:p w:rsidR="00000000" w:rsidDel="00000000" w:rsidP="00000000" w:rsidRDefault="00000000" w:rsidRPr="00000000" w14:paraId="00000073">
      <w:pPr>
        <w:numPr>
          <w:ilvl w:val="0"/>
          <w:numId w:val="1"/>
        </w:numPr>
        <w:ind w:left="720" w:hanging="360"/>
        <w:rPr>
          <w:sz w:val="20"/>
          <w:szCs w:val="20"/>
          <w:highlight w:val="white"/>
        </w:rPr>
      </w:pPr>
      <w:r w:rsidDel="00000000" w:rsidR="00000000" w:rsidRPr="00000000">
        <w:rPr>
          <w:sz w:val="20"/>
          <w:szCs w:val="20"/>
          <w:highlight w:val="white"/>
          <w:rtl w:val="0"/>
        </w:rPr>
        <w:t xml:space="preserve">mass_spectrometry:</w:t>
      </w:r>
    </w:p>
    <w:p w:rsidR="00000000" w:rsidDel="00000000" w:rsidP="00000000" w:rsidRDefault="00000000" w:rsidRPr="00000000" w14:paraId="00000074">
      <w:pPr>
        <w:numPr>
          <w:ilvl w:val="1"/>
          <w:numId w:val="1"/>
        </w:numPr>
        <w:ind w:left="1440" w:hanging="360"/>
        <w:rPr>
          <w:sz w:val="20"/>
          <w:szCs w:val="20"/>
          <w:highlight w:val="white"/>
        </w:rPr>
      </w:pPr>
      <w:r w:rsidDel="00000000" w:rsidR="00000000" w:rsidRPr="00000000">
        <w:rPr>
          <w:sz w:val="20"/>
          <w:szCs w:val="20"/>
          <w:highlight w:val="white"/>
          <w:rtl w:val="0"/>
        </w:rPr>
        <w:t xml:space="preserve">LC-MS </w:t>
      </w:r>
    </w:p>
    <w:p w:rsidR="00000000" w:rsidDel="00000000" w:rsidP="00000000" w:rsidRDefault="00000000" w:rsidRPr="00000000" w14:paraId="00000075">
      <w:pPr>
        <w:numPr>
          <w:ilvl w:val="1"/>
          <w:numId w:val="1"/>
        </w:numPr>
        <w:ind w:left="1440" w:hanging="360"/>
        <w:rPr>
          <w:sz w:val="20"/>
          <w:szCs w:val="20"/>
          <w:highlight w:val="white"/>
        </w:rPr>
      </w:pPr>
      <w:r w:rsidDel="00000000" w:rsidR="00000000" w:rsidRPr="00000000">
        <w:rPr>
          <w:sz w:val="20"/>
          <w:szCs w:val="20"/>
          <w:highlight w:val="white"/>
          <w:rtl w:val="0"/>
        </w:rPr>
        <w:t xml:space="preserve">LC-MS/MS </w:t>
      </w:r>
    </w:p>
    <w:p w:rsidR="00000000" w:rsidDel="00000000" w:rsidP="00000000" w:rsidRDefault="00000000" w:rsidRPr="00000000" w14:paraId="00000076">
      <w:pPr>
        <w:numPr>
          <w:ilvl w:val="1"/>
          <w:numId w:val="1"/>
        </w:numPr>
        <w:ind w:left="1440" w:hanging="360"/>
        <w:rPr>
          <w:sz w:val="20"/>
          <w:szCs w:val="20"/>
          <w:highlight w:val="white"/>
        </w:rPr>
      </w:pPr>
      <w:r w:rsidDel="00000000" w:rsidR="00000000" w:rsidRPr="00000000">
        <w:rPr>
          <w:sz w:val="20"/>
          <w:szCs w:val="20"/>
          <w:highlight w:val="white"/>
          <w:rtl w:val="0"/>
        </w:rPr>
        <w:t xml:space="preserve">IMS positive</w:t>
      </w:r>
    </w:p>
    <w:p w:rsidR="00000000" w:rsidDel="00000000" w:rsidP="00000000" w:rsidRDefault="00000000" w:rsidRPr="00000000" w14:paraId="00000077">
      <w:pPr>
        <w:numPr>
          <w:ilvl w:val="1"/>
          <w:numId w:val="1"/>
        </w:numPr>
        <w:ind w:left="1440" w:hanging="360"/>
        <w:rPr>
          <w:sz w:val="20"/>
          <w:szCs w:val="20"/>
          <w:highlight w:val="white"/>
        </w:rPr>
      </w:pPr>
      <w:r w:rsidDel="00000000" w:rsidR="00000000" w:rsidRPr="00000000">
        <w:rPr>
          <w:sz w:val="20"/>
          <w:szCs w:val="20"/>
          <w:highlight w:val="white"/>
          <w:rtl w:val="0"/>
        </w:rPr>
        <w:t xml:space="preserve">IMS negative</w:t>
      </w:r>
    </w:p>
    <w:p w:rsidR="00000000" w:rsidDel="00000000" w:rsidP="00000000" w:rsidRDefault="00000000" w:rsidRPr="00000000" w14:paraId="00000078">
      <w:pPr>
        <w:numPr>
          <w:ilvl w:val="1"/>
          <w:numId w:val="1"/>
        </w:numPr>
        <w:ind w:left="1440" w:hanging="360"/>
        <w:rPr>
          <w:sz w:val="20"/>
          <w:szCs w:val="20"/>
          <w:highlight w:val="white"/>
        </w:rPr>
      </w:pPr>
      <w:r w:rsidDel="00000000" w:rsidR="00000000" w:rsidRPr="00000000">
        <w:rPr>
          <w:sz w:val="20"/>
          <w:szCs w:val="20"/>
          <w:highlight w:val="white"/>
          <w:rtl w:val="0"/>
        </w:rPr>
        <w:t xml:space="preserve">MS </w:t>
      </w:r>
    </w:p>
    <w:p w:rsidR="00000000" w:rsidDel="00000000" w:rsidP="00000000" w:rsidRDefault="00000000" w:rsidRPr="00000000" w14:paraId="00000079">
      <w:pPr>
        <w:numPr>
          <w:ilvl w:val="1"/>
          <w:numId w:val="1"/>
        </w:numPr>
        <w:ind w:left="1440" w:hanging="360"/>
        <w:rPr>
          <w:sz w:val="20"/>
          <w:szCs w:val="20"/>
          <w:highlight w:val="white"/>
        </w:rPr>
      </w:pPr>
      <w:r w:rsidDel="00000000" w:rsidR="00000000" w:rsidRPr="00000000">
        <w:rPr>
          <w:sz w:val="20"/>
          <w:szCs w:val="20"/>
          <w:highlight w:val="white"/>
          <w:rtl w:val="0"/>
        </w:rPr>
        <w:t xml:space="preserve">TMT</w:t>
      </w:r>
    </w:p>
    <w:p w:rsidR="00000000" w:rsidDel="00000000" w:rsidP="00000000" w:rsidRDefault="00000000" w:rsidRPr="00000000" w14:paraId="0000007A">
      <w:pPr>
        <w:numPr>
          <w:ilvl w:val="0"/>
          <w:numId w:val="1"/>
        </w:numPr>
        <w:ind w:left="720" w:hanging="360"/>
        <w:rPr>
          <w:sz w:val="20"/>
          <w:szCs w:val="20"/>
          <w:highlight w:val="white"/>
        </w:rPr>
      </w:pPr>
      <w:r w:rsidDel="00000000" w:rsidR="00000000" w:rsidRPr="00000000">
        <w:rPr>
          <w:sz w:val="20"/>
          <w:szCs w:val="20"/>
          <w:highlight w:val="white"/>
          <w:rtl w:val="0"/>
        </w:rPr>
        <w:t xml:space="preserve">imaging:</w:t>
      </w:r>
    </w:p>
    <w:p w:rsidR="00000000" w:rsidDel="00000000" w:rsidP="00000000" w:rsidRDefault="00000000" w:rsidRPr="00000000" w14:paraId="0000007B">
      <w:pPr>
        <w:numPr>
          <w:ilvl w:val="1"/>
          <w:numId w:val="1"/>
        </w:numPr>
        <w:ind w:left="1440" w:hanging="360"/>
        <w:rPr>
          <w:sz w:val="20"/>
          <w:szCs w:val="20"/>
          <w:highlight w:val="white"/>
        </w:rPr>
      </w:pPr>
      <w:r w:rsidDel="00000000" w:rsidR="00000000" w:rsidRPr="00000000">
        <w:rPr>
          <w:sz w:val="20"/>
          <w:szCs w:val="20"/>
          <w:highlight w:val="white"/>
          <w:rtl w:val="0"/>
        </w:rPr>
        <w:t xml:space="preserve">AF</w:t>
      </w:r>
    </w:p>
    <w:p w:rsidR="00000000" w:rsidDel="00000000" w:rsidP="00000000" w:rsidRDefault="00000000" w:rsidRPr="00000000" w14:paraId="0000007C">
      <w:pPr>
        <w:numPr>
          <w:ilvl w:val="1"/>
          <w:numId w:val="1"/>
        </w:numPr>
        <w:ind w:left="1440" w:hanging="360"/>
        <w:rPr>
          <w:sz w:val="20"/>
          <w:szCs w:val="20"/>
          <w:highlight w:val="white"/>
        </w:rPr>
      </w:pPr>
      <w:r w:rsidDel="00000000" w:rsidR="00000000" w:rsidRPr="00000000">
        <w:rPr>
          <w:sz w:val="20"/>
          <w:szCs w:val="20"/>
          <w:highlight w:val="white"/>
          <w:rtl w:val="0"/>
        </w:rPr>
        <w:t xml:space="preserve">CODEX</w:t>
      </w:r>
    </w:p>
    <w:p w:rsidR="00000000" w:rsidDel="00000000" w:rsidP="00000000" w:rsidRDefault="00000000" w:rsidRPr="00000000" w14:paraId="0000007D">
      <w:pPr>
        <w:numPr>
          <w:ilvl w:val="1"/>
          <w:numId w:val="1"/>
        </w:numPr>
        <w:ind w:left="1440" w:hanging="360"/>
        <w:rPr>
          <w:sz w:val="20"/>
          <w:szCs w:val="20"/>
          <w:highlight w:val="white"/>
        </w:rPr>
      </w:pPr>
      <w:r w:rsidDel="00000000" w:rsidR="00000000" w:rsidRPr="00000000">
        <w:rPr>
          <w:sz w:val="20"/>
          <w:szCs w:val="20"/>
          <w:highlight w:val="white"/>
          <w:rtl w:val="0"/>
        </w:rPr>
        <w:t xml:space="preserve">Imaging Mass Cytometry</w:t>
      </w:r>
    </w:p>
    <w:p w:rsidR="00000000" w:rsidDel="00000000" w:rsidP="00000000" w:rsidRDefault="00000000" w:rsidRPr="00000000" w14:paraId="0000007E">
      <w:pPr>
        <w:numPr>
          <w:ilvl w:val="1"/>
          <w:numId w:val="1"/>
        </w:numPr>
        <w:ind w:left="1440" w:hanging="360"/>
        <w:rPr>
          <w:sz w:val="20"/>
          <w:szCs w:val="20"/>
          <w:highlight w:val="white"/>
        </w:rPr>
      </w:pPr>
      <w:r w:rsidDel="00000000" w:rsidR="00000000" w:rsidRPr="00000000">
        <w:rPr>
          <w:sz w:val="20"/>
          <w:szCs w:val="20"/>
          <w:highlight w:val="white"/>
          <w:rtl w:val="0"/>
        </w:rPr>
        <w:t xml:space="preserve">multiplexed IF</w:t>
      </w:r>
      <w:r w:rsidDel="00000000" w:rsidR="00000000" w:rsidRPr="00000000">
        <w:rPr>
          <w:rtl w:val="0"/>
        </w:rPr>
      </w:r>
    </w:p>
    <w:p w:rsidR="00000000" w:rsidDel="00000000" w:rsidP="00000000" w:rsidRDefault="00000000" w:rsidRPr="00000000" w14:paraId="0000007F">
      <w:pPr>
        <w:numPr>
          <w:ilvl w:val="1"/>
          <w:numId w:val="1"/>
        </w:numPr>
        <w:ind w:left="1440" w:hanging="360"/>
        <w:rPr>
          <w:sz w:val="20"/>
          <w:szCs w:val="20"/>
          <w:highlight w:val="white"/>
        </w:rPr>
      </w:pPr>
      <w:r w:rsidDel="00000000" w:rsidR="00000000" w:rsidRPr="00000000">
        <w:rPr>
          <w:sz w:val="20"/>
          <w:szCs w:val="20"/>
          <w:highlight w:val="white"/>
          <w:rtl w:val="0"/>
        </w:rPr>
        <w:t xml:space="preserve">PAS microscopy</w:t>
      </w:r>
    </w:p>
    <w:p w:rsidR="00000000" w:rsidDel="00000000" w:rsidP="00000000" w:rsidRDefault="00000000" w:rsidRPr="00000000" w14:paraId="00000080">
      <w:pPr>
        <w:numPr>
          <w:ilvl w:val="1"/>
          <w:numId w:val="1"/>
        </w:numPr>
        <w:ind w:left="1440" w:hanging="360"/>
        <w:rPr>
          <w:sz w:val="20"/>
          <w:szCs w:val="20"/>
          <w:highlight w:val="white"/>
        </w:rPr>
      </w:pPr>
      <w:r w:rsidDel="00000000" w:rsidR="00000000" w:rsidRPr="00000000">
        <w:rPr>
          <w:sz w:val="20"/>
          <w:szCs w:val="20"/>
          <w:highlight w:val="white"/>
          <w:rtl w:val="0"/>
        </w:rPr>
        <w:t xml:space="preserve">seqFISH</w:t>
      </w:r>
    </w:p>
    <w:p w:rsidR="00000000" w:rsidDel="00000000" w:rsidP="00000000" w:rsidRDefault="00000000" w:rsidRPr="00000000" w14:paraId="00000081">
      <w:pPr>
        <w:numPr>
          <w:ilvl w:val="0"/>
          <w:numId w:val="1"/>
        </w:numPr>
        <w:ind w:left="720" w:hanging="360"/>
        <w:rPr>
          <w:sz w:val="20"/>
          <w:szCs w:val="20"/>
          <w:highlight w:val="white"/>
        </w:rPr>
      </w:pPr>
      <w:r w:rsidDel="00000000" w:rsidR="00000000" w:rsidRPr="00000000">
        <w:rPr>
          <w:sz w:val="20"/>
          <w:szCs w:val="20"/>
          <w:highlight w:val="white"/>
          <w:rtl w:val="0"/>
        </w:rPr>
        <w:t xml:space="preserve">sequencing:</w:t>
      </w:r>
    </w:p>
    <w:p w:rsidR="00000000" w:rsidDel="00000000" w:rsidP="00000000" w:rsidRDefault="00000000" w:rsidRPr="00000000" w14:paraId="00000082">
      <w:pPr>
        <w:numPr>
          <w:ilvl w:val="1"/>
          <w:numId w:val="1"/>
        </w:numPr>
        <w:ind w:left="1440" w:hanging="360"/>
        <w:rPr>
          <w:sz w:val="20"/>
          <w:szCs w:val="20"/>
          <w:highlight w:val="white"/>
        </w:rPr>
      </w:pPr>
      <w:r w:rsidDel="00000000" w:rsidR="00000000" w:rsidRPr="00000000">
        <w:rPr>
          <w:color w:val="1d1c1d"/>
          <w:sz w:val="20"/>
          <w:szCs w:val="20"/>
          <w:shd w:fill="fff2cc" w:val="clear"/>
          <w:rtl w:val="0"/>
        </w:rPr>
        <w:t xml:space="preserve">scRNA-Seq</w:t>
      </w:r>
      <w:r w:rsidDel="00000000" w:rsidR="00000000" w:rsidRPr="00000000">
        <w:rPr>
          <w:rtl w:val="0"/>
        </w:rPr>
      </w:r>
    </w:p>
    <w:p w:rsidR="00000000" w:rsidDel="00000000" w:rsidP="00000000" w:rsidRDefault="00000000" w:rsidRPr="00000000" w14:paraId="00000083">
      <w:pPr>
        <w:numPr>
          <w:ilvl w:val="1"/>
          <w:numId w:val="1"/>
        </w:numPr>
        <w:ind w:left="1440" w:hanging="360"/>
        <w:rPr>
          <w:sz w:val="20"/>
          <w:szCs w:val="20"/>
          <w:highlight w:val="white"/>
        </w:rPr>
      </w:pPr>
      <w:r w:rsidDel="00000000" w:rsidR="00000000" w:rsidRPr="00000000">
        <w:rPr>
          <w:sz w:val="20"/>
          <w:szCs w:val="20"/>
          <w:highlight w:val="white"/>
          <w:rtl w:val="0"/>
        </w:rPr>
        <w:t xml:space="preserve">bulk RNA</w:t>
      </w:r>
    </w:p>
    <w:p w:rsidR="00000000" w:rsidDel="00000000" w:rsidP="00000000" w:rsidRDefault="00000000" w:rsidRPr="00000000" w14:paraId="00000084">
      <w:pPr>
        <w:numPr>
          <w:ilvl w:val="1"/>
          <w:numId w:val="1"/>
        </w:numPr>
        <w:ind w:left="1440" w:hanging="360"/>
        <w:rPr>
          <w:sz w:val="20"/>
          <w:szCs w:val="20"/>
          <w:highlight w:val="white"/>
        </w:rPr>
      </w:pPr>
      <w:r w:rsidDel="00000000" w:rsidR="00000000" w:rsidRPr="00000000">
        <w:rPr>
          <w:sz w:val="20"/>
          <w:szCs w:val="20"/>
          <w:highlight w:val="white"/>
          <w:rtl w:val="0"/>
        </w:rPr>
        <w:t xml:space="preserve">bulk ATAC</w:t>
      </w:r>
    </w:p>
    <w:p w:rsidR="00000000" w:rsidDel="00000000" w:rsidP="00000000" w:rsidRDefault="00000000" w:rsidRPr="00000000" w14:paraId="00000085">
      <w:pPr>
        <w:numPr>
          <w:ilvl w:val="1"/>
          <w:numId w:val="1"/>
        </w:numPr>
        <w:ind w:left="1440" w:hanging="360"/>
        <w:rPr>
          <w:sz w:val="20"/>
          <w:szCs w:val="20"/>
          <w:highlight w:val="white"/>
        </w:rPr>
      </w:pPr>
      <w:r w:rsidDel="00000000" w:rsidR="00000000" w:rsidRPr="00000000">
        <w:rPr>
          <w:sz w:val="20"/>
          <w:szCs w:val="20"/>
          <w:highlight w:val="white"/>
          <w:rtl w:val="0"/>
        </w:rPr>
        <w:t xml:space="preserve">sci-ATAC-seq</w:t>
      </w:r>
    </w:p>
    <w:p w:rsidR="00000000" w:rsidDel="00000000" w:rsidP="00000000" w:rsidRDefault="00000000" w:rsidRPr="00000000" w14:paraId="00000086">
      <w:pPr>
        <w:numPr>
          <w:ilvl w:val="1"/>
          <w:numId w:val="1"/>
        </w:numPr>
        <w:ind w:left="1440" w:hanging="360"/>
        <w:rPr>
          <w:sz w:val="20"/>
          <w:szCs w:val="20"/>
          <w:highlight w:val="white"/>
        </w:rPr>
      </w:pPr>
      <w:r w:rsidDel="00000000" w:rsidR="00000000" w:rsidRPr="00000000">
        <w:rPr>
          <w:sz w:val="20"/>
          <w:szCs w:val="20"/>
          <w:highlight w:val="white"/>
          <w:rtl w:val="0"/>
        </w:rPr>
        <w:t xml:space="preserve">sci-RNA-seq</w:t>
      </w:r>
    </w:p>
    <w:p w:rsidR="00000000" w:rsidDel="00000000" w:rsidP="00000000" w:rsidRDefault="00000000" w:rsidRPr="00000000" w14:paraId="00000087">
      <w:pPr>
        <w:numPr>
          <w:ilvl w:val="1"/>
          <w:numId w:val="1"/>
        </w:numPr>
        <w:ind w:left="1440" w:hanging="360"/>
        <w:rPr>
          <w:sz w:val="20"/>
          <w:szCs w:val="20"/>
          <w:highlight w:val="white"/>
        </w:rPr>
      </w:pPr>
      <w:r w:rsidDel="00000000" w:rsidR="00000000" w:rsidRPr="00000000">
        <w:rPr>
          <w:sz w:val="20"/>
          <w:szCs w:val="20"/>
          <w:highlight w:val="white"/>
          <w:rtl w:val="0"/>
        </w:rPr>
        <w:t xml:space="preserve">SNARE-SEQ2</w:t>
      </w:r>
    </w:p>
    <w:p w:rsidR="00000000" w:rsidDel="00000000" w:rsidP="00000000" w:rsidRDefault="00000000" w:rsidRPr="00000000" w14:paraId="00000088">
      <w:pPr>
        <w:numPr>
          <w:ilvl w:val="1"/>
          <w:numId w:val="1"/>
        </w:numPr>
        <w:ind w:left="1440" w:hanging="360"/>
        <w:rPr>
          <w:sz w:val="20"/>
          <w:szCs w:val="20"/>
          <w:highlight w:val="white"/>
        </w:rPr>
      </w:pPr>
      <w:r w:rsidDel="00000000" w:rsidR="00000000" w:rsidRPr="00000000">
        <w:rPr>
          <w:sz w:val="20"/>
          <w:szCs w:val="20"/>
          <w:highlight w:val="white"/>
          <w:rtl w:val="0"/>
        </w:rPr>
        <w:t xml:space="preserve">snATAC</w:t>
      </w:r>
    </w:p>
    <w:p w:rsidR="00000000" w:rsidDel="00000000" w:rsidP="00000000" w:rsidRDefault="00000000" w:rsidRPr="00000000" w14:paraId="00000089">
      <w:pPr>
        <w:numPr>
          <w:ilvl w:val="1"/>
          <w:numId w:val="1"/>
        </w:numPr>
        <w:ind w:left="1440" w:hanging="360"/>
        <w:rPr>
          <w:sz w:val="20"/>
          <w:szCs w:val="20"/>
          <w:highlight w:val="white"/>
        </w:rPr>
      </w:pPr>
      <w:r w:rsidDel="00000000" w:rsidR="00000000" w:rsidRPr="00000000">
        <w:rPr>
          <w:sz w:val="20"/>
          <w:szCs w:val="20"/>
          <w:highlight w:val="white"/>
          <w:rtl w:val="0"/>
        </w:rPr>
        <w:t xml:space="preserve">snRNA</w:t>
      </w:r>
    </w:p>
    <w:p w:rsidR="00000000" w:rsidDel="00000000" w:rsidP="00000000" w:rsidRDefault="00000000" w:rsidRPr="00000000" w14:paraId="0000008A">
      <w:pPr>
        <w:numPr>
          <w:ilvl w:val="1"/>
          <w:numId w:val="1"/>
        </w:numPr>
        <w:ind w:left="1440" w:hanging="360"/>
        <w:rPr>
          <w:sz w:val="20"/>
          <w:szCs w:val="20"/>
          <w:highlight w:val="white"/>
        </w:rPr>
      </w:pPr>
      <w:r w:rsidDel="00000000" w:rsidR="00000000" w:rsidRPr="00000000">
        <w:rPr>
          <w:sz w:val="20"/>
          <w:szCs w:val="20"/>
          <w:highlight w:val="white"/>
          <w:rtl w:val="0"/>
        </w:rPr>
        <w:t xml:space="preserve">SPLiT-Seq</w:t>
      </w:r>
    </w:p>
    <w:p w:rsidR="00000000" w:rsidDel="00000000" w:rsidP="00000000" w:rsidRDefault="00000000" w:rsidRPr="00000000" w14:paraId="0000008B">
      <w:pPr>
        <w:numPr>
          <w:ilvl w:val="1"/>
          <w:numId w:val="1"/>
        </w:numPr>
        <w:ind w:left="1440" w:hanging="360"/>
        <w:rPr>
          <w:sz w:val="20"/>
          <w:szCs w:val="20"/>
          <w:highlight w:val="white"/>
          <w:u w:val="none"/>
        </w:rPr>
      </w:pPr>
      <w:r w:rsidDel="00000000" w:rsidR="00000000" w:rsidRPr="00000000">
        <w:rPr>
          <w:sz w:val="20"/>
          <w:szCs w:val="20"/>
          <w:highlight w:val="white"/>
          <w:rtl w:val="0"/>
        </w:rPr>
        <w:t xml:space="preserve">WGS</w:t>
      </w:r>
    </w:p>
    <w:p w:rsidR="00000000" w:rsidDel="00000000" w:rsidP="00000000" w:rsidRDefault="00000000" w:rsidRPr="00000000" w14:paraId="0000008C">
      <w:pPr>
        <w:pStyle w:val="Heading3"/>
        <w:rPr/>
      </w:pPr>
      <w:bookmarkStart w:colFirst="0" w:colLast="0" w:name="_4connhboewse" w:id="20"/>
      <w:bookmarkEnd w:id="20"/>
      <w:r w:rsidDel="00000000" w:rsidR="00000000" w:rsidRPr="00000000">
        <w:rPr>
          <w:rtl w:val="0"/>
        </w:rPr>
        <w:t xml:space="preserve">analyte_class</w:t>
      </w: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Description:</w:t>
      </w:r>
      <w:r w:rsidDel="00000000" w:rsidR="00000000" w:rsidRPr="00000000">
        <w:rPr>
          <w:rtl w:val="0"/>
        </w:rPr>
        <w:t xml:space="preserve"> Analytes are the target molecules being </w:t>
      </w:r>
      <w:r w:rsidDel="00000000" w:rsidR="00000000" w:rsidRPr="00000000">
        <w:rPr>
          <w:rtl w:val="0"/>
        </w:rPr>
        <w:t xml:space="preserve">measured with</w:t>
      </w:r>
      <w:r w:rsidDel="00000000" w:rsidR="00000000" w:rsidRPr="00000000">
        <w:rPr>
          <w:rtl w:val="0"/>
        </w:rPr>
        <w:t xml:space="preserve"> the assay. Some assays target more than one analyte. For example</w:t>
      </w:r>
      <w:r w:rsidDel="00000000" w:rsidR="00000000" w:rsidRPr="00000000">
        <w:rPr>
          <w:rtl w:val="0"/>
        </w:rPr>
        <w:t xml:space="preserve">, mass spectrometry assays such as MALDI IMS will detect peptides and lipids within the same experiment, as will DESI IMS.</w:t>
      </w: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Allowed</w:t>
      </w:r>
      <w:r w:rsidDel="00000000" w:rsidR="00000000" w:rsidRPr="00000000">
        <w:rPr>
          <w:b w:val="1"/>
          <w:rtl w:val="0"/>
        </w:rPr>
        <w:t xml:space="preserve"> values: </w:t>
      </w:r>
      <w:r w:rsidDel="00000000" w:rsidR="00000000" w:rsidRPr="00000000">
        <w:rPr>
          <w:rtl w:val="0"/>
        </w:rPr>
        <w:t xml:space="preserve">A single analyte or a comma-delimited list of analytes. Categories of analytes :  “peptide”, </w:t>
      </w:r>
      <w:r w:rsidDel="00000000" w:rsidR="00000000" w:rsidRPr="00000000">
        <w:rPr>
          <w:rtl w:val="0"/>
        </w:rPr>
        <w:t xml:space="preserve">"protein", "RNA", "DNA", "lipid", "metabolite"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F">
      <w:pPr>
        <w:pStyle w:val="Heading3"/>
        <w:rPr/>
      </w:pPr>
      <w:bookmarkStart w:colFirst="0" w:colLast="0" w:name="_ktg0ycei5qd" w:id="21"/>
      <w:bookmarkEnd w:id="21"/>
      <w:r w:rsidDel="00000000" w:rsidR="00000000" w:rsidRPr="00000000">
        <w:rPr>
          <w:rtl w:val="0"/>
        </w:rPr>
        <w:t xml:space="preserve">is_targeted</w:t>
      </w: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Description:</w:t>
      </w:r>
      <w:r w:rsidDel="00000000" w:rsidR="00000000" w:rsidRPr="00000000">
        <w:rPr>
          <w:rtl w:val="0"/>
        </w:rPr>
        <w:t xml:space="preserve"> Specifies whether or not a specific molecule(s) is/are targeted for detection/measurement by the assay. </w:t>
      </w:r>
    </w:p>
    <w:p w:rsidR="00000000" w:rsidDel="00000000" w:rsidP="00000000" w:rsidRDefault="00000000" w:rsidRPr="00000000" w14:paraId="00000091">
      <w:pPr>
        <w:rPr/>
      </w:pPr>
      <w:r w:rsidDel="00000000" w:rsidR="00000000" w:rsidRPr="00000000">
        <w:rPr>
          <w:b w:val="1"/>
          <w:rtl w:val="0"/>
        </w:rPr>
        <w:t xml:space="preserve">Allowed Values:</w:t>
      </w:r>
      <w:r w:rsidDel="00000000" w:rsidR="00000000" w:rsidRPr="00000000">
        <w:rPr>
          <w:rtl w:val="0"/>
        </w:rPr>
        <w:t xml:space="preserve"> "True" or "False".</w:t>
      </w:r>
    </w:p>
    <w:p w:rsidR="00000000" w:rsidDel="00000000" w:rsidP="00000000" w:rsidRDefault="00000000" w:rsidRPr="00000000" w14:paraId="00000092">
      <w:pPr>
        <w:pStyle w:val="Heading2"/>
        <w:rPr/>
      </w:pPr>
      <w:bookmarkStart w:colFirst="0" w:colLast="0" w:name="_5179292qhpm1" w:id="22"/>
      <w:bookmarkEnd w:id="22"/>
      <w:r w:rsidDel="00000000" w:rsidR="00000000" w:rsidRPr="00000000">
        <w:rPr>
          <w:rtl w:val="0"/>
        </w:rPr>
        <w:t xml:space="preserve">Level 2 Attributes Section (here: “imaging”)</w:t>
      </w:r>
    </w:p>
    <w:p w:rsidR="00000000" w:rsidDel="00000000" w:rsidP="00000000" w:rsidRDefault="00000000" w:rsidRPr="00000000" w14:paraId="00000093">
      <w:pPr>
        <w:rPr>
          <w:b w:val="1"/>
        </w:rPr>
      </w:pPr>
      <w:r w:rsidDel="00000000" w:rsidR="00000000" w:rsidRPr="00000000">
        <w:rPr>
          <w:rtl w:val="0"/>
        </w:rPr>
        <w:t xml:space="preserve">Different categories of assays (</w:t>
      </w:r>
      <w:r w:rsidDel="00000000" w:rsidR="00000000" w:rsidRPr="00000000">
        <w:rPr>
          <w:i w:val="1"/>
          <w:rtl w:val="0"/>
        </w:rPr>
        <w:t xml:space="preserve">imaging</w:t>
      </w:r>
      <w:r w:rsidDel="00000000" w:rsidR="00000000" w:rsidRPr="00000000">
        <w:rPr>
          <w:rtl w:val="0"/>
        </w:rPr>
        <w:t xml:space="preserve">, </w:t>
      </w:r>
      <w:r w:rsidDel="00000000" w:rsidR="00000000" w:rsidRPr="00000000">
        <w:rPr>
          <w:i w:val="1"/>
          <w:rtl w:val="0"/>
        </w:rPr>
        <w:t xml:space="preserve">mass spectrometry</w:t>
      </w:r>
      <w:r w:rsidDel="00000000" w:rsidR="00000000" w:rsidRPr="00000000">
        <w:rPr>
          <w:rtl w:val="0"/>
        </w:rPr>
        <w:t xml:space="preserve">, </w:t>
      </w:r>
      <w:r w:rsidDel="00000000" w:rsidR="00000000" w:rsidRPr="00000000">
        <w:rPr>
          <w:i w:val="1"/>
          <w:rtl w:val="0"/>
        </w:rPr>
        <w:t xml:space="preserve">sequencing</w:t>
      </w:r>
      <w:r w:rsidDel="00000000" w:rsidR="00000000" w:rsidRPr="00000000">
        <w:rPr>
          <w:rtl w:val="0"/>
        </w:rPr>
        <w:t xml:space="preserve">) will use different sets of Level 2 attributes. </w:t>
      </w:r>
      <w:r w:rsidDel="00000000" w:rsidR="00000000" w:rsidRPr="00000000">
        <w:rPr>
          <w:b w:val="1"/>
          <w:rtl w:val="0"/>
        </w:rPr>
        <w:t xml:space="preserve">For this preview, we only cover those attributes shared by all </w:t>
      </w:r>
      <w:r w:rsidDel="00000000" w:rsidR="00000000" w:rsidRPr="00000000">
        <w:rPr>
          <w:b w:val="1"/>
          <w:i w:val="1"/>
          <w:rtl w:val="0"/>
        </w:rPr>
        <w:t xml:space="preserve">imaging</w:t>
      </w:r>
      <w:r w:rsidDel="00000000" w:rsidR="00000000" w:rsidRPr="00000000">
        <w:rPr>
          <w:b w:val="1"/>
          <w:rtl w:val="0"/>
        </w:rPr>
        <w:t xml:space="preserve"> assays.</w:t>
      </w:r>
    </w:p>
    <w:p w:rsidR="00000000" w:rsidDel="00000000" w:rsidP="00000000" w:rsidRDefault="00000000" w:rsidRPr="00000000" w14:paraId="00000094">
      <w:pPr>
        <w:pStyle w:val="Heading3"/>
        <w:rPr/>
      </w:pPr>
      <w:bookmarkStart w:colFirst="0" w:colLast="0" w:name="_5hiux5d00ukv" w:id="23"/>
      <w:bookmarkEnd w:id="23"/>
      <w:r w:rsidDel="00000000" w:rsidR="00000000" w:rsidRPr="00000000">
        <w:rPr>
          <w:rtl w:val="0"/>
        </w:rPr>
        <w:t xml:space="preserve">acquisition_instrument_vendor</w:t>
      </w:r>
    </w:p>
    <w:p w:rsidR="00000000" w:rsidDel="00000000" w:rsidP="00000000" w:rsidRDefault="00000000" w:rsidRPr="00000000" w14:paraId="00000095">
      <w:pPr>
        <w:rPr/>
      </w:pPr>
      <w:r w:rsidDel="00000000" w:rsidR="00000000" w:rsidRPr="00000000">
        <w:rPr>
          <w:b w:val="1"/>
          <w:rtl w:val="0"/>
        </w:rPr>
        <w:t xml:space="preserve">Description:</w:t>
      </w:r>
      <w:r w:rsidDel="00000000" w:rsidR="00000000" w:rsidRPr="00000000">
        <w:rPr>
          <w:rtl w:val="0"/>
        </w:rPr>
        <w:t xml:space="preserve"> An acquisition_instrument is the device that contains the signal detection hardware and signal processing software. Assays generate signals such as light of various intensities or color or signals representing molecular mass.</w:t>
      </w:r>
    </w:p>
    <w:p w:rsidR="00000000" w:rsidDel="00000000" w:rsidP="00000000" w:rsidRDefault="00000000" w:rsidRPr="00000000" w14:paraId="00000096">
      <w:pPr>
        <w:rPr>
          <w:i w:val="1"/>
          <w:color w:val="ff0000"/>
        </w:rPr>
      </w:pPr>
      <w:r w:rsidDel="00000000" w:rsidR="00000000" w:rsidRPr="00000000">
        <w:rPr>
          <w:b w:val="1"/>
          <w:rtl w:val="0"/>
        </w:rPr>
        <w:t xml:space="preserve">Allowed Values:</w:t>
      </w:r>
      <w:r w:rsidDel="00000000" w:rsidR="00000000" w:rsidRPr="00000000">
        <w:rPr>
          <w:rtl w:val="0"/>
        </w:rPr>
        <w:t xml:space="preserve"> </w:t>
      </w:r>
      <w:commentRangeStart w:id="2"/>
      <w:commentRangeStart w:id="3"/>
      <w:commentRangeStart w:id="4"/>
      <w:r w:rsidDel="00000000" w:rsidR="00000000" w:rsidRPr="00000000">
        <w:rPr>
          <w:rtl w:val="0"/>
        </w:rPr>
        <w:t xml:space="preserve">Akoya, Zeiss,10xGenomics,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7">
      <w:pPr>
        <w:pStyle w:val="Heading3"/>
        <w:rPr/>
      </w:pPr>
      <w:bookmarkStart w:colFirst="0" w:colLast="0" w:name="_fpwerkp4pjkk" w:id="24"/>
      <w:bookmarkEnd w:id="24"/>
      <w:r w:rsidDel="00000000" w:rsidR="00000000" w:rsidRPr="00000000">
        <w:rPr>
          <w:rtl w:val="0"/>
        </w:rPr>
        <w:t xml:space="preserve">acquisition_instrument_model</w:t>
      </w:r>
    </w:p>
    <w:p w:rsidR="00000000" w:rsidDel="00000000" w:rsidP="00000000" w:rsidRDefault="00000000" w:rsidRPr="00000000" w14:paraId="00000098">
      <w:pPr>
        <w:rPr/>
      </w:pPr>
      <w:r w:rsidDel="00000000" w:rsidR="00000000" w:rsidRPr="00000000">
        <w:rPr>
          <w:b w:val="1"/>
          <w:rtl w:val="0"/>
        </w:rPr>
        <w:t xml:space="preserve">Description:</w:t>
      </w:r>
      <w:r w:rsidDel="00000000" w:rsidR="00000000" w:rsidRPr="00000000">
        <w:rPr>
          <w:rtl w:val="0"/>
        </w:rPr>
        <w:t xml:space="preserve"> Manufacturers of an acquisition instrument may offer various versions (models) of that instrument with different features or sensitivities. Differences in features or sensitivities may be relevant to processing or interpretation of the data. </w:t>
      </w:r>
    </w:p>
    <w:p w:rsidR="00000000" w:rsidDel="00000000" w:rsidP="00000000" w:rsidRDefault="00000000" w:rsidRPr="00000000" w14:paraId="00000099">
      <w:pPr>
        <w:rPr/>
      </w:pPr>
      <w:r w:rsidDel="00000000" w:rsidR="00000000" w:rsidRPr="00000000">
        <w:rPr>
          <w:b w:val="1"/>
          <w:rtl w:val="0"/>
        </w:rPr>
        <w:t xml:space="preserve">Allowed Values:</w:t>
      </w:r>
      <w:r w:rsidDel="00000000" w:rsidR="00000000" w:rsidRPr="00000000">
        <w:rPr>
          <w:rtl w:val="0"/>
        </w:rPr>
        <w:t xml:space="preserve"> </w:t>
      </w:r>
      <w:r w:rsidDel="00000000" w:rsidR="00000000" w:rsidRPr="00000000">
        <w:rPr>
          <w:rtl w:val="0"/>
        </w:rPr>
        <w:t xml:space="preserve">Any string, but will be normalized during curation.</w:t>
      </w:r>
      <w:r w:rsidDel="00000000" w:rsidR="00000000" w:rsidRPr="00000000">
        <w:rPr>
          <w:rtl w:val="0"/>
        </w:rPr>
      </w:r>
    </w:p>
    <w:p w:rsidR="00000000" w:rsidDel="00000000" w:rsidP="00000000" w:rsidRDefault="00000000" w:rsidRPr="00000000" w14:paraId="0000009A">
      <w:pPr>
        <w:pStyle w:val="Heading3"/>
        <w:rPr/>
      </w:pPr>
      <w:bookmarkStart w:colFirst="0" w:colLast="0" w:name="_xyl7oa7lr0a2" w:id="25"/>
      <w:bookmarkEnd w:id="25"/>
      <w:r w:rsidDel="00000000" w:rsidR="00000000" w:rsidRPr="00000000">
        <w:rPr>
          <w:rtl w:val="0"/>
        </w:rPr>
        <w:t xml:space="preserve">resolution_x_value</w:t>
      </w:r>
    </w:p>
    <w:p w:rsidR="00000000" w:rsidDel="00000000" w:rsidP="00000000" w:rsidRDefault="00000000" w:rsidRPr="00000000" w14:paraId="0000009B">
      <w:pPr>
        <w:rPr/>
      </w:pPr>
      <w:r w:rsidDel="00000000" w:rsidR="00000000" w:rsidRPr="00000000">
        <w:rPr>
          <w:b w:val="1"/>
          <w:rtl w:val="0"/>
        </w:rPr>
        <w:t xml:space="preserve">Description:</w:t>
      </w:r>
      <w:r w:rsidDel="00000000" w:rsidR="00000000" w:rsidRPr="00000000">
        <w:rPr>
          <w:rtl w:val="0"/>
        </w:rPr>
        <w:t xml:space="preserve"> The width of a pixel.</w:t>
      </w:r>
    </w:p>
    <w:p w:rsidR="00000000" w:rsidDel="00000000" w:rsidP="00000000" w:rsidRDefault="00000000" w:rsidRPr="00000000" w14:paraId="0000009C">
      <w:pPr>
        <w:rPr/>
      </w:pPr>
      <w:r w:rsidDel="00000000" w:rsidR="00000000" w:rsidRPr="00000000">
        <w:rPr>
          <w:b w:val="1"/>
          <w:rtl w:val="0"/>
        </w:rPr>
        <w:t xml:space="preserve">Allowed Values:</w:t>
      </w:r>
      <w:r w:rsidDel="00000000" w:rsidR="00000000" w:rsidRPr="00000000">
        <w:rPr>
          <w:rtl w:val="0"/>
        </w:rPr>
        <w:t xml:space="preserve"> Any positive floating-point number.</w:t>
      </w:r>
    </w:p>
    <w:p w:rsidR="00000000" w:rsidDel="00000000" w:rsidP="00000000" w:rsidRDefault="00000000" w:rsidRPr="00000000" w14:paraId="0000009D">
      <w:pPr>
        <w:pStyle w:val="Heading3"/>
        <w:rPr/>
      </w:pPr>
      <w:bookmarkStart w:colFirst="0" w:colLast="0" w:name="_xcpqraznan0" w:id="26"/>
      <w:bookmarkEnd w:id="26"/>
      <w:r w:rsidDel="00000000" w:rsidR="00000000" w:rsidRPr="00000000">
        <w:rPr>
          <w:rtl w:val="0"/>
        </w:rPr>
        <w:t xml:space="preserve">resolution_x_unit</w:t>
      </w:r>
    </w:p>
    <w:p w:rsidR="00000000" w:rsidDel="00000000" w:rsidP="00000000" w:rsidRDefault="00000000" w:rsidRPr="00000000" w14:paraId="0000009E">
      <w:pPr>
        <w:rPr/>
      </w:pPr>
      <w:r w:rsidDel="00000000" w:rsidR="00000000" w:rsidRPr="00000000">
        <w:rPr>
          <w:b w:val="1"/>
          <w:rtl w:val="0"/>
        </w:rPr>
        <w:t xml:space="preserve">Description:</w:t>
      </w:r>
      <w:r w:rsidDel="00000000" w:rsidR="00000000" w:rsidRPr="00000000">
        <w:rPr>
          <w:rtl w:val="0"/>
        </w:rPr>
        <w:t xml:space="preserve"> The unit of measurement of width of a pixel.</w:t>
      </w:r>
    </w:p>
    <w:p w:rsidR="00000000" w:rsidDel="00000000" w:rsidP="00000000" w:rsidRDefault="00000000" w:rsidRPr="00000000" w14:paraId="0000009F">
      <w:pPr>
        <w:rPr/>
      </w:pPr>
      <w:r w:rsidDel="00000000" w:rsidR="00000000" w:rsidRPr="00000000">
        <w:rPr>
          <w:b w:val="1"/>
          <w:rtl w:val="0"/>
        </w:rPr>
        <w:t xml:space="preserve">Allowed Values:</w:t>
      </w:r>
      <w:r w:rsidDel="00000000" w:rsidR="00000000" w:rsidRPr="00000000">
        <w:rPr>
          <w:rtl w:val="0"/>
        </w:rPr>
        <w:t xml:space="preserve"> "cm", "mm", "u</w:t>
      </w:r>
      <w:r w:rsidDel="00000000" w:rsidR="00000000" w:rsidRPr="00000000">
        <w:rPr>
          <w:rtl w:val="0"/>
        </w:rPr>
        <w:t xml:space="preserve">m</w:t>
      </w:r>
      <w:r w:rsidDel="00000000" w:rsidR="00000000" w:rsidRPr="00000000">
        <w:rPr>
          <w:rtl w:val="0"/>
        </w:rPr>
        <w:t xml:space="preserve">", "nm", "pm" (Note: not "µm")</w:t>
      </w:r>
    </w:p>
    <w:p w:rsidR="00000000" w:rsidDel="00000000" w:rsidP="00000000" w:rsidRDefault="00000000" w:rsidRPr="00000000" w14:paraId="000000A0">
      <w:pPr>
        <w:pStyle w:val="Heading3"/>
        <w:rPr/>
      </w:pPr>
      <w:bookmarkStart w:colFirst="0" w:colLast="0" w:name="_ikgsv6dej4ab" w:id="27"/>
      <w:bookmarkEnd w:id="27"/>
      <w:r w:rsidDel="00000000" w:rsidR="00000000" w:rsidRPr="00000000">
        <w:rPr>
          <w:rtl w:val="0"/>
        </w:rPr>
        <w:t xml:space="preserve">resolution_y_value</w:t>
      </w:r>
    </w:p>
    <w:p w:rsidR="00000000" w:rsidDel="00000000" w:rsidP="00000000" w:rsidRDefault="00000000" w:rsidRPr="00000000" w14:paraId="000000A1">
      <w:pPr>
        <w:rPr/>
      </w:pPr>
      <w:r w:rsidDel="00000000" w:rsidR="00000000" w:rsidRPr="00000000">
        <w:rPr>
          <w:b w:val="1"/>
          <w:rtl w:val="0"/>
        </w:rPr>
        <w:t xml:space="preserve">Description:</w:t>
      </w:r>
      <w:r w:rsidDel="00000000" w:rsidR="00000000" w:rsidRPr="00000000">
        <w:rPr>
          <w:rtl w:val="0"/>
        </w:rPr>
        <w:t xml:space="preserve"> The height of a pixel.</w:t>
      </w:r>
    </w:p>
    <w:p w:rsidR="00000000" w:rsidDel="00000000" w:rsidP="00000000" w:rsidRDefault="00000000" w:rsidRPr="00000000" w14:paraId="000000A2">
      <w:pPr>
        <w:rPr/>
      </w:pPr>
      <w:r w:rsidDel="00000000" w:rsidR="00000000" w:rsidRPr="00000000">
        <w:rPr>
          <w:b w:val="1"/>
          <w:rtl w:val="0"/>
        </w:rPr>
        <w:t xml:space="preserve">Allowed Values:</w:t>
      </w:r>
      <w:r w:rsidDel="00000000" w:rsidR="00000000" w:rsidRPr="00000000">
        <w:rPr>
          <w:rtl w:val="0"/>
        </w:rPr>
        <w:t xml:space="preserve"> Any positive floating-point number.</w:t>
      </w:r>
    </w:p>
    <w:p w:rsidR="00000000" w:rsidDel="00000000" w:rsidP="00000000" w:rsidRDefault="00000000" w:rsidRPr="00000000" w14:paraId="000000A3">
      <w:pPr>
        <w:pStyle w:val="Heading3"/>
        <w:rPr/>
      </w:pPr>
      <w:bookmarkStart w:colFirst="0" w:colLast="0" w:name="_h39hgmgrzbyv" w:id="28"/>
      <w:bookmarkEnd w:id="28"/>
      <w:r w:rsidDel="00000000" w:rsidR="00000000" w:rsidRPr="00000000">
        <w:rPr>
          <w:rtl w:val="0"/>
        </w:rPr>
        <w:t xml:space="preserve">resolution_y_unit</w:t>
      </w:r>
    </w:p>
    <w:p w:rsidR="00000000" w:rsidDel="00000000" w:rsidP="00000000" w:rsidRDefault="00000000" w:rsidRPr="00000000" w14:paraId="000000A4">
      <w:pPr>
        <w:rPr/>
      </w:pPr>
      <w:r w:rsidDel="00000000" w:rsidR="00000000" w:rsidRPr="00000000">
        <w:rPr>
          <w:b w:val="1"/>
          <w:rtl w:val="0"/>
        </w:rPr>
        <w:t xml:space="preserve">Description:</w:t>
      </w:r>
      <w:r w:rsidDel="00000000" w:rsidR="00000000" w:rsidRPr="00000000">
        <w:rPr>
          <w:rtl w:val="0"/>
        </w:rPr>
        <w:t xml:space="preserve"> The unit of measurement of height of a pixel.</w:t>
      </w:r>
    </w:p>
    <w:p w:rsidR="00000000" w:rsidDel="00000000" w:rsidP="00000000" w:rsidRDefault="00000000" w:rsidRPr="00000000" w14:paraId="000000A5">
      <w:pPr>
        <w:rPr/>
      </w:pPr>
      <w:r w:rsidDel="00000000" w:rsidR="00000000" w:rsidRPr="00000000">
        <w:rPr>
          <w:b w:val="1"/>
          <w:rtl w:val="0"/>
        </w:rPr>
        <w:t xml:space="preserve">Allowed Values:</w:t>
      </w:r>
      <w:r w:rsidDel="00000000" w:rsidR="00000000" w:rsidRPr="00000000">
        <w:rPr>
          <w:rtl w:val="0"/>
        </w:rPr>
        <w:t xml:space="preserve"> "cm", "mm", "u</w:t>
      </w:r>
      <w:r w:rsidDel="00000000" w:rsidR="00000000" w:rsidRPr="00000000">
        <w:rPr>
          <w:rtl w:val="0"/>
        </w:rPr>
        <w:t xml:space="preserve">m</w:t>
      </w:r>
      <w:r w:rsidDel="00000000" w:rsidR="00000000" w:rsidRPr="00000000">
        <w:rPr>
          <w:rtl w:val="0"/>
        </w:rPr>
        <w:t xml:space="preserve">", "nm", "pm" (Note: not "µm")</w:t>
      </w:r>
    </w:p>
    <w:p w:rsidR="00000000" w:rsidDel="00000000" w:rsidP="00000000" w:rsidRDefault="00000000" w:rsidRPr="00000000" w14:paraId="000000A6">
      <w:pPr>
        <w:pStyle w:val="Heading3"/>
        <w:rPr/>
      </w:pPr>
      <w:bookmarkStart w:colFirst="0" w:colLast="0" w:name="_208nyowv2szu" w:id="29"/>
      <w:bookmarkEnd w:id="29"/>
      <w:r w:rsidDel="00000000" w:rsidR="00000000" w:rsidRPr="00000000">
        <w:rPr>
          <w:rtl w:val="0"/>
        </w:rPr>
        <w:t xml:space="preserve">resolution_z_value</w:t>
      </w:r>
    </w:p>
    <w:p w:rsidR="00000000" w:rsidDel="00000000" w:rsidP="00000000" w:rsidRDefault="00000000" w:rsidRPr="00000000" w14:paraId="000000A7">
      <w:pPr>
        <w:rPr/>
      </w:pPr>
      <w:r w:rsidDel="00000000" w:rsidR="00000000" w:rsidRPr="00000000">
        <w:rPr>
          <w:b w:val="1"/>
          <w:rtl w:val="0"/>
        </w:rPr>
        <w:t xml:space="preserve">Description:</w:t>
      </w:r>
      <w:r w:rsidDel="00000000" w:rsidR="00000000" w:rsidRPr="00000000">
        <w:rPr>
          <w:rtl w:val="0"/>
        </w:rPr>
        <w:t xml:space="preserve"> Optional if assay does not have multiple z-levels. Note that this is resolution within a given sample: z-pitch (resolution_z_value) is the increment distance between image slices. The thickness of the sample itself is sample metadata.</w:t>
      </w:r>
    </w:p>
    <w:p w:rsidR="00000000" w:rsidDel="00000000" w:rsidP="00000000" w:rsidRDefault="00000000" w:rsidRPr="00000000" w14:paraId="000000A8">
      <w:pPr>
        <w:rPr/>
      </w:pPr>
      <w:r w:rsidDel="00000000" w:rsidR="00000000" w:rsidRPr="00000000">
        <w:rPr>
          <w:b w:val="1"/>
          <w:rtl w:val="0"/>
        </w:rPr>
        <w:t xml:space="preserve">Allowed Values:</w:t>
      </w:r>
      <w:r w:rsidDel="00000000" w:rsidR="00000000" w:rsidRPr="00000000">
        <w:rPr>
          <w:rtl w:val="0"/>
        </w:rPr>
        <w:t xml:space="preserve"> Any positive floating-point number.</w:t>
      </w:r>
    </w:p>
    <w:p w:rsidR="00000000" w:rsidDel="00000000" w:rsidP="00000000" w:rsidRDefault="00000000" w:rsidRPr="00000000" w14:paraId="000000A9">
      <w:pPr>
        <w:pStyle w:val="Heading3"/>
        <w:rPr/>
      </w:pPr>
      <w:bookmarkStart w:colFirst="0" w:colLast="0" w:name="_cisyn7bmu4zm" w:id="30"/>
      <w:bookmarkEnd w:id="30"/>
      <w:r w:rsidDel="00000000" w:rsidR="00000000" w:rsidRPr="00000000">
        <w:rPr>
          <w:rtl w:val="0"/>
        </w:rPr>
        <w:t xml:space="preserve">resolution_z_unit</w:t>
      </w:r>
    </w:p>
    <w:p w:rsidR="00000000" w:rsidDel="00000000" w:rsidP="00000000" w:rsidRDefault="00000000" w:rsidRPr="00000000" w14:paraId="000000AA">
      <w:pPr>
        <w:rPr/>
      </w:pPr>
      <w:r w:rsidDel="00000000" w:rsidR="00000000" w:rsidRPr="00000000">
        <w:rPr>
          <w:b w:val="1"/>
          <w:rtl w:val="0"/>
        </w:rPr>
        <w:t xml:space="preserve">Description:</w:t>
      </w:r>
      <w:r w:rsidDel="00000000" w:rsidR="00000000" w:rsidRPr="00000000">
        <w:rPr>
          <w:rtl w:val="0"/>
        </w:rPr>
        <w:t xml:space="preserve"> The unit of incremental distance between image slices.</w:t>
      </w:r>
    </w:p>
    <w:p w:rsidR="00000000" w:rsidDel="00000000" w:rsidP="00000000" w:rsidRDefault="00000000" w:rsidRPr="00000000" w14:paraId="000000AB">
      <w:pPr>
        <w:rPr/>
      </w:pPr>
      <w:r w:rsidDel="00000000" w:rsidR="00000000" w:rsidRPr="00000000">
        <w:rPr>
          <w:b w:val="1"/>
          <w:rtl w:val="0"/>
        </w:rPr>
        <w:t xml:space="preserve">Allowed Values:</w:t>
      </w:r>
      <w:r w:rsidDel="00000000" w:rsidR="00000000" w:rsidRPr="00000000">
        <w:rPr>
          <w:rtl w:val="0"/>
        </w:rPr>
        <w:t xml:space="preserve"> "cm", "mm", "u</w:t>
      </w:r>
      <w:r w:rsidDel="00000000" w:rsidR="00000000" w:rsidRPr="00000000">
        <w:rPr>
          <w:rtl w:val="0"/>
        </w:rPr>
        <w:t xml:space="preserve">m</w:t>
      </w:r>
      <w:r w:rsidDel="00000000" w:rsidR="00000000" w:rsidRPr="00000000">
        <w:rPr>
          <w:rtl w:val="0"/>
        </w:rPr>
        <w:t xml:space="preserve">", "nm", "pm" (Note: not "µm").</w:t>
      </w:r>
    </w:p>
    <w:p w:rsidR="00000000" w:rsidDel="00000000" w:rsidP="00000000" w:rsidRDefault="00000000" w:rsidRPr="00000000" w14:paraId="000000AC">
      <w:pPr>
        <w:pStyle w:val="Heading2"/>
        <w:rPr/>
      </w:pPr>
      <w:bookmarkStart w:colFirst="0" w:colLast="0" w:name="_sm2c2nul5c8h" w:id="31"/>
      <w:bookmarkEnd w:id="31"/>
      <w:r w:rsidDel="00000000" w:rsidR="00000000" w:rsidRPr="00000000">
        <w:rPr>
          <w:rtl w:val="0"/>
        </w:rPr>
        <w:t xml:space="preserve">Level 3 Attributes Section (here: “CODEX”)</w:t>
      </w:r>
    </w:p>
    <w:p w:rsidR="00000000" w:rsidDel="00000000" w:rsidP="00000000" w:rsidRDefault="00000000" w:rsidRPr="00000000" w14:paraId="000000AD">
      <w:pPr>
        <w:rPr>
          <w:b w:val="1"/>
        </w:rPr>
      </w:pPr>
      <w:r w:rsidDel="00000000" w:rsidR="00000000" w:rsidRPr="00000000">
        <w:rPr>
          <w:rtl w:val="0"/>
        </w:rPr>
        <w:t xml:space="preserve">Different types of assays will use different subsets of Level 3 Fields. </w:t>
      </w:r>
      <w:r w:rsidDel="00000000" w:rsidR="00000000" w:rsidRPr="00000000">
        <w:rPr>
          <w:b w:val="1"/>
          <w:rtl w:val="0"/>
        </w:rPr>
        <w:t xml:space="preserve">For this preview, we only cover those attributes shared by all CODEX assays.</w:t>
      </w:r>
    </w:p>
    <w:p w:rsidR="00000000" w:rsidDel="00000000" w:rsidP="00000000" w:rsidRDefault="00000000" w:rsidRPr="00000000" w14:paraId="000000AE">
      <w:pPr>
        <w:pStyle w:val="Heading3"/>
        <w:rPr/>
      </w:pPr>
      <w:bookmarkStart w:colFirst="0" w:colLast="0" w:name="_rgbrn4xjzvp6" w:id="32"/>
      <w:bookmarkEnd w:id="32"/>
      <w:commentRangeStart w:id="5"/>
      <w:r w:rsidDel="00000000" w:rsidR="00000000" w:rsidRPr="00000000">
        <w:rPr>
          <w:rtl w:val="0"/>
        </w:rPr>
        <w:t xml:space="preserve">preparation_instrument_vendor</w:t>
      </w:r>
    </w:p>
    <w:p w:rsidR="00000000" w:rsidDel="00000000" w:rsidP="00000000" w:rsidRDefault="00000000" w:rsidRPr="00000000" w14:paraId="000000AF">
      <w:pPr>
        <w:rPr>
          <w:b w:val="1"/>
        </w:rPr>
      </w:pPr>
      <w:r w:rsidDel="00000000" w:rsidR="00000000" w:rsidRPr="00000000">
        <w:rPr>
          <w:b w:val="1"/>
          <w:rtl w:val="0"/>
        </w:rPr>
        <w:t xml:space="preserve">Description: </w:t>
      </w:r>
    </w:p>
    <w:p w:rsidR="00000000" w:rsidDel="00000000" w:rsidP="00000000" w:rsidRDefault="00000000" w:rsidRPr="00000000" w14:paraId="000000B0">
      <w:pPr>
        <w:rPr>
          <w:i w:val="1"/>
          <w:color w:val="ff0000"/>
        </w:rPr>
      </w:pPr>
      <w:r w:rsidDel="00000000" w:rsidR="00000000" w:rsidRPr="00000000">
        <w:rPr>
          <w:b w:val="1"/>
          <w:rtl w:val="0"/>
        </w:rPr>
        <w:t xml:space="preserve">Allowed Values:</w:t>
      </w:r>
      <w:r w:rsidDel="00000000" w:rsidR="00000000" w:rsidRPr="00000000">
        <w:rPr>
          <w:rtl w:val="0"/>
        </w:rPr>
        <w:t xml:space="preserve"> </w:t>
      </w:r>
      <w:r w:rsidDel="00000000" w:rsidR="00000000" w:rsidRPr="00000000">
        <w:rPr>
          <w:rtl w:val="0"/>
        </w:rPr>
        <w:t xml:space="preserve">Akoy</w:t>
      </w:r>
      <w:r w:rsidDel="00000000" w:rsidR="00000000" w:rsidRPr="00000000">
        <w:rPr>
          <w:rtl w:val="0"/>
        </w:rPr>
        <w:t xml:space="preserve">a, ... </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rPr/>
      </w:pPr>
      <w:bookmarkStart w:colFirst="0" w:colLast="0" w:name="_3x5xdob4huwh" w:id="33"/>
      <w:bookmarkEnd w:id="33"/>
      <w:r w:rsidDel="00000000" w:rsidR="00000000" w:rsidRPr="00000000">
        <w:rPr>
          <w:rtl w:val="0"/>
        </w:rPr>
        <w:t xml:space="preserve">preparation_instrument_model</w:t>
      </w:r>
    </w:p>
    <w:p w:rsidR="00000000" w:rsidDel="00000000" w:rsidP="00000000" w:rsidRDefault="00000000" w:rsidRPr="00000000" w14:paraId="000000B3">
      <w:pPr>
        <w:rPr>
          <w:b w:val="1"/>
        </w:rPr>
      </w:pPr>
      <w:r w:rsidDel="00000000" w:rsidR="00000000" w:rsidRPr="00000000">
        <w:rPr>
          <w:b w:val="1"/>
          <w:rtl w:val="0"/>
        </w:rPr>
        <w:t xml:space="preserve">Description: </w:t>
      </w:r>
    </w:p>
    <w:p w:rsidR="00000000" w:rsidDel="00000000" w:rsidP="00000000" w:rsidRDefault="00000000" w:rsidRPr="00000000" w14:paraId="000000B4">
      <w:pPr>
        <w:rPr>
          <w:i w:val="1"/>
          <w:color w:val="ff0000"/>
        </w:rPr>
      </w:pPr>
      <w:r w:rsidDel="00000000" w:rsidR="00000000" w:rsidRPr="00000000">
        <w:rPr>
          <w:b w:val="1"/>
          <w:rtl w:val="0"/>
        </w:rPr>
        <w:t xml:space="preserve">Allowed Values:</w:t>
      </w:r>
      <w:r w:rsidDel="00000000" w:rsidR="00000000" w:rsidRPr="00000000">
        <w:rPr>
          <w:rtl w:val="0"/>
        </w:rPr>
        <w:t xml:space="preserve"> free text-for now</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B5">
      <w:pPr>
        <w:pStyle w:val="Heading3"/>
        <w:rPr/>
      </w:pPr>
      <w:bookmarkStart w:colFirst="0" w:colLast="0" w:name="_ko7v7uc5w1qd" w:id="34"/>
      <w:bookmarkEnd w:id="34"/>
      <w:r w:rsidDel="00000000" w:rsidR="00000000" w:rsidRPr="00000000">
        <w:rPr>
          <w:rtl w:val="0"/>
        </w:rPr>
        <w:t xml:space="preserve">number_of_antibodies</w:t>
      </w:r>
    </w:p>
    <w:p w:rsidR="00000000" w:rsidDel="00000000" w:rsidP="00000000" w:rsidRDefault="00000000" w:rsidRPr="00000000" w14:paraId="000000B6">
      <w:pPr>
        <w:rPr/>
      </w:pPr>
      <w:r w:rsidDel="00000000" w:rsidR="00000000" w:rsidRPr="00000000">
        <w:rPr>
          <w:b w:val="1"/>
          <w:rtl w:val="0"/>
        </w:rPr>
        <w:t xml:space="preserve">Description:</w:t>
      </w:r>
      <w:r w:rsidDel="00000000" w:rsidR="00000000" w:rsidRPr="00000000">
        <w:rPr>
          <w:rtl w:val="0"/>
        </w:rPr>
        <w:t xml:space="preserve"> Number of antibodies</w:t>
      </w:r>
    </w:p>
    <w:p w:rsidR="00000000" w:rsidDel="00000000" w:rsidP="00000000" w:rsidRDefault="00000000" w:rsidRPr="00000000" w14:paraId="000000B7">
      <w:pPr>
        <w:rPr/>
      </w:pPr>
      <w:r w:rsidDel="00000000" w:rsidR="00000000" w:rsidRPr="00000000">
        <w:rPr>
          <w:b w:val="1"/>
          <w:rtl w:val="0"/>
        </w:rPr>
        <w:t xml:space="preserve">Allowed Values:</w:t>
      </w:r>
      <w:r w:rsidDel="00000000" w:rsidR="00000000" w:rsidRPr="00000000">
        <w:rPr>
          <w:rtl w:val="0"/>
        </w:rPr>
        <w:t xml:space="preserve"> Integer</w:t>
      </w:r>
    </w:p>
    <w:p w:rsidR="00000000" w:rsidDel="00000000" w:rsidP="00000000" w:rsidRDefault="00000000" w:rsidRPr="00000000" w14:paraId="000000B8">
      <w:pPr>
        <w:pStyle w:val="Heading3"/>
        <w:rPr/>
      </w:pPr>
      <w:bookmarkStart w:colFirst="0" w:colLast="0" w:name="_7e1ta3m73dnu" w:id="35"/>
      <w:bookmarkEnd w:id="35"/>
      <w:r w:rsidDel="00000000" w:rsidR="00000000" w:rsidRPr="00000000">
        <w:rPr>
          <w:rtl w:val="0"/>
        </w:rPr>
        <w:t xml:space="preserve">number_of_cycles</w:t>
      </w:r>
    </w:p>
    <w:p w:rsidR="00000000" w:rsidDel="00000000" w:rsidP="00000000" w:rsidRDefault="00000000" w:rsidRPr="00000000" w14:paraId="000000B9">
      <w:pPr>
        <w:rPr/>
      </w:pPr>
      <w:r w:rsidDel="00000000" w:rsidR="00000000" w:rsidRPr="00000000">
        <w:rPr>
          <w:b w:val="1"/>
          <w:rtl w:val="0"/>
        </w:rPr>
        <w:t xml:space="preserve">Description:</w:t>
      </w:r>
      <w:r w:rsidDel="00000000" w:rsidR="00000000" w:rsidRPr="00000000">
        <w:rPr>
          <w:rtl w:val="0"/>
        </w:rPr>
        <w:t xml:space="preserve"> Number of cycles of 1. oligo application, 2. fluor application, 3. washes</w:t>
      </w:r>
    </w:p>
    <w:p w:rsidR="00000000" w:rsidDel="00000000" w:rsidP="00000000" w:rsidRDefault="00000000" w:rsidRPr="00000000" w14:paraId="000000BA">
      <w:pPr>
        <w:rPr/>
      </w:pPr>
      <w:r w:rsidDel="00000000" w:rsidR="00000000" w:rsidRPr="00000000">
        <w:rPr>
          <w:b w:val="1"/>
          <w:rtl w:val="0"/>
        </w:rPr>
        <w:t xml:space="preserve">Allowed Values:</w:t>
      </w:r>
      <w:r w:rsidDel="00000000" w:rsidR="00000000" w:rsidRPr="00000000">
        <w:rPr>
          <w:rtl w:val="0"/>
        </w:rPr>
        <w:t xml:space="preserve"> Integer</w:t>
      </w:r>
    </w:p>
    <w:p w:rsidR="00000000" w:rsidDel="00000000" w:rsidP="00000000" w:rsidRDefault="00000000" w:rsidRPr="00000000" w14:paraId="000000BB">
      <w:pPr>
        <w:pStyle w:val="Heading3"/>
        <w:rPr/>
      </w:pPr>
      <w:bookmarkStart w:colFirst="0" w:colLast="0" w:name="_iryybfvevisi" w:id="36"/>
      <w:bookmarkEnd w:id="36"/>
      <w:r w:rsidDel="00000000" w:rsidR="00000000" w:rsidRPr="00000000">
        <w:rPr>
          <w:rtl w:val="0"/>
        </w:rPr>
        <w:t xml:space="preserve">section_prep_protocols_io_doi</w:t>
      </w:r>
    </w:p>
    <w:p w:rsidR="00000000" w:rsidDel="00000000" w:rsidP="00000000" w:rsidRDefault="00000000" w:rsidRPr="00000000" w14:paraId="000000BC">
      <w:pPr>
        <w:rPr/>
      </w:pPr>
      <w:r w:rsidDel="00000000" w:rsidR="00000000" w:rsidRPr="00000000">
        <w:rPr>
          <w:b w:val="1"/>
          <w:rtl w:val="0"/>
        </w:rPr>
        <w:t xml:space="preserve">Description: </w:t>
      </w:r>
      <w:r w:rsidDel="00000000" w:rsidR="00000000" w:rsidRPr="00000000">
        <w:rPr>
          <w:rtl w:val="0"/>
        </w:rPr>
        <w:t xml:space="preserve">DOI for protocols.io referring to the protocol for preparing tissue sections for the assay. </w:t>
      </w:r>
    </w:p>
    <w:p w:rsidR="00000000" w:rsidDel="00000000" w:rsidP="00000000" w:rsidRDefault="00000000" w:rsidRPr="00000000" w14:paraId="000000BD">
      <w:pPr>
        <w:rPr/>
      </w:pPr>
      <w:r w:rsidDel="00000000" w:rsidR="00000000" w:rsidRPr="00000000">
        <w:rPr>
          <w:b w:val="1"/>
          <w:rtl w:val="0"/>
        </w:rPr>
        <w:t xml:space="preserve">Allowed values:</w:t>
      </w:r>
      <w:r w:rsidDel="00000000" w:rsidR="00000000" w:rsidRPr="00000000">
        <w:rPr>
          <w:rtl w:val="0"/>
        </w:rPr>
        <w:t xml:space="preserve"> A valid DOI (e.g. "10.17504/protocols.io.basdiea6")</w:t>
      </w:r>
    </w:p>
    <w:p w:rsidR="00000000" w:rsidDel="00000000" w:rsidP="00000000" w:rsidRDefault="00000000" w:rsidRPr="00000000" w14:paraId="000000BE">
      <w:pPr>
        <w:pStyle w:val="Heading3"/>
        <w:rPr/>
      </w:pPr>
      <w:bookmarkStart w:colFirst="0" w:colLast="0" w:name="_jy29vjx0e9rx" w:id="37"/>
      <w:bookmarkEnd w:id="37"/>
      <w:r w:rsidDel="00000000" w:rsidR="00000000" w:rsidRPr="00000000">
        <w:rPr>
          <w:rtl w:val="0"/>
        </w:rPr>
        <w:t xml:space="preserve">reagent_prep_protocols_io_doi</w:t>
      </w:r>
    </w:p>
    <w:p w:rsidR="00000000" w:rsidDel="00000000" w:rsidP="00000000" w:rsidRDefault="00000000" w:rsidRPr="00000000" w14:paraId="000000BF">
      <w:pPr>
        <w:rPr/>
      </w:pPr>
      <w:r w:rsidDel="00000000" w:rsidR="00000000" w:rsidRPr="00000000">
        <w:rPr>
          <w:b w:val="1"/>
          <w:rtl w:val="0"/>
        </w:rPr>
        <w:t xml:space="preserve">Description: </w:t>
      </w:r>
      <w:r w:rsidDel="00000000" w:rsidR="00000000" w:rsidRPr="00000000">
        <w:rPr>
          <w:rtl w:val="0"/>
        </w:rPr>
        <w:t xml:space="preserve">DOI for protocols.io referring to the protocol for preparing reagents for the assay. </w:t>
      </w:r>
    </w:p>
    <w:p w:rsidR="00000000" w:rsidDel="00000000" w:rsidP="00000000" w:rsidRDefault="00000000" w:rsidRPr="00000000" w14:paraId="000000C0">
      <w:pPr>
        <w:rPr/>
      </w:pPr>
      <w:r w:rsidDel="00000000" w:rsidR="00000000" w:rsidRPr="00000000">
        <w:rPr>
          <w:b w:val="1"/>
          <w:rtl w:val="0"/>
        </w:rPr>
        <w:t xml:space="preserve">Allowed values:</w:t>
      </w:r>
      <w:r w:rsidDel="00000000" w:rsidR="00000000" w:rsidRPr="00000000">
        <w:rPr>
          <w:rtl w:val="0"/>
        </w:rPr>
        <w:t xml:space="preserve"> A valid DOI (e.g. "10.17504/protocols.io.basdiea6")</w:t>
      </w:r>
    </w:p>
    <w:p w:rsidR="00000000" w:rsidDel="00000000" w:rsidP="00000000" w:rsidRDefault="00000000" w:rsidRPr="00000000" w14:paraId="000000C1">
      <w:pPr>
        <w:pStyle w:val="Heading2"/>
        <w:rPr/>
      </w:pPr>
      <w:bookmarkStart w:colFirst="0" w:colLast="0" w:name="_pxo0tsoywogn" w:id="38"/>
      <w:bookmarkEnd w:id="38"/>
      <w:r w:rsidDel="00000000" w:rsidR="00000000" w:rsidRPr="00000000">
        <w:rPr>
          <w:rtl w:val="0"/>
        </w:rPr>
        <w:t xml:space="preserve">Level 4 Reference Section</w:t>
      </w:r>
    </w:p>
    <w:p w:rsidR="00000000" w:rsidDel="00000000" w:rsidP="00000000" w:rsidRDefault="00000000" w:rsidRPr="00000000" w14:paraId="000000C2">
      <w:pPr>
        <w:pStyle w:val="Heading3"/>
        <w:rPr/>
      </w:pPr>
      <w:bookmarkStart w:colFirst="0" w:colLast="0" w:name="_ueh77bupq8l0" w:id="39"/>
      <w:bookmarkEnd w:id="39"/>
      <w:r w:rsidDel="00000000" w:rsidR="00000000" w:rsidRPr="00000000">
        <w:rPr>
          <w:rtl w:val="0"/>
        </w:rPr>
        <w:t xml:space="preserve">metadata_path</w:t>
      </w:r>
    </w:p>
    <w:p w:rsidR="00000000" w:rsidDel="00000000" w:rsidP="00000000" w:rsidRDefault="00000000" w:rsidRPr="00000000" w14:paraId="000000C3">
      <w:pPr>
        <w:rPr/>
      </w:pPr>
      <w:r w:rsidDel="00000000" w:rsidR="00000000" w:rsidRPr="00000000">
        <w:rPr>
          <w:b w:val="1"/>
          <w:rtl w:val="0"/>
        </w:rPr>
        <w:t xml:space="preserve">Description:</w:t>
      </w:r>
      <w:r w:rsidDel="00000000" w:rsidR="00000000" w:rsidRPr="00000000">
        <w:rPr>
          <w:rtl w:val="0"/>
        </w:rPr>
        <w:t xml:space="preserve"> Relative path to file or directory with free-form or instrument/lab specific metadata. </w:t>
      </w:r>
      <w:r w:rsidDel="00000000" w:rsidR="00000000" w:rsidRPr="00000000">
        <w:rPr>
          <w:i w:val="1"/>
          <w:rtl w:val="0"/>
        </w:rPr>
        <w:t xml:space="preserve">Optional.</w:t>
      </w:r>
      <w:r w:rsidDel="00000000" w:rsidR="00000000" w:rsidRPr="00000000">
        <w:rPr>
          <w:rtl w:val="0"/>
        </w:rPr>
      </w:r>
    </w:p>
    <w:p w:rsidR="00000000" w:rsidDel="00000000" w:rsidP="00000000" w:rsidRDefault="00000000" w:rsidRPr="00000000" w14:paraId="000000C4">
      <w:pPr>
        <w:rPr>
          <w:rFonts w:ascii="Courier New" w:cs="Courier New" w:eastAsia="Courier New" w:hAnsi="Courier New"/>
        </w:rPr>
      </w:pPr>
      <w:r w:rsidDel="00000000" w:rsidR="00000000" w:rsidRPr="00000000">
        <w:rPr>
          <w:b w:val="1"/>
          <w:rtl w:val="0"/>
        </w:rPr>
        <w:t xml:space="preserve">Allowed Values:</w:t>
      </w:r>
      <w:r w:rsidDel="00000000" w:rsidR="00000000" w:rsidRPr="00000000">
        <w:rPr>
          <w:rtl w:val="0"/>
        </w:rPr>
        <w:t xml:space="preserve"> Path required to exist on globus, and should be distinct from any </w:t>
      </w:r>
      <w:r w:rsidDel="00000000" w:rsidR="00000000" w:rsidRPr="00000000">
        <w:rPr>
          <w:rFonts w:ascii="Courier New" w:cs="Courier New" w:eastAsia="Courier New" w:hAnsi="Courier New"/>
          <w:rtl w:val="0"/>
        </w:rPr>
        <w:t xml:space="preserve">data_path.</w:t>
      </w:r>
    </w:p>
    <w:p w:rsidR="00000000" w:rsidDel="00000000" w:rsidP="00000000" w:rsidRDefault="00000000" w:rsidRPr="00000000" w14:paraId="000000C5">
      <w:pPr>
        <w:pStyle w:val="Heading2"/>
        <w:rPr/>
      </w:pPr>
      <w:bookmarkStart w:colFirst="0" w:colLast="0" w:name="_2ihsl5d7tm6n" w:id="40"/>
      <w:bookmarkEnd w:id="40"/>
      <w:r w:rsidDel="00000000" w:rsidR="00000000" w:rsidRPr="00000000">
        <w:rPr>
          <w:rtl w:val="0"/>
        </w:rPr>
        <w:t xml:space="preserve">Output Reference Section</w:t>
      </w:r>
    </w:p>
    <w:p w:rsidR="00000000" w:rsidDel="00000000" w:rsidP="00000000" w:rsidRDefault="00000000" w:rsidRPr="00000000" w14:paraId="000000C6">
      <w:pPr>
        <w:pStyle w:val="Heading3"/>
        <w:rPr/>
      </w:pPr>
      <w:bookmarkStart w:colFirst="0" w:colLast="0" w:name="_hqcb51fa4n78" w:id="41"/>
      <w:bookmarkEnd w:id="41"/>
      <w:r w:rsidDel="00000000" w:rsidR="00000000" w:rsidRPr="00000000">
        <w:rPr>
          <w:rtl w:val="0"/>
        </w:rPr>
        <w:t xml:space="preserve">data_path</w:t>
      </w:r>
    </w:p>
    <w:p w:rsidR="00000000" w:rsidDel="00000000" w:rsidP="00000000" w:rsidRDefault="00000000" w:rsidRPr="00000000" w14:paraId="000000C7">
      <w:pPr>
        <w:rPr/>
      </w:pPr>
      <w:r w:rsidDel="00000000" w:rsidR="00000000" w:rsidRPr="00000000">
        <w:rPr>
          <w:b w:val="1"/>
          <w:rtl w:val="0"/>
        </w:rPr>
        <w:t xml:space="preserve">Description:</w:t>
      </w:r>
      <w:r w:rsidDel="00000000" w:rsidR="00000000" w:rsidRPr="00000000">
        <w:rPr>
          <w:rtl w:val="0"/>
        </w:rPr>
        <w:t xml:space="preserve"> Relative path to file or directory with instrument data. Downstream processing will depend on filename extension conventions. </w:t>
      </w:r>
      <w:r w:rsidDel="00000000" w:rsidR="00000000" w:rsidRPr="00000000">
        <w:rPr>
          <w:i w:val="1"/>
          <w:rtl w:val="0"/>
        </w:rPr>
        <w:t xml:space="preserve">Required.</w:t>
      </w: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Allowed Values:</w:t>
      </w:r>
      <w:r w:rsidDel="00000000" w:rsidR="00000000" w:rsidRPr="00000000">
        <w:rPr>
          <w:rtl w:val="0"/>
        </w:rPr>
        <w:t xml:space="preserve"> Path required to exist on Globus, and should be distinct from any </w:t>
      </w:r>
      <w:r w:rsidDel="00000000" w:rsidR="00000000" w:rsidRPr="00000000">
        <w:rPr>
          <w:rFonts w:ascii="Courier New" w:cs="Courier New" w:eastAsia="Courier New" w:hAnsi="Courier New"/>
          <w:rtl w:val="0"/>
        </w:rPr>
        <w:t xml:space="preserve">metadata_path</w:t>
      </w:r>
      <w:r w:rsidDel="00000000" w:rsidR="00000000" w:rsidRPr="00000000">
        <w:rPr>
          <w:rtl w:val="0"/>
        </w:rPr>
        <w:t xml:space="preserve"> or other </w:t>
      </w:r>
      <w:r w:rsidDel="00000000" w:rsidR="00000000" w:rsidRPr="00000000">
        <w:rPr>
          <w:rFonts w:ascii="Courier New" w:cs="Courier New" w:eastAsia="Courier New" w:hAnsi="Courier New"/>
          <w:rtl w:val="0"/>
        </w:rPr>
        <w:t xml:space="preserve">data_path</w:t>
      </w:r>
      <w:r w:rsidDel="00000000" w:rsidR="00000000" w:rsidRPr="00000000">
        <w:rPr>
          <w:rtl w:val="0"/>
        </w:rPr>
        <w:t xml:space="preserve">. All the files of a submission should be covered by exactly one </w:t>
      </w:r>
      <w:r w:rsidDel="00000000" w:rsidR="00000000" w:rsidRPr="00000000">
        <w:rPr>
          <w:rFonts w:ascii="Courier New" w:cs="Courier New" w:eastAsia="Courier New" w:hAnsi="Courier New"/>
          <w:rtl w:val="0"/>
        </w:rPr>
        <w:t xml:space="preserve">metadata_path</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data_path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9">
      <w:pPr>
        <w:pStyle w:val="Heading1"/>
        <w:rPr/>
      </w:pPr>
      <w:bookmarkStart w:colFirst="0" w:colLast="0" w:name="_erqanzy9hro9" w:id="42"/>
      <w:bookmarkEnd w:id="42"/>
      <w:r w:rsidDel="00000000" w:rsidR="00000000" w:rsidRPr="00000000">
        <w:rPr>
          <w:rtl w:val="0"/>
        </w:rPr>
        <w:t xml:space="preserve">Appendix: </w:t>
      </w:r>
      <w:r w:rsidDel="00000000" w:rsidR="00000000" w:rsidRPr="00000000">
        <w:rPr>
          <w:rtl w:val="0"/>
        </w:rPr>
        <w:t xml:space="preserve">Implementation</w:t>
      </w:r>
      <w:r w:rsidDel="00000000" w:rsidR="00000000" w:rsidRPr="00000000">
        <w:rPr>
          <w:rtl w:val="0"/>
        </w:rPr>
        <w:t xml:space="preserve"> for HuBMAP Data Portal</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The required columns and allowed values will be defined by a set of JSON schema, e.g. checked into the </w:t>
      </w:r>
      <w:hyperlink r:id="rId9">
        <w:r w:rsidDel="00000000" w:rsidR="00000000" w:rsidRPr="00000000">
          <w:rPr>
            <w:color w:val="1155cc"/>
            <w:u w:val="single"/>
            <w:rtl w:val="0"/>
          </w:rPr>
          <w:t xml:space="preserve">ingest-pipeline</w:t>
        </w:r>
      </w:hyperlink>
      <w:r w:rsidDel="00000000" w:rsidR="00000000" w:rsidRPr="00000000">
        <w:rPr>
          <w:rtl w:val="0"/>
        </w:rPr>
        <w:t xml:space="preserve"> repository. From those we will generate human-readable documentation (which will replace this document) and TSV templates. Each type of assay will have its own template, so the schema will have some means of indicating which attribute goes with which assay type.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Allowed values should be defined via controlled vocabularies or ontologies.</w:t>
        <w:br w:type="textWrapping"/>
        <w:br w:type="textWrapping"/>
        <w:t xml:space="preserve">The </w:t>
      </w:r>
      <w:hyperlink r:id="rId10">
        <w:r w:rsidDel="00000000" w:rsidR="00000000" w:rsidRPr="00000000">
          <w:rPr>
            <w:color w:val="1155cc"/>
            <w:u w:val="single"/>
            <w:rtl w:val="0"/>
          </w:rPr>
          <w:t xml:space="preserve">cidc-schemas</w:t>
        </w:r>
      </w:hyperlink>
      <w:r w:rsidDel="00000000" w:rsidR="00000000" w:rsidRPr="00000000">
        <w:rPr>
          <w:rtl w:val="0"/>
        </w:rPr>
        <w:t xml:space="preserve"> project may provide some of the functionality we need, though it might not handle sub-typed schema like we will have.</w:t>
        <w:br w:type="textWrapping"/>
        <w:br w:type="textWrapping"/>
        <w:t xml:space="preserve">Submissions will be TSV using UTF-8. TSV because that is easier to hand edit than CSV and UTF-8 because some personnel names include non-ASCII characters. </w:t>
        <w:br w:type="textWrapping"/>
        <w:br w:type="textWrapping"/>
        <w:t xml:space="preserve">On ingest, the TSV will be translated to </w:t>
      </w:r>
      <w:r w:rsidDel="00000000" w:rsidR="00000000" w:rsidRPr="00000000">
        <w:rPr>
          <w:rtl w:val="0"/>
        </w:rPr>
        <w:t xml:space="preserve">nested JSON</w:t>
      </w:r>
      <w:r w:rsidDel="00000000" w:rsidR="00000000" w:rsidRPr="00000000">
        <w:rPr>
          <w:rtl w:val="0"/>
        </w:rPr>
        <w:t xml:space="preserve">: JSON schema doesn't adhere to an OO model, so a single flat space of attributes which can be extended in different directions is difficult to validate. There will be additional, programmatic checks:</w:t>
      </w:r>
    </w:p>
    <w:p w:rsidR="00000000" w:rsidDel="00000000" w:rsidP="00000000" w:rsidRDefault="00000000" w:rsidRPr="00000000" w14:paraId="000000CD">
      <w:pPr>
        <w:numPr>
          <w:ilvl w:val="0"/>
          <w:numId w:val="4"/>
        </w:numPr>
        <w:ind w:left="720" w:hanging="360"/>
        <w:rPr>
          <w:u w:val="none"/>
        </w:rPr>
      </w:pPr>
      <w:r w:rsidDel="00000000" w:rsidR="00000000" w:rsidRPr="00000000">
        <w:rPr>
          <w:rtl w:val="0"/>
        </w:rPr>
        <w:t xml:space="preserve">Are the referenced HuBMAP IDs valid?</w:t>
      </w:r>
    </w:p>
    <w:p w:rsidR="00000000" w:rsidDel="00000000" w:rsidP="00000000" w:rsidRDefault="00000000" w:rsidRPr="00000000" w14:paraId="000000CE">
      <w:pPr>
        <w:numPr>
          <w:ilvl w:val="0"/>
          <w:numId w:val="4"/>
        </w:numPr>
        <w:ind w:left="720" w:hanging="360"/>
        <w:rPr>
          <w:u w:val="none"/>
        </w:rPr>
      </w:pPr>
      <w:r w:rsidDel="00000000" w:rsidR="00000000" w:rsidRPr="00000000">
        <w:rPr>
          <w:rtl w:val="0"/>
        </w:rPr>
        <w:t xml:space="preserve">Do </w:t>
      </w:r>
      <w:r w:rsidDel="00000000" w:rsidR="00000000" w:rsidRPr="00000000">
        <w:rPr>
          <w:rFonts w:ascii="Courier New" w:cs="Courier New" w:eastAsia="Courier New" w:hAnsi="Courier New"/>
          <w:rtl w:val="0"/>
        </w:rPr>
        <w:t xml:space="preserve">metadata_path</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data_path</w:t>
      </w:r>
      <w:r w:rsidDel="00000000" w:rsidR="00000000" w:rsidRPr="00000000">
        <w:rPr>
          <w:rtl w:val="0"/>
        </w:rPr>
        <w:t xml:space="preserve"> point to valid files in the submission?</w:t>
      </w:r>
    </w:p>
    <w:p w:rsidR="00000000" w:rsidDel="00000000" w:rsidP="00000000" w:rsidRDefault="00000000" w:rsidRPr="00000000" w14:paraId="000000CF">
      <w:pPr>
        <w:numPr>
          <w:ilvl w:val="0"/>
          <w:numId w:val="4"/>
        </w:numPr>
        <w:ind w:left="720" w:hanging="360"/>
        <w:rPr>
          <w:u w:val="none"/>
        </w:rPr>
      </w:pPr>
      <w:r w:rsidDel="00000000" w:rsidR="00000000" w:rsidRPr="00000000">
        <w:rPr>
          <w:rtl w:val="0"/>
        </w:rPr>
        <w:t xml:space="preserve">Are all files in the submission covered, and none of them are referenced multiple times?</w:t>
      </w:r>
    </w:p>
    <w:p w:rsidR="00000000" w:rsidDel="00000000" w:rsidP="00000000" w:rsidRDefault="00000000" w:rsidRPr="00000000" w14:paraId="000000D0">
      <w:pPr>
        <w:numPr>
          <w:ilvl w:val="0"/>
          <w:numId w:val="4"/>
        </w:numPr>
        <w:ind w:left="720" w:hanging="360"/>
        <w:rPr>
          <w:u w:val="none"/>
        </w:rPr>
      </w:pPr>
      <w:r w:rsidDel="00000000" w:rsidR="00000000" w:rsidRPr="00000000">
        <w:rPr>
          <w:rtl w:val="0"/>
        </w:rPr>
        <w:t xml:space="preserve">Do the Level 2 and Level 3 attributes match the provided </w:t>
      </w:r>
      <w:r w:rsidDel="00000000" w:rsidR="00000000" w:rsidRPr="00000000">
        <w:rPr>
          <w:rFonts w:ascii="Courier New" w:cs="Courier New" w:eastAsia="Courier New" w:hAnsi="Courier New"/>
          <w:rtl w:val="0"/>
        </w:rPr>
        <w:t xml:space="preserve">assay_type</w:t>
      </w:r>
      <w:r w:rsidDel="00000000" w:rsidR="00000000" w:rsidRPr="00000000">
        <w:rPr>
          <w:i w:val="1"/>
          <w:rtl w:val="0"/>
        </w:rPr>
        <w:t xml:space="preserve">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assay_category</w:t>
      </w:r>
      <w:r w:rsidDel="00000000" w:rsidR="00000000" w:rsidRPr="00000000">
        <w:rPr>
          <w:rtl w:val="0"/>
        </w:rPr>
        <w:t xml:space="preserve"> (these are Level 1 attributes)</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If validation fails, error messages will indicate the coordinates of the error relative to the spreadsheet (i.e., rows and columns) and ideally suggest how the errors could be fixed.</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Before being passed to Neo4J to be loaded into the provenance graph, and eventually to Elasticsearch, the JSON will go through a second transform. This transform will</w:t>
      </w:r>
    </w:p>
    <w:p w:rsidR="00000000" w:rsidDel="00000000" w:rsidP="00000000" w:rsidRDefault="00000000" w:rsidRPr="00000000" w14:paraId="000000D5">
      <w:pPr>
        <w:numPr>
          <w:ilvl w:val="0"/>
          <w:numId w:val="3"/>
        </w:numPr>
        <w:ind w:left="720" w:hanging="360"/>
        <w:rPr>
          <w:u w:val="none"/>
        </w:rPr>
      </w:pPr>
      <w:r w:rsidDel="00000000" w:rsidR="00000000" w:rsidRPr="00000000">
        <w:rPr>
          <w:rtl w:val="0"/>
        </w:rPr>
        <w:t xml:space="preserve">Treat each line in the TSV as its own record.</w:t>
      </w:r>
    </w:p>
    <w:p w:rsidR="00000000" w:rsidDel="00000000" w:rsidP="00000000" w:rsidRDefault="00000000" w:rsidRPr="00000000" w14:paraId="000000D6">
      <w:pPr>
        <w:numPr>
          <w:ilvl w:val="0"/>
          <w:numId w:val="3"/>
        </w:numPr>
        <w:ind w:left="720" w:hanging="360"/>
        <w:rPr>
          <w:u w:val="none"/>
        </w:rPr>
      </w:pPr>
      <w:r w:rsidDel="00000000" w:rsidR="00000000" w:rsidRPr="00000000">
        <w:rPr>
          <w:rtl w:val="0"/>
        </w:rPr>
        <w:t xml:space="preserve">Flatten the nested structure that was used for validation.</w:t>
      </w:r>
    </w:p>
    <w:p w:rsidR="00000000" w:rsidDel="00000000" w:rsidP="00000000" w:rsidRDefault="00000000" w:rsidRPr="00000000" w14:paraId="000000D7">
      <w:pPr>
        <w:numPr>
          <w:ilvl w:val="0"/>
          <w:numId w:val="3"/>
        </w:numPr>
        <w:ind w:left="720" w:hanging="360"/>
        <w:rPr>
          <w:u w:val="none"/>
        </w:rPr>
      </w:pPr>
      <w:r w:rsidDel="00000000" w:rsidR="00000000" w:rsidRPr="00000000">
        <w:rPr>
          <w:rtl w:val="0"/>
        </w:rPr>
        <w:t xml:space="preserve">Flatten down the provenance chain, so an assay record will also have information about the donor and sample it comes from.</w:t>
      </w:r>
    </w:p>
    <w:p w:rsidR="00000000" w:rsidDel="00000000" w:rsidP="00000000" w:rsidRDefault="00000000" w:rsidRPr="00000000" w14:paraId="000000D8">
      <w:pPr>
        <w:numPr>
          <w:ilvl w:val="0"/>
          <w:numId w:val="3"/>
        </w:numPr>
        <w:ind w:left="720" w:hanging="360"/>
        <w:rPr>
          <w:u w:val="none"/>
        </w:rPr>
      </w:pPr>
      <w:r w:rsidDel="00000000" w:rsidR="00000000" w:rsidRPr="00000000">
        <w:rPr>
          <w:rtl w:val="0"/>
        </w:rPr>
        <w:t xml:space="preserve">Include the provenance as an additional attribute, along with metadata coming from the submission event itself. (The newly generated ID, the submitter, the datetime of submission.)</w:t>
        <w:br w:type="textWrapping"/>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jay Pillai" w:id="0" w:date="2020-02-19T20:18:16Z">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major remaining uncertainties is that it is unclear/unspecified which metadata elements will, in practice, come from the TMCs. E.g., some of what we call Donor metadata might arrive with the tissue metadata and so on.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work with the TMC to ensure that "unrecognized metadata" will require us to reach out to them to fix. This means we need at the HIVE/data ingestion a capability to add supplementary metadata to existing metadata for each entity.</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advantages to repeating some of the "previous entity's" metadata in the successive entity, just for checking purposes and removing mis-labeling etc.</w:t>
      </w:r>
    </w:p>
  </w:comment>
  <w:comment w:author="Ajay Pillai" w:id="1" w:date="2020-02-19T16:53:20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notion of data levels as well ... which relates to "pauses" (reasonable breaks that can involve different steps or individual algorithms that in principle can be improved by someone) in the data analysis pipelines.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notion of level here is different. We may want to think about different nomenclature for what is described here to avoid confusion.</w:t>
      </w:r>
    </w:p>
  </w:comment>
  <w:comment w:author="C McCallum" w:id="5" w:date="2020-02-18T17:47:38Z">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an enumeration, based on the data provided by labs. Chris will clarify.</w:t>
      </w:r>
    </w:p>
  </w:comment>
  <w:comment w:author="C McCallum" w:id="2" w:date="2020-02-18T17:46:27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we would like this to be an enumeration, based on the values the labs provide. Chris will revisit when more data is available.</w:t>
      </w:r>
    </w:p>
  </w:comment>
  <w:comment w:author="C McCallum" w:id="3" w:date="2020-02-18T21:46:32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spreadsheet has "Akoya Box, Keyence", which seems like two vendors.</w:t>
      </w:r>
    </w:p>
  </w:comment>
  <w:comment w:author="chris briggs" w:id="4" w:date="2020-02-19T17:24:42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correct.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-Akoya makes the CODEX robotic-fluidics component of the platform.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component of the platform is the integrated microscope which is produced by Keyence.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they call the entire integrated platform the Akoya CODEX, Keyence. The CODEX fluidics operates in conjunction with the microscope as different antibodies are iteratively applied, imaged and washed away.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Courier New" w:cs="Courier New" w:eastAsia="Courier New" w:hAnsi="Courier New"/>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github.com/CIMAC-CIDC/cidc-schemas" TargetMode="External"/><Relationship Id="rId9" Type="http://schemas.openxmlformats.org/officeDocument/2006/relationships/hyperlink" Target="https://github.com/hubmapconsortium/ingest-pipelin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ocs.google.com/spreadsheets/d/1GaBbtXb0jWCcx_G0RWrBp3ME4yyqglGbQJGC6xCkkHs/edit#gid=17848086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