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bookmarkStart w:colFirst="0" w:colLast="0" w:name="_vq24mjkc9oly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Submitting a Dataset to HuBMAP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dataset submission has two </w:t>
      </w:r>
      <w:r w:rsidDel="00000000" w:rsidR="00000000" w:rsidRPr="00000000">
        <w:rPr>
          <w:i w:val="1"/>
          <w:sz w:val="20"/>
          <w:szCs w:val="20"/>
          <w:rtl w:val="0"/>
        </w:rPr>
        <w:t xml:space="preserve">required components</w:t>
      </w:r>
      <w:r w:rsidDel="00000000" w:rsidR="00000000" w:rsidRPr="00000000">
        <w:rPr>
          <w:sz w:val="20"/>
          <w:szCs w:val="20"/>
          <w:rtl w:val="0"/>
        </w:rPr>
        <w:t xml:space="preserve"> and one </w:t>
      </w:r>
      <w:r w:rsidDel="00000000" w:rsidR="00000000" w:rsidRPr="00000000">
        <w:rPr>
          <w:i w:val="1"/>
          <w:sz w:val="20"/>
          <w:szCs w:val="20"/>
          <w:rtl w:val="0"/>
        </w:rPr>
        <w:t xml:space="preserve">optional component</w:t>
      </w:r>
      <w:r w:rsidDel="00000000" w:rsidR="00000000" w:rsidRPr="00000000">
        <w:rPr>
          <w:sz w:val="20"/>
          <w:szCs w:val="20"/>
          <w:rtl w:val="0"/>
        </w:rPr>
        <w:t xml:space="preserve"> submitted together in a </w:t>
      </w:r>
      <w:r w:rsidDel="00000000" w:rsidR="00000000" w:rsidRPr="00000000">
        <w:rPr>
          <w:sz w:val="20"/>
          <w:szCs w:val="20"/>
          <w:rtl w:val="0"/>
        </w:rPr>
        <w:t xml:space="preserve">data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submission directory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Required components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data directory</w:t>
      </w:r>
      <w:r w:rsidDel="00000000" w:rsidR="00000000" w:rsidRPr="00000000">
        <w:rPr>
          <w:sz w:val="20"/>
          <w:szCs w:val="20"/>
          <w:rtl w:val="0"/>
        </w:rPr>
        <w:t xml:space="preserve"> per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assay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metadata.tsv</w:t>
      </w:r>
      <w:r w:rsidDel="00000000" w:rsidR="00000000" w:rsidRPr="00000000">
        <w:rPr>
          <w:sz w:val="20"/>
          <w:szCs w:val="20"/>
          <w:rtl w:val="0"/>
        </w:rPr>
        <w:t xml:space="preserve"> per assay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Optional component, dependent upon the assay type: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metadata directory</w:t>
      </w:r>
      <w:r w:rsidDel="00000000" w:rsidR="00000000" w:rsidRPr="00000000">
        <w:rPr>
          <w:sz w:val="20"/>
          <w:szCs w:val="20"/>
          <w:rtl w:val="0"/>
        </w:rPr>
        <w:t xml:space="preserve"> per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multiple datasets have been generated with the same assay_type, they may be submitted together in a single </w:t>
      </w:r>
      <w:r w:rsidDel="00000000" w:rsidR="00000000" w:rsidRPr="00000000">
        <w:rPr>
          <w:sz w:val="20"/>
          <w:szCs w:val="20"/>
          <w:rtl w:val="0"/>
        </w:rPr>
        <w:t xml:space="preserve">data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submission directory</w:t>
      </w:r>
      <w:r w:rsidDel="00000000" w:rsidR="00000000" w:rsidRPr="00000000">
        <w:rPr>
          <w:sz w:val="20"/>
          <w:szCs w:val="20"/>
          <w:rtl w:val="0"/>
        </w:rPr>
        <w:t xml:space="preserve"> with a single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assay metadata.tsv</w:t>
      </w:r>
      <w:r w:rsidDel="00000000" w:rsidR="00000000" w:rsidRPr="00000000">
        <w:rPr>
          <w:i w:val="1"/>
          <w:sz w:val="20"/>
          <w:szCs w:val="20"/>
          <w:rtl w:val="0"/>
        </w:rPr>
        <w:t xml:space="preserve"> l</w:t>
      </w:r>
      <w:r w:rsidDel="00000000" w:rsidR="00000000" w:rsidRPr="00000000">
        <w:rPr>
          <w:sz w:val="20"/>
          <w:szCs w:val="20"/>
          <w:rtl w:val="0"/>
        </w:rPr>
        <w:t xml:space="preserve">isting all datasets, one per row (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Figure 1</w:t>
      </w:r>
      <w:r w:rsidDel="00000000" w:rsidR="00000000" w:rsidRPr="00000000">
        <w:rPr>
          <w:sz w:val="20"/>
          <w:szCs w:val="20"/>
          <w:rtl w:val="0"/>
        </w:rPr>
        <w:t xml:space="preserve">). Each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data directory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contains the data files (eg. </w:t>
      </w:r>
      <w:r w:rsidDel="00000000" w:rsidR="00000000" w:rsidRPr="00000000">
        <w:rPr>
          <w:i w:val="1"/>
          <w:sz w:val="20"/>
          <w:szCs w:val="20"/>
          <w:rtl w:val="0"/>
        </w:rPr>
        <w:t xml:space="preserve">image files, fastq files, etc)</w:t>
      </w:r>
      <w:r w:rsidDel="00000000" w:rsidR="00000000" w:rsidRPr="00000000">
        <w:rPr>
          <w:sz w:val="20"/>
          <w:szCs w:val="20"/>
          <w:rtl w:val="0"/>
        </w:rPr>
        <w:t xml:space="preserve"> for a single dataset.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metadata directory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contains optional relevant unstructured metadata files (eg. QC reports, instrument metadata in a </w:t>
      </w:r>
      <w:r w:rsidDel="00000000" w:rsidR="00000000" w:rsidRPr="00000000">
        <w:rPr>
          <w:i w:val="1"/>
          <w:sz w:val="20"/>
          <w:szCs w:val="20"/>
          <w:rtl w:val="0"/>
        </w:rPr>
        <w:t xml:space="preserve">json, csv, txt, xml. etc</w:t>
      </w:r>
      <w:r w:rsidDel="00000000" w:rsidR="00000000" w:rsidRPr="00000000">
        <w:rPr>
          <w:sz w:val="20"/>
          <w:szCs w:val="20"/>
          <w:rtl w:val="0"/>
        </w:rPr>
        <w:t xml:space="preserve">) for a single dataset.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assay metadata.tsv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 to provide levels 1, 2 &amp; 3 assay metadata features (eg.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protocol links, instruments in addition to assay-specific parameters</w:t>
      </w:r>
      <w:r w:rsidDel="00000000" w:rsidR="00000000" w:rsidRPr="00000000">
        <w:rPr>
          <w:sz w:val="20"/>
          <w:szCs w:val="20"/>
          <w:rtl w:val="0"/>
        </w:rPr>
        <w:t xml:space="preserve">) for each dataset. Datasets are listed one per row. Since different assays involve different assay parameters, HuBMAP provides several assay-type specific metadata.tsv templates (eg. CODEX, MALDI-IMS, autofluorescence microscopy, LC-MS, RNAseq, etc). The last 2 fields of every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assay metadata.tsv</w:t>
      </w:r>
      <w:r w:rsidDel="00000000" w:rsidR="00000000" w:rsidRPr="00000000">
        <w:rPr>
          <w:sz w:val="20"/>
          <w:szCs w:val="20"/>
          <w:rtl w:val="0"/>
        </w:rPr>
        <w:t xml:space="preserve"> (Figure 1: </w:t>
      </w:r>
      <w:r w:rsidDel="00000000" w:rsidR="00000000" w:rsidRPr="00000000">
        <w:rPr>
          <w:i w:val="1"/>
          <w:sz w:val="20"/>
          <w:szCs w:val="20"/>
          <w:rtl w:val="0"/>
        </w:rPr>
        <w:t xml:space="preserve">metadata_path</w:t>
      </w:r>
      <w:r w:rsidDel="00000000" w:rsidR="00000000" w:rsidRPr="00000000">
        <w:rPr>
          <w:sz w:val="20"/>
          <w:szCs w:val="20"/>
          <w:rtl w:val="0"/>
        </w:rPr>
        <w:t xml:space="preserve"> &amp;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data_path </w:t>
      </w:r>
      <w:r w:rsidDel="00000000" w:rsidR="00000000" w:rsidRPr="00000000">
        <w:rPr>
          <w:sz w:val="20"/>
          <w:szCs w:val="20"/>
          <w:rtl w:val="0"/>
        </w:rPr>
        <w:t xml:space="preserve">are circled in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red</w:t>
      </w:r>
      <w:r w:rsidDel="00000000" w:rsidR="00000000" w:rsidRPr="00000000">
        <w:rPr>
          <w:sz w:val="20"/>
          <w:szCs w:val="20"/>
          <w:rtl w:val="0"/>
        </w:rPr>
        <w:t xml:space="preserve">) contain the relative paths to the corresponding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 directory</w:t>
      </w:r>
      <w:r w:rsidDel="00000000" w:rsidR="00000000" w:rsidRPr="00000000">
        <w:rPr>
          <w:sz w:val="20"/>
          <w:szCs w:val="20"/>
          <w:rtl w:val="0"/>
        </w:rPr>
        <w:t xml:space="preserve"> and optional </w:t>
      </w:r>
      <w:r w:rsidDel="00000000" w:rsidR="00000000" w:rsidRPr="00000000">
        <w:rPr>
          <w:i w:val="1"/>
          <w:sz w:val="20"/>
          <w:szCs w:val="20"/>
          <w:rtl w:val="0"/>
        </w:rPr>
        <w:t xml:space="preserve">metadata directory</w:t>
      </w:r>
      <w:r w:rsidDel="00000000" w:rsidR="00000000" w:rsidRPr="00000000">
        <w:rPr>
          <w:sz w:val="20"/>
          <w:szCs w:val="20"/>
          <w:rtl w:val="0"/>
        </w:rPr>
        <w:t xml:space="preserve"> for each dataset.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28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Figure 1: An assay-type specific </w:t>
      </w:r>
      <w:r w:rsidDel="00000000" w:rsidR="00000000" w:rsidRPr="00000000">
        <w:rPr>
          <w:b w:val="1"/>
          <w:i w:val="1"/>
          <w:color w:val="999999"/>
          <w:sz w:val="20"/>
          <w:szCs w:val="20"/>
          <w:rtl w:val="0"/>
        </w:rPr>
        <w:t xml:space="preserve">assay metadata.tsv 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lists datasets in the submission directory for that assay-type. Datasets are listed one per row. The data_path fields point to the corresponding dataset directories in the data submission directory. The optional metadata_path fields point to the corresponding metadata directories.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2</w:t>
      </w:r>
      <w:r w:rsidDel="00000000" w:rsidR="00000000" w:rsidRPr="00000000">
        <w:rPr>
          <w:sz w:val="20"/>
          <w:szCs w:val="20"/>
          <w:rtl w:val="0"/>
        </w:rPr>
        <w:t xml:space="preserve"> below shows the general directory structure of a data submission. Note that a submission directory may contain multiple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data directories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metadata directories</w:t>
      </w:r>
      <w:r w:rsidDel="00000000" w:rsidR="00000000" w:rsidRPr="00000000">
        <w:rPr>
          <w:sz w:val="20"/>
          <w:szCs w:val="20"/>
          <w:rtl w:val="0"/>
        </w:rPr>
        <w:t xml:space="preserve">, each directory corresponding to one dataset/row in a single assay-specific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assay metadata.tsv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addition, multiple assay-specific </w:t>
      </w:r>
      <w:r w:rsidDel="00000000" w:rsidR="00000000" w:rsidRPr="00000000">
        <w:rPr>
          <w:sz w:val="20"/>
          <w:szCs w:val="20"/>
          <w:rtl w:val="0"/>
        </w:rPr>
        <w:t xml:space="preserve">metadata.tsvs may be included together in a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submission directory</w:t>
      </w:r>
      <w:r w:rsidDel="00000000" w:rsidR="00000000" w:rsidRPr="00000000">
        <w:rPr>
          <w:sz w:val="20"/>
          <w:szCs w:val="20"/>
          <w:rtl w:val="0"/>
        </w:rPr>
        <w:t xml:space="preserve">. For example, the codex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-metadata.tsv</w:t>
      </w:r>
      <w:r w:rsidDel="00000000" w:rsidR="00000000" w:rsidRPr="00000000">
        <w:rPr>
          <w:sz w:val="20"/>
          <w:szCs w:val="20"/>
          <w:rtl w:val="0"/>
        </w:rPr>
        <w:t xml:space="preserve"> below lists datasets of the CODEX assay-type (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shown in </w:t>
      </w:r>
      <w:r w:rsidDel="00000000" w:rsidR="00000000" w:rsidRPr="00000000">
        <w:rPr>
          <w:b w:val="1"/>
          <w:i w:val="1"/>
          <w:color w:val="3c78d8"/>
          <w:sz w:val="20"/>
          <w:szCs w:val="20"/>
          <w:rtl w:val="0"/>
        </w:rPr>
        <w:t xml:space="preserve">blue</w:t>
      </w:r>
      <w:r w:rsidDel="00000000" w:rsidR="00000000" w:rsidRPr="00000000">
        <w:rPr>
          <w:sz w:val="20"/>
          <w:szCs w:val="20"/>
          <w:rtl w:val="0"/>
        </w:rPr>
        <w:t xml:space="preserve">)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submission directory</w:t>
      </w:r>
      <w:r w:rsidDel="00000000" w:rsidR="00000000" w:rsidRPr="00000000">
        <w:rPr>
          <w:sz w:val="20"/>
          <w:szCs w:val="20"/>
          <w:rtl w:val="0"/>
        </w:rPr>
        <w:t xml:space="preserve"> while the maldi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-metadata.tsv</w:t>
      </w:r>
      <w:r w:rsidDel="00000000" w:rsidR="00000000" w:rsidRPr="00000000">
        <w:rPr>
          <w:sz w:val="20"/>
          <w:szCs w:val="20"/>
          <w:rtl w:val="0"/>
        </w:rPr>
        <w:t xml:space="preserve"> lists datasets of the MALDI assay-type  (</w:t>
      </w:r>
      <w:r w:rsidDel="00000000" w:rsidR="00000000" w:rsidRPr="00000000">
        <w:rPr>
          <w:i w:val="1"/>
          <w:sz w:val="20"/>
          <w:szCs w:val="20"/>
          <w:rtl w:val="0"/>
        </w:rPr>
        <w:t xml:space="preserve">shown in </w:t>
      </w:r>
      <w:r w:rsidDel="00000000" w:rsidR="00000000" w:rsidRPr="00000000">
        <w:rPr>
          <w:b w:val="1"/>
          <w:i w:val="1"/>
          <w:color w:val="e69138"/>
          <w:sz w:val="20"/>
          <w:szCs w:val="20"/>
          <w:rtl w:val="0"/>
        </w:rPr>
        <w:t xml:space="preserve">orange</w:t>
      </w:r>
      <w:r w:rsidDel="00000000" w:rsidR="00000000" w:rsidRPr="00000000">
        <w:rPr>
          <w:sz w:val="20"/>
          <w:szCs w:val="20"/>
          <w:rtl w:val="0"/>
        </w:rPr>
        <w:t xml:space="preserve">) in the same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submission directory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81638" cy="3096283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0962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Figure 2: A data submission directory may contain multiple datasets for multiple assay-types. Each dataset is provided in a corresponding data directory with optional metadata provided in a corresponding metadata directory. Each assay-specific metadata.tsv </w:t>
      </w:r>
      <w:r w:rsidDel="00000000" w:rsidR="00000000" w:rsidRPr="00000000">
        <w:rPr>
          <w:b w:val="1"/>
          <w:i w:val="1"/>
          <w:color w:val="999999"/>
          <w:sz w:val="20"/>
          <w:szCs w:val="20"/>
          <w:rtl w:val="0"/>
        </w:rPr>
        <w:t xml:space="preserve">(eg.codex_metadata.tsv, maldi_metadata.tsv)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 in the dataset submission directory lists the corresponding datasets.</w:t>
      </w:r>
    </w:p>
    <w:p w:rsidR="00000000" w:rsidDel="00000000" w:rsidP="00000000" w:rsidRDefault="00000000" w:rsidRPr="00000000" w14:paraId="0000001A">
      <w:pPr>
        <w:pStyle w:val="Title"/>
        <w:rPr>
          <w:sz w:val="20"/>
          <w:szCs w:val="20"/>
        </w:rPr>
      </w:pPr>
      <w:bookmarkStart w:colFirst="0" w:colLast="0" w:name="_i28qgwmyvva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b w:val="1"/>
          <w:sz w:val="28"/>
          <w:szCs w:val="28"/>
        </w:rPr>
      </w:pPr>
      <w:bookmarkStart w:colFirst="0" w:colLast="0" w:name="_unun6t72yi8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sz w:val="20"/>
          <w:szCs w:val="20"/>
        </w:rPr>
      </w:pPr>
      <w:bookmarkStart w:colFirst="0" w:colLast="0" w:name="_ml5scq8o5omr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Preparing an Assay Metadata.tsv for Data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HuBMAP supports 3 categories of assays :</w:t>
      </w:r>
      <w:r w:rsidDel="00000000" w:rsidR="00000000" w:rsidRPr="00000000">
        <w:rPr>
          <w:i w:val="1"/>
          <w:sz w:val="20"/>
          <w:szCs w:val="20"/>
          <w:rtl w:val="0"/>
        </w:rPr>
        <w:t xml:space="preserve"> imaging, nucleotide sequen</w:t>
      </w:r>
      <w:r w:rsidDel="00000000" w:rsidR="00000000" w:rsidRPr="00000000">
        <w:rPr>
          <w:sz w:val="20"/>
          <w:szCs w:val="20"/>
          <w:rtl w:val="0"/>
        </w:rPr>
        <w:t xml:space="preserve">ce an</w:t>
      </w:r>
      <w:r w:rsidDel="00000000" w:rsidR="00000000" w:rsidRPr="00000000">
        <w:rPr>
          <w:i w:val="1"/>
          <w:sz w:val="20"/>
          <w:szCs w:val="20"/>
          <w:rtl w:val="0"/>
        </w:rPr>
        <w:t xml:space="preserve">d mass spectromet</w:t>
      </w:r>
      <w:r w:rsidDel="00000000" w:rsidR="00000000" w:rsidRPr="00000000">
        <w:rPr>
          <w:sz w:val="20"/>
          <w:szCs w:val="20"/>
          <w:rtl w:val="0"/>
        </w:rPr>
        <w:t xml:space="preserve">ry. Each assay category encompasses a variety of unique assay-types involving unique chemistries, platforms, data types and analysis tools. Below are examples of assay-types from each assay category in HuBMAP: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mass_spectrometry: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LC-MS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MS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TMT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imaging: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CODEX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Imaging Mass Cytometry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multiplexed IF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 microscopy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seqFISH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MALDI-IMS positive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MALDI-IMS negative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sequencing: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bulk RNA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bulk ATAC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scRNA-Seq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sci-ATAC-seq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sci-RNA-seq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SNARE-SEQ2 (RNAseq &amp; ATACseq)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snATAC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snRNA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SPLiT-Seq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center"/>
        <w:rPr>
          <w:sz w:val="20"/>
          <w:szCs w:val="20"/>
        </w:rPr>
      </w:pPr>
      <w:bookmarkStart w:colFirst="0" w:colLast="0" w:name="_wv05w85zd1uk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Assay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centers provide the following 4 data types for each data submission to HubMAP: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3357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008" l="0" r="0" t="68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Assay metadata, which is described in the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Assay Metadata Submission Format</w:t>
        </w:r>
      </w:hyperlink>
      <w:r w:rsidDel="00000000" w:rsidR="00000000" w:rsidRPr="00000000">
        <w:rPr>
          <w:sz w:val="20"/>
          <w:szCs w:val="20"/>
          <w:rtl w:val="0"/>
        </w:rPr>
        <w:t xml:space="preserve"> document, is divided into 4 levels:</w:t>
      </w:r>
    </w:p>
    <w:p w:rsidR="00000000" w:rsidDel="00000000" w:rsidP="00000000" w:rsidRDefault="00000000" w:rsidRPr="00000000" w14:paraId="0000003E">
      <w:pPr>
        <w:pStyle w:val="Heading2"/>
        <w:rPr>
          <w:sz w:val="20"/>
          <w:szCs w:val="20"/>
          <w:u w:val="single"/>
        </w:rPr>
      </w:pPr>
      <w:bookmarkStart w:colFirst="0" w:colLast="0" w:name="_d2xv5n06iyn" w:id="5"/>
      <w:bookmarkEnd w:id="5"/>
      <w:r w:rsidDel="00000000" w:rsidR="00000000" w:rsidRPr="00000000">
        <w:rPr>
          <w:sz w:val="20"/>
          <w:szCs w:val="20"/>
          <w:u w:val="single"/>
          <w:rtl w:val="0"/>
        </w:rPr>
        <w:t xml:space="preserve">Definition of assay metadata levels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Level 1: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 attributes that are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common to all assays</w:t>
      </w:r>
      <w:r w:rsidDel="00000000" w:rsidR="00000000" w:rsidRPr="00000000">
        <w:rPr>
          <w:sz w:val="20"/>
          <w:szCs w:val="20"/>
          <w:rtl w:val="0"/>
        </w:rPr>
        <w:t xml:space="preserve">, for example, the type (“CODEX”) and category of assay (“imaging”), a timestamp, and the name of the person who executed the assay.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Level 2: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ttributes that are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common to a category of HuBMAP assays</w:t>
      </w:r>
      <w:r w:rsidDel="00000000" w:rsidR="00000000" w:rsidRPr="00000000">
        <w:rPr>
          <w:sz w:val="20"/>
          <w:szCs w:val="20"/>
          <w:rtl w:val="0"/>
        </w:rPr>
        <w:t xml:space="preserve">, i.e. </w:t>
      </w:r>
      <w:r w:rsidDel="00000000" w:rsidR="00000000" w:rsidRPr="00000000">
        <w:rPr>
          <w:i w:val="1"/>
          <w:sz w:val="20"/>
          <w:szCs w:val="20"/>
          <w:rtl w:val="0"/>
        </w:rPr>
        <w:t xml:space="preserve">imaging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sequencing</w:t>
      </w:r>
      <w:r w:rsidDel="00000000" w:rsidR="00000000" w:rsidRPr="00000000">
        <w:rPr>
          <w:sz w:val="20"/>
          <w:szCs w:val="20"/>
          <w:rtl w:val="0"/>
        </w:rPr>
        <w:t xml:space="preserve">, or </w:t>
      </w:r>
      <w:r w:rsidDel="00000000" w:rsidR="00000000" w:rsidRPr="00000000">
        <w:rPr>
          <w:i w:val="1"/>
          <w:sz w:val="20"/>
          <w:szCs w:val="20"/>
          <w:rtl w:val="0"/>
        </w:rPr>
        <w:t xml:space="preserve">mass spectrometry</w:t>
      </w:r>
      <w:r w:rsidDel="00000000" w:rsidR="00000000" w:rsidRPr="00000000">
        <w:rPr>
          <w:sz w:val="20"/>
          <w:szCs w:val="20"/>
          <w:rtl w:val="0"/>
        </w:rPr>
        <w:t xml:space="preserve">. For example, for imaging assays this includes fields such as </w:t>
      </w:r>
      <w:r w:rsidDel="00000000" w:rsidR="00000000" w:rsidRPr="00000000">
        <w:rPr>
          <w:i w:val="1"/>
          <w:sz w:val="20"/>
          <w:szCs w:val="20"/>
          <w:rtl w:val="0"/>
        </w:rPr>
        <w:t xml:space="preserve">x resolution</w:t>
      </w:r>
      <w:r w:rsidDel="00000000" w:rsidR="00000000" w:rsidRPr="00000000">
        <w:rPr>
          <w:sz w:val="20"/>
          <w:szCs w:val="20"/>
          <w:rtl w:val="0"/>
        </w:rPr>
        <w:t xml:space="preserve"> and</w:t>
      </w:r>
      <w:r w:rsidDel="00000000" w:rsidR="00000000" w:rsidRPr="00000000">
        <w:rPr>
          <w:i w:val="1"/>
          <w:sz w:val="20"/>
          <w:szCs w:val="20"/>
          <w:rtl w:val="0"/>
        </w:rPr>
        <w:t xml:space="preserve"> y resolution.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Level 3: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ttributes that are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specific to the type of assay</w:t>
      </w:r>
      <w:r w:rsidDel="00000000" w:rsidR="00000000" w:rsidRPr="00000000">
        <w:rPr>
          <w:sz w:val="20"/>
          <w:szCs w:val="20"/>
          <w:rtl w:val="0"/>
        </w:rPr>
        <w:t xml:space="preserve">, for example for CODEX that would include</w:t>
      </w:r>
      <w:r w:rsidDel="00000000" w:rsidR="00000000" w:rsidRPr="00000000">
        <w:rPr>
          <w:i w:val="1"/>
          <w:sz w:val="20"/>
          <w:szCs w:val="20"/>
          <w:rtl w:val="0"/>
        </w:rPr>
        <w:t xml:space="preserve"> number of antibodies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number of cycles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Level 4:</w:t>
      </w:r>
      <w:r w:rsidDel="00000000" w:rsidR="00000000" w:rsidRPr="00000000">
        <w:rPr>
          <w:sz w:val="20"/>
          <w:szCs w:val="20"/>
          <w:rtl w:val="0"/>
        </w:rPr>
        <w:t xml:space="preserve"> Supplementary information such a QC report or information that is unique to a lab, not required for reproducibility or is otherwise not relevant for outside groups. This information is submitted in the form of a single file, a ZIP archive containing multiple files, or a directory of files. There is no formatting requirement (</w:t>
      </w:r>
      <w:r w:rsidDel="00000000" w:rsidR="00000000" w:rsidRPr="00000000">
        <w:rPr>
          <w:i w:val="1"/>
          <w:sz w:val="20"/>
          <w:szCs w:val="20"/>
          <w:rtl w:val="0"/>
        </w:rPr>
        <w:t xml:space="preserve">although formats readable with common tools such as text editors are preferable over proprietary binary formats)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1 metadata is required for all assays: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xecution_datetime: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time stamp marking the beginning of data capture for the assay. This t</w:t>
            </w:r>
            <w:r w:rsidDel="00000000" w:rsidR="00000000" w:rsidRPr="00000000">
              <w:rPr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ypically comes from a date-time stamped folder generated by the acquisition instrument.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rotocols_io_doi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 HuBMAP protocols must be available through a protocols.io DOI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perator: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individual who conducted the assay.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operator_email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principal investigator providing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pi_email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ssay_category: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One of 3 general assay categories- </w:t>
            </w:r>
            <w:r w:rsidDel="00000000" w:rsidR="00000000" w:rsidRPr="00000000">
              <w:rPr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imaging, mass spectrometry or nucleotide sequencing.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ssay_type: </w:t>
            </w:r>
            <w:r w:rsidDel="00000000" w:rsidR="00000000" w:rsidRPr="00000000">
              <w:rPr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The specific type of assay being executed (eg. CODEX, immunofluorescence microscopy, LC-mass spectrometry, RNAseq, ATACseq,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nalyte_class: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Proteins, nucleic acids, metabolites, lipids.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s_targeted: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boolean indicating if the assay targets a specific analyte (eg. specific mRNA(s) or protein(s).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2 metadata encompasses metadata relevant to an assay category</w:t>
            </w:r>
            <w:r w:rsidDel="00000000" w:rsidR="00000000" w:rsidRPr="00000000">
              <w:rPr>
                <w:b w:val="1"/>
                <w:i w:val="1"/>
                <w:color w:val="1155cc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color w:val="1155cc"/>
                <w:sz w:val="20"/>
                <w:szCs w:val="20"/>
                <w:rtl w:val="0"/>
              </w:rPr>
              <w:t xml:space="preserve">CODEX Level 2 metadata is shown here as an example):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cquisition_instrument_vendor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For CODEX, the data acquisition instrument is a platform with a microscope &amp; camera that captures an image of the sample.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cquisition_instrument_model: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esolution_x_value: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width of a pixel.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esolution_x_unit: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units of the resolution_x_value.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esolution_y_value: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height of a pixel.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esolution_y_unit: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units of the resolution_y_value.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esolution_z_value: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Images of the sample are captured at different focal planes to generate depth of resolution. The z-resolution refers to the distance between focal planes in the sample as the microscope stage is moved vertically.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esolution_z_unit: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units of the resolution_z_value.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3 metadata encompasses more detailed assay parameters specific to an assay_type </w:t>
            </w:r>
            <w:r w:rsidDel="00000000" w:rsidR="00000000" w:rsidRPr="00000000">
              <w:rPr>
                <w:i w:val="1"/>
                <w:color w:val="1155cc"/>
                <w:sz w:val="20"/>
                <w:szCs w:val="20"/>
                <w:rtl w:val="0"/>
              </w:rPr>
              <w:t xml:space="preserve">(CODEX Level 3 metadata shown here as an example)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reparation_instrument_vendor: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CODEX, the robotic platform used to perform the cycles of application of antibodies, image capture and stripping of antibodies from the sample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preparation_instrument_model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number_of_antibodies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number_of_channels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number_of_cycles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section_prep_protocols_io_doi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reagent_prep_protocols_io_doi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Level 4 metadata encompasses unstructured metadata such as QC reports, signal to noise plots, instrument metadata jsons, csvs, etc.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g82GpCpFDKew60XzAO4Siaw3ZXJjwsaCpgPwhqQZxIY/edit#heading=h.qeehtnf68fa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