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saved on the pending listing and copied onto the business when it is approved.</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Public forms are rate limited per visitor per hour; </w:t>
      </w:r>
      <w:r>
        <w:rPr>
          <w:rFonts w:ascii="Consolas" w:hAnsi="Consolas"/>
          <w:color w:val="1F4E8C"/>
          <w:sz w:val="19"/>
        </w:rPr>
        <w:t>/tourism/</w:t>
      </w:r>
      <w:r>
        <w:t xml:space="preserve"> redirects home on the sites without a tourism section; a backend type-check runs before each preview deploy; </w:t>
      </w:r>
      <w:r>
        <w:rPr>
          <w:rFonts w:ascii="Consolas" w:hAnsi="Consolas"/>
          <w:color w:val="1F4E8C"/>
          <w:sz w:val="19"/>
        </w:rPr>
        <w:t>npm run check:links</w:t>
      </w:r>
      <w:r>
        <w:t xml:space="preserve"> and </w:t>
      </w:r>
      <w:r>
        <w:rPr>
          <w:rFonts w:ascii="Consolas" w:hAnsi="Consolas"/>
          <w:color w:val="1F4E8C"/>
          <w:sz w:val="19"/>
        </w:rPr>
        <w:t>npm run check:smoke</w:t>
      </w:r>
      <w:r>
        <w:t xml:space="preserve"> verify a build.</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r>
        <w:tc>
          <w:tcPr>
            <w:tcW w:type="dxa" w:w="1662"/>
          </w:tcPr>
          <w:p>
            <w:r/>
            <w:r>
              <w:rPr>
                <w:sz w:val="19"/>
              </w:rPr>
              <w:t>Submission hours and centre</w:t>
            </w:r>
          </w:p>
        </w:tc>
        <w:tc>
          <w:tcPr>
            <w:tcW w:type="dxa" w:w="1662"/>
          </w:tcPr>
          <w:p>
            <w:r/>
            <w:r>
              <w:rPr>
                <w:sz w:val="19"/>
              </w:rPr>
              <w:t>0039</w:t>
            </w:r>
          </w:p>
        </w:tc>
        <w:tc>
          <w:tcPr>
            <w:tcW w:type="dxa" w:w="1662"/>
          </w:tcPr>
          <w:p>
            <w:r/>
            <w:r>
              <w:rPr>
                <w:sz w:val="19"/>
              </w:rPr>
              <w:t>0038</w:t>
            </w:r>
          </w:p>
        </w:tc>
        <w:tc>
          <w:tcPr>
            <w:tcW w:type="dxa" w:w="1662"/>
          </w:tcPr>
          <w:p>
            <w:r/>
            <w:r>
              <w:rPr>
                <w:sz w:val="19"/>
              </w:rPr>
              <w:t>0041</w:t>
            </w:r>
          </w:p>
        </w:tc>
        <w:tc>
          <w:tcPr>
            <w:tcW w:type="dxa" w:w="1662"/>
          </w:tcPr>
          <w:p>
            <w:r/>
            <w:r>
              <w:rPr>
                <w:sz w:val="19"/>
              </w:rPr>
              <w:t>trading hours and shopping centre kept on a pending listing</w:t>
            </w:r>
          </w:p>
        </w:tc>
        <w:tc>
          <w:tcPr>
            <w:tcW w:type="dxa" w:w="1662"/>
          </w:tcPr>
          <w:p>
            <w:r/>
            <w:r>
              <w:rPr>
                <w:sz w:val="19"/>
              </w:rPr>
              <w:t>Applied on all three</w:t>
            </w:r>
          </w:p>
        </w:tc>
      </w:tr>
      <w:tr>
        <w:tc>
          <w:tcPr>
            <w:tcW w:type="dxa" w:w="1662"/>
          </w:tcPr>
          <w:p>
            <w:r/>
            <w:r>
              <w:rPr>
                <w:sz w:val="19"/>
              </w:rPr>
              <w:t>Rate limits</w:t>
            </w:r>
          </w:p>
        </w:tc>
        <w:tc>
          <w:tcPr>
            <w:tcW w:type="dxa" w:w="1662"/>
          </w:tcPr>
          <w:p>
            <w:r/>
            <w:r>
              <w:rPr>
                <w:sz w:val="19"/>
              </w:rPr>
              <w:t>0040</w:t>
            </w:r>
          </w:p>
        </w:tc>
        <w:tc>
          <w:tcPr>
            <w:tcW w:type="dxa" w:w="1662"/>
          </w:tcPr>
          <w:p>
            <w:r/>
            <w:r>
              <w:rPr>
                <w:sz w:val="19"/>
              </w:rPr>
              <w:t>0039</w:t>
            </w:r>
          </w:p>
        </w:tc>
        <w:tc>
          <w:tcPr>
            <w:tcW w:type="dxa" w:w="1662"/>
          </w:tcPr>
          <w:p>
            <w:r/>
            <w:r>
              <w:rPr>
                <w:sz w:val="19"/>
              </w:rPr>
              <w:t>0042</w:t>
            </w:r>
          </w:p>
        </w:tc>
        <w:tc>
          <w:tcPr>
            <w:tcW w:type="dxa" w:w="1662"/>
          </w:tcPr>
          <w:p>
            <w:r/>
            <w:r>
              <w:rPr>
                <w:sz w:val="19"/>
              </w:rPr>
              <w:t>per-visitor request counts for the public forms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Suburb map: 6 Cape Town, 38 Pretoria and 7 Polokwane suburbs still have no coordinates and are not plotted.</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Heading1"/>
      </w:pPr>
      <w:r>
        <w:t>21. Changes made outside the code (live data and services)</w:t>
      </w:r>
    </w:p>
    <w:p>
      <w:pPr>
        <w:pStyle w:val="ListBullet"/>
      </w:pPr>
      <w:r>
        <w:t>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p>
      <w:pPr>
        <w:pStyle w:val="Heading1"/>
      </w:pPr>
      <w:r>
        <w:t>Added 20 September (later)</w:t>
      </w:r>
    </w:p>
    <w:p>
      <w:pPr>
        <w:pStyle w:val="ListBullet"/>
      </w:pPr>
      <w:r>
        <w:rPr>
          <w:b/>
        </w:rPr>
        <w:t>Things to do (tourism) page rebuilt from the mockup</w:t>
      </w:r>
      <w:r>
        <w:t xml:space="preserve"> for all three cities (</w:t>
      </w:r>
      <w:r>
        <w:rPr>
          <w:rFonts w:ascii="Consolas" w:hAnsi="Consolas"/>
          <w:color w:val="1F4E8C"/>
          <w:sz w:val="19"/>
        </w:rPr>
        <w:t>src/site-content/tourism.ts</w:t>
      </w:r>
      <w:r>
        <w:t xml:space="preserve">, </w:t>
      </w:r>
      <w:r>
        <w:rPr>
          <w:rFonts w:ascii="Consolas" w:hAnsi="Consolas"/>
          <w:color w:val="1F4E8C"/>
          <w:sz w:val="19"/>
        </w:rPr>
        <w:t>src/pages/tourism/index.astro</w:t>
      </w:r>
      <w:r>
        <w:t>). "Things to do" now appears in the header, mobile menu and footer. Attraction cards link to Polokwane's full attraction pages where they exist and to a map search otherwise; the Sponsored badge shows only in the dev preview.</w:t>
      </w:r>
    </w:p>
    <w:p>
      <w:pPr>
        <w:pStyle w:val="ListBullet"/>
      </w:pPr>
      <w:r>
        <w:rPr>
          <w:b/>
        </w:rPr>
        <w:t>Claims are verified at the business's own email address.</w:t>
      </w:r>
      <w:r>
        <w:t xml:space="preserve"> </w:t>
      </w:r>
      <w:r>
        <w:rPr>
          <w:rFonts w:ascii="Consolas" w:hAnsi="Consolas"/>
          <w:color w:val="1F4E8C"/>
          <w:sz w:val="19"/>
        </w:rPr>
        <w:t>functions/api/claim-business.ts</w:t>
      </w:r>
      <w:r>
        <w:t xml:space="preserve"> sends the link to the business email on file, tells the claimant to expect it there, and </w:t>
      </w:r>
      <w:r>
        <w:rPr>
          <w:rFonts w:ascii="Consolas" w:hAnsi="Consolas"/>
          <w:color w:val="1F4E8C"/>
          <w:sz w:val="19"/>
        </w:rPr>
        <w:t>functions/verify-claim.ts</w:t>
      </w:r>
      <w:r>
        <w:t xml:space="preserve"> plus </w:t>
      </w:r>
      <w:r>
        <w:rPr>
          <w:rFonts w:ascii="Consolas" w:hAnsi="Consolas"/>
          <w:color w:val="1F4E8C"/>
          <w:sz w:val="19"/>
        </w:rPr>
        <w:t>functions/api/verify-claim.ts</w:t>
      </w:r>
      <w:r>
        <w:t xml:space="preserve"> complete or decline the claim. New migration adds </w:t>
      </w:r>
      <w:r>
        <w:rPr>
          <w:rFonts w:ascii="Consolas" w:hAnsi="Consolas"/>
          <w:color w:val="1F4E8C"/>
          <w:sz w:val="19"/>
        </w:rPr>
        <w:t>verify_token</w:t>
      </w:r>
      <w:r>
        <w:t xml:space="preserve">, </w:t>
      </w:r>
      <w:r>
        <w:rPr>
          <w:rFonts w:ascii="Consolas" w:hAnsi="Consolas"/>
          <w:color w:val="1F4E8C"/>
          <w:sz w:val="19"/>
        </w:rPr>
        <w:t>verify_sent_to</w:t>
      </w:r>
      <w:r>
        <w:t xml:space="preserve"> and </w:t>
      </w:r>
      <w:r>
        <w:rPr>
          <w:rFonts w:ascii="Consolas" w:hAnsi="Consolas"/>
          <w:color w:val="1F4E8C"/>
          <w:sz w:val="19"/>
        </w:rPr>
        <w:t>email_verified_at</w:t>
      </w:r>
      <w:r>
        <w:t xml:space="preserve"> to </w:t>
      </w:r>
      <w:r>
        <w:rPr>
          <w:rFonts w:ascii="Consolas" w:hAnsi="Consolas"/>
          <w:color w:val="1F4E8C"/>
          <w:sz w:val="19"/>
        </w:rPr>
        <w:t>business_claims</w:t>
      </w:r>
      <w:r>
        <w:t xml:space="preserve"> (Cape Town 0041, Pretoria 0040, Polokwane 0043; applied to all three production databases). Businesses with no email on file still go to manual review.</w:t>
      </w:r>
    </w:p>
    <w:p>
      <w:pPr>
        <w:pStyle w:val="ListBullet"/>
      </w:pPr>
      <w:r>
        <w:rPr>
          <w:b/>
        </w:rPr>
        <w:t>Four dead business websites cleared</w:t>
      </w:r>
      <w:r>
        <w:t xml:space="preserve"> in Cape Town.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