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saved on the pending listing and copied onto the business when it is approved.</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Public forms are rate limited per visitor per hour; </w:t>
      </w:r>
      <w:r>
        <w:rPr>
          <w:rFonts w:ascii="Consolas" w:hAnsi="Consolas"/>
          <w:color w:val="1F4E8C"/>
          <w:sz w:val="19"/>
        </w:rPr>
        <w:t>/tourism/</w:t>
      </w:r>
      <w:r>
        <w:t xml:space="preserve"> redirects home on the sites without a tourism section; a backend type-check runs before each preview deploy; </w:t>
      </w:r>
      <w:r>
        <w:rPr>
          <w:rFonts w:ascii="Consolas" w:hAnsi="Consolas"/>
          <w:color w:val="1F4E8C"/>
          <w:sz w:val="19"/>
        </w:rPr>
        <w:t>npm run check:links</w:t>
      </w:r>
      <w:r>
        <w:t xml:space="preserve"> and </w:t>
      </w:r>
      <w:r>
        <w:rPr>
          <w:rFonts w:ascii="Consolas" w:hAnsi="Consolas"/>
          <w:color w:val="1F4E8C"/>
          <w:sz w:val="19"/>
        </w:rPr>
        <w:t>npm run check:smoke</w:t>
      </w:r>
      <w:r>
        <w:t xml:space="preserve"> verify a build.</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r>
        <w:tc>
          <w:tcPr>
            <w:tcW w:type="dxa" w:w="1662"/>
          </w:tcPr>
          <w:p>
            <w:r/>
            <w:r>
              <w:rPr>
                <w:sz w:val="19"/>
              </w:rPr>
              <w:t>Submission hours and centre</w:t>
            </w:r>
          </w:p>
        </w:tc>
        <w:tc>
          <w:tcPr>
            <w:tcW w:type="dxa" w:w="1662"/>
          </w:tcPr>
          <w:p>
            <w:r/>
            <w:r>
              <w:rPr>
                <w:sz w:val="19"/>
              </w:rPr>
              <w:t>0039</w:t>
            </w:r>
          </w:p>
        </w:tc>
        <w:tc>
          <w:tcPr>
            <w:tcW w:type="dxa" w:w="1662"/>
          </w:tcPr>
          <w:p>
            <w:r/>
            <w:r>
              <w:rPr>
                <w:sz w:val="19"/>
              </w:rPr>
              <w:t>0038</w:t>
            </w:r>
          </w:p>
        </w:tc>
        <w:tc>
          <w:tcPr>
            <w:tcW w:type="dxa" w:w="1662"/>
          </w:tcPr>
          <w:p>
            <w:r/>
            <w:r>
              <w:rPr>
                <w:sz w:val="19"/>
              </w:rPr>
              <w:t>0041</w:t>
            </w:r>
          </w:p>
        </w:tc>
        <w:tc>
          <w:tcPr>
            <w:tcW w:type="dxa" w:w="1662"/>
          </w:tcPr>
          <w:p>
            <w:r/>
            <w:r>
              <w:rPr>
                <w:sz w:val="19"/>
              </w:rPr>
              <w:t>trading hours and shopping centre kept on a pending listing</w:t>
            </w:r>
          </w:p>
        </w:tc>
        <w:tc>
          <w:tcPr>
            <w:tcW w:type="dxa" w:w="1662"/>
          </w:tcPr>
          <w:p>
            <w:r/>
            <w:r>
              <w:rPr>
                <w:sz w:val="19"/>
              </w:rPr>
              <w:t>Applied on all three</w:t>
            </w:r>
          </w:p>
        </w:tc>
      </w:tr>
      <w:tr>
        <w:tc>
          <w:tcPr>
            <w:tcW w:type="dxa" w:w="1662"/>
          </w:tcPr>
          <w:p>
            <w:r/>
            <w:r>
              <w:rPr>
                <w:sz w:val="19"/>
              </w:rPr>
              <w:t>Rate limits</w:t>
            </w:r>
          </w:p>
        </w:tc>
        <w:tc>
          <w:tcPr>
            <w:tcW w:type="dxa" w:w="1662"/>
          </w:tcPr>
          <w:p>
            <w:r/>
            <w:r>
              <w:rPr>
                <w:sz w:val="19"/>
              </w:rPr>
              <w:t>0040</w:t>
            </w:r>
          </w:p>
        </w:tc>
        <w:tc>
          <w:tcPr>
            <w:tcW w:type="dxa" w:w="1662"/>
          </w:tcPr>
          <w:p>
            <w:r/>
            <w:r>
              <w:rPr>
                <w:sz w:val="19"/>
              </w:rPr>
              <w:t>0039</w:t>
            </w:r>
          </w:p>
        </w:tc>
        <w:tc>
          <w:tcPr>
            <w:tcW w:type="dxa" w:w="1662"/>
          </w:tcPr>
          <w:p>
            <w:r/>
            <w:r>
              <w:rPr>
                <w:sz w:val="19"/>
              </w:rPr>
              <w:t>0042</w:t>
            </w:r>
          </w:p>
        </w:tc>
        <w:tc>
          <w:tcPr>
            <w:tcW w:type="dxa" w:w="1662"/>
          </w:tcPr>
          <w:p>
            <w:r/>
            <w:r>
              <w:rPr>
                <w:sz w:val="19"/>
              </w:rPr>
              <w:t>per-visitor request counts for the public forms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Suburb map: 6 Cape Town, 38 Pretoria and 7 Polokwane suburbs still have no coordinates and are not plotted.</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Heading1"/>
      </w:pPr>
      <w:r>
        <w:t>21. Changes made outside the code (live data and services)</w:t>
      </w:r>
    </w:p>
    <w:p>
      <w:pPr>
        <w:pStyle w:val="ListBullet"/>
      </w:pPr>
      <w:r>
        <w:t>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p>
      <w:pPr>
        <w:pStyle w:val="Heading1"/>
      </w:pPr>
      <w:r>
        <w:t>Added 20 September (later)</w:t>
      </w:r>
    </w:p>
    <w:p>
      <w:pPr>
        <w:pStyle w:val="ListBullet"/>
      </w:pPr>
      <w:r>
        <w:rPr>
          <w:b/>
        </w:rPr>
        <w:t>Things to do (tourism) page rebuilt from the mockup</w:t>
      </w:r>
      <w:r>
        <w:t xml:space="preserve"> for all three cities (</w:t>
      </w:r>
      <w:r>
        <w:rPr>
          <w:rFonts w:ascii="Consolas" w:hAnsi="Consolas"/>
          <w:color w:val="1F4E8C"/>
          <w:sz w:val="19"/>
        </w:rPr>
        <w:t>src/site-content/tourism.ts</w:t>
      </w:r>
      <w:r>
        <w:t xml:space="preserve">, </w:t>
      </w:r>
      <w:r>
        <w:rPr>
          <w:rFonts w:ascii="Consolas" w:hAnsi="Consolas"/>
          <w:color w:val="1F4E8C"/>
          <w:sz w:val="19"/>
        </w:rPr>
        <w:t>src/pages/tourism/index.astro</w:t>
      </w:r>
      <w:r>
        <w:t>). "Things to do" now appears in the header, mobile menu and footer. Attraction cards link to Polokwane's full attraction pages where they exist and to a map search otherwise; the Sponsored badge shows only in the dev preview.</w:t>
      </w:r>
    </w:p>
    <w:p>
      <w:pPr>
        <w:pStyle w:val="ListBullet"/>
      </w:pPr>
      <w:r>
        <w:rPr>
          <w:b/>
        </w:rPr>
        <w:t>Claims are verified at the business's own email address.</w:t>
      </w:r>
      <w:r>
        <w:t xml:space="preserve"> </w:t>
      </w:r>
      <w:r>
        <w:rPr>
          <w:rFonts w:ascii="Consolas" w:hAnsi="Consolas"/>
          <w:color w:val="1F4E8C"/>
          <w:sz w:val="19"/>
        </w:rPr>
        <w:t>functions/api/claim-business.ts</w:t>
      </w:r>
      <w:r>
        <w:t xml:space="preserve"> sends the link to the business email on file, tells the claimant to expect it there, and </w:t>
      </w:r>
      <w:r>
        <w:rPr>
          <w:rFonts w:ascii="Consolas" w:hAnsi="Consolas"/>
          <w:color w:val="1F4E8C"/>
          <w:sz w:val="19"/>
        </w:rPr>
        <w:t>functions/verify-claim.ts</w:t>
      </w:r>
      <w:r>
        <w:t xml:space="preserve"> plus </w:t>
      </w:r>
      <w:r>
        <w:rPr>
          <w:rFonts w:ascii="Consolas" w:hAnsi="Consolas"/>
          <w:color w:val="1F4E8C"/>
          <w:sz w:val="19"/>
        </w:rPr>
        <w:t>functions/api/verify-claim.ts</w:t>
      </w:r>
      <w:r>
        <w:t xml:space="preserve"> complete or decline the claim. New migration adds </w:t>
      </w:r>
      <w:r>
        <w:rPr>
          <w:rFonts w:ascii="Consolas" w:hAnsi="Consolas"/>
          <w:color w:val="1F4E8C"/>
          <w:sz w:val="19"/>
        </w:rPr>
        <w:t>verify_token</w:t>
      </w:r>
      <w:r>
        <w:t xml:space="preserve">, </w:t>
      </w:r>
      <w:r>
        <w:rPr>
          <w:rFonts w:ascii="Consolas" w:hAnsi="Consolas"/>
          <w:color w:val="1F4E8C"/>
          <w:sz w:val="19"/>
        </w:rPr>
        <w:t>verify_sent_to</w:t>
      </w:r>
      <w:r>
        <w:t xml:space="preserve"> and </w:t>
      </w:r>
      <w:r>
        <w:rPr>
          <w:rFonts w:ascii="Consolas" w:hAnsi="Consolas"/>
          <w:color w:val="1F4E8C"/>
          <w:sz w:val="19"/>
        </w:rPr>
        <w:t>email_verified_at</w:t>
      </w:r>
      <w:r>
        <w:t xml:space="preserve"> to </w:t>
      </w:r>
      <w:r>
        <w:rPr>
          <w:rFonts w:ascii="Consolas" w:hAnsi="Consolas"/>
          <w:color w:val="1F4E8C"/>
          <w:sz w:val="19"/>
        </w:rPr>
        <w:t>business_claims</w:t>
      </w:r>
      <w:r>
        <w:t xml:space="preserve"> (Cape Town 0041, Pretoria 0040, Polokwane 0043; applied to all three production databases). Businesses with no email on file still go to manual review.</w:t>
      </w:r>
    </w:p>
    <w:p>
      <w:pPr>
        <w:pStyle w:val="ListBullet"/>
      </w:pP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routines/fuel.md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 Prices stay split by region: Cape Town coastal, Pretoria and Polokwane inland.</w:t>
      </w:r>
    </w:p>
    <w:p>
      <w:pPr>
        <w:pStyle w:val="ListBullet"/>
      </w:pPr>
      <w:r>
        <w:rPr>
          <w:b/>
        </w:rPr>
        <w:t>Featured plan can add social page links</w:t>
      </w:r>
      <w:r>
        <w:t xml:space="preserve"> (Instagram, Facebook, LinkedIn, YouTube): </w:t>
      </w:r>
      <w:r>
        <w:rPr>
          <w:rFonts w:ascii="Consolas" w:hAnsi="Consolas"/>
          <w:color w:val="1F4E8C"/>
          <w:sz w:val="19"/>
        </w:rPr>
        <w:t>functions/_lib/social.ts</w:t>
      </w:r>
      <w:r>
        <w:t xml:space="preserve"> validates them, </w:t>
      </w:r>
      <w:r>
        <w:rPr>
          <w:rFonts w:ascii="Consolas" w:hAnsi="Consolas"/>
          <w:color w:val="1F4E8C"/>
          <w:sz w:val="19"/>
        </w:rPr>
        <w:t>update-business.ts</w:t>
      </w:r>
      <w:r>
        <w:t xml:space="preserve"> saves them only for an active Featured plan, the owner edit page has the fields, the business page shows the buttons. Migration adds four columns to </w:t>
      </w:r>
      <w:r>
        <w:rPr>
          <w:rFonts w:ascii="Consolas" w:hAnsi="Consolas"/>
          <w:color w:val="1F4E8C"/>
          <w:sz w:val="19"/>
        </w:rPr>
        <w:t>businesses</w:t>
      </w:r>
      <w:r>
        <w:t xml:space="preserve">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p>
      <w:pPr>
        <w:pStyle w:val="ListBullet"/>
      </w:pPr>
      <w:r>
        <w:rPr>
          <w:b/>
        </w:rPr>
        <w:t>Routines rewritten on the dev branch (not scheduled, not on `main`):</w:t>
      </w:r>
      <w:r>
        <w:t xml:space="preserve"> new </w:t>
      </w:r>
      <w:r>
        <w:rPr>
          <w:rFonts w:ascii="Consolas" w:hAnsi="Consolas"/>
          <w:color w:val="1F4E8C"/>
          <w:sz w:val="19"/>
        </w:rPr>
        <w:t>routines/</w:t>
      </w:r>
      <w:r>
        <w:t xml:space="preserve"> folder with a shared rules file, four split business routines, events, news, fuel and tourism runbooks, and per-city settings; new </w:t>
      </w:r>
      <w:r>
        <w:rPr>
          <w:rFonts w:ascii="Consolas" w:hAnsi="Consolas"/>
          <w:color w:val="1F4E8C"/>
          <w:sz w:val="19"/>
        </w:rPr>
        <w:t>scripts/routines/</w:t>
      </w:r>
      <w:r>
        <w:t xml:space="preserve"> (</w:t>
      </w:r>
      <w:r>
        <w:rPr>
          <w:rFonts w:ascii="Consolas" w:hAnsi="Consolas"/>
          <w:color w:val="1F4E8C"/>
          <w:sz w:val="19"/>
        </w:rPr>
        <w:t>next.mjs</w:t>
      </w:r>
      <w:r>
        <w:t xml:space="preserve">, </w:t>
      </w:r>
      <w:r>
        <w:rPr>
          <w:rFonts w:ascii="Consolas" w:hAnsi="Consolas"/>
          <w:color w:val="1F4E8C"/>
          <w:sz w:val="19"/>
        </w:rPr>
        <w:t>validate.mjs</w:t>
      </w:r>
      <w:r>
        <w:t xml:space="preserve">, </w:t>
      </w:r>
      <w:r>
        <w:rPr>
          <w:rFonts w:ascii="Consolas" w:hAnsi="Consolas"/>
          <w:color w:val="1F4E8C"/>
          <w:sz w:val="19"/>
        </w:rPr>
        <w:t>done.mjs</w:t>
      </w:r>
      <w:r>
        <w:t xml:space="preserve">, </w:t>
      </w:r>
      <w:r>
        <w:rPr>
          <w:rFonts w:ascii="Consolas" w:hAnsi="Consolas"/>
          <w:color w:val="1F4E8C"/>
          <w:sz w:val="19"/>
        </w:rPr>
        <w:t>migrate-state.mjs</w:t>
      </w:r>
      <w:r>
        <w:t xml:space="preserve">, </w:t>
      </w:r>
      <w:r>
        <w:rPr>
          <w:rFonts w:ascii="Consolas" w:hAnsi="Consolas"/>
          <w:color w:val="1F4E8C"/>
          <w:sz w:val="19"/>
        </w:rPr>
        <w:t>health.mjs</w:t>
      </w:r>
      <w:r>
        <w:t xml:space="preserve">); per-routine state in </w:t>
      </w:r>
      <w:r>
        <w:rPr>
          <w:rFonts w:ascii="Consolas" w:hAnsi="Consolas"/>
          <w:color w:val="1F4E8C"/>
          <w:sz w:val="19"/>
        </w:rPr>
        <w:t>status/&lt;city&gt;/state/</w:t>
      </w:r>
      <w:r>
        <w:t xml:space="preserve">; the snapshot writer also records each business's website and whether it has an email. The old </w:t>
      </w:r>
      <w:r>
        <w:rPr>
          <w:rFonts w:ascii="Consolas" w:hAnsi="Consolas"/>
          <w:color w:val="1F4E8C"/>
          <w:sz w:val="19"/>
        </w:rPr>
        <w:t>ROUTINE.&lt;city&gt;.md</w:t>
      </w:r>
      <w:r>
        <w:t xml:space="preserve"> runbooks are untouched and remain the live ones.</w:t>
      </w:r>
    </w:p>
    <w:p>
      <w:pPr>
        <w:pStyle w:val="ListBullet"/>
      </w:pPr>
      <w:r>
        <w:rPr>
          <w:b/>
        </w:rPr>
        <w:t>Automatic invoicing.</w:t>
      </w:r>
      <w:r>
        <w:t xml:space="preserve"> Every completed PayFast payment now generates a numbered, professionally branded PDF invoice (site logo, letterhead, PAID stamp, itemised total) via </w:t>
      </w:r>
      <w:r>
        <w:rPr>
          <w:rFonts w:ascii="Consolas" w:hAnsi="Consolas"/>
          <w:color w:val="1F4E8C"/>
          <w:sz w:val="19"/>
        </w:rPr>
        <w:t>functions/_lib/invoice-pdf.ts</w:t>
      </w:r>
      <w:r>
        <w:t xml:space="preserve"> and </w:t>
      </w:r>
      <w:r>
        <w:rPr>
          <w:rFonts w:ascii="Consolas" w:hAnsi="Consolas"/>
          <w:color w:val="1F4E8C"/>
          <w:sz w:val="19"/>
        </w:rPr>
        <w:t>functions/_lib/invoicing.ts</w:t>
      </w:r>
      <w:r>
        <w:t>, stores it in R2, and emails it to the business owner with a copy to the site's own inbox (</w:t>
      </w:r>
      <w:r>
        <w:rPr>
          <w:rFonts w:ascii="Consolas" w:hAnsi="Consolas"/>
          <w:color w:val="1F4E8C"/>
          <w:sz w:val="19"/>
        </w:rPr>
        <w:t>functions/_lib/send-email.ts</w:t>
      </w:r>
      <w:r>
        <w:t xml:space="preserve"> now supports attachments). Owners can redownload it from My businesses &gt; Billing (</w:t>
      </w:r>
      <w:r>
        <w:rPr>
          <w:rFonts w:ascii="Consolas" w:hAnsi="Consolas"/>
          <w:color w:val="1F4E8C"/>
          <w:sz w:val="19"/>
        </w:rPr>
        <w:t>functions/api/invoice.ts</w:t>
      </w:r>
      <w:r>
        <w:t>); admins from the Invoices tab (</w:t>
      </w:r>
      <w:r>
        <w:rPr>
          <w:rFonts w:ascii="Consolas" w:hAnsi="Consolas"/>
          <w:color w:val="1F4E8C"/>
          <w:sz w:val="19"/>
        </w:rPr>
        <w:t>functions/api/admin/payments.ts</w:t>
      </w:r>
      <w:r>
        <w:t xml:space="preserve">, </w:t>
      </w:r>
      <w:r>
        <w:rPr>
          <w:rFonts w:ascii="Consolas" w:hAnsi="Consolas"/>
          <w:color w:val="1F4E8C"/>
          <w:sz w:val="19"/>
        </w:rPr>
        <w:t>src/pages/admin/invoices.astro</w:t>
      </w:r>
      <w:r>
        <w:t xml:space="preserve">). New </w:t>
      </w:r>
      <w:r>
        <w:rPr>
          <w:rFonts w:ascii="Consolas" w:hAnsi="Consolas"/>
          <w:color w:val="1F4E8C"/>
          <w:sz w:val="19"/>
        </w:rPr>
        <w:t>invoice_number</w:t>
      </w:r>
      <w:r>
        <w:t xml:space="preserve">, </w:t>
      </w:r>
      <w:r>
        <w:rPr>
          <w:rFonts w:ascii="Consolas" w:hAnsi="Consolas"/>
          <w:color w:val="1F4E8C"/>
          <w:sz w:val="19"/>
        </w:rPr>
        <w:t>invoice_pdf_key</w:t>
      </w:r>
      <w:r>
        <w:t xml:space="preserve"> and </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w:t>
      </w:r>
    </w:p>
    <w:p>
      <w:pPr>
        <w:pStyle w:val="ListBullet"/>
      </w:pPr>
      <w:r>
        <w:rPr>
          <w:b/>
        </w:rPr>
        <w:t>Fixed a real PayFast signing bug.</w:t>
      </w:r>
      <w:r>
        <w:t xml:space="preserve"> A plain tier upgrade always sent </w:t>
      </w:r>
      <w:r>
        <w:rPr>
          <w:rFonts w:ascii="Consolas" w:hAnsi="Consolas"/>
          <w:color w:val="1F4E8C"/>
          <w:sz w:val="19"/>
        </w:rPr>
        <w:t>custom_str3: ''</w:t>
      </w:r>
      <w:r>
        <w:t xml:space="preserve"> (no sponsorship target); the signature was correctly computed without that empty field, but the actual outgoing request sent it anyway, so PayFast recomputed a different signature and rejected every tier-upgrade checkout — sandbox or live. </w:t>
      </w:r>
      <w:r>
        <w:rPr>
          <w:rFonts w:ascii="Consolas" w:hAnsi="Consolas"/>
          <w:color w:val="1F4E8C"/>
          <w:sz w:val="19"/>
        </w:rPr>
        <w:t>functions/_lib/payfast.ts</w:t>
      </w:r>
      <w:r>
        <w:t xml:space="preserve">'s new </w:t>
      </w:r>
      <w:r>
        <w:rPr>
          <w:rFonts w:ascii="Consolas" w:hAnsi="Consolas"/>
          <w:color w:val="1F4E8C"/>
          <w:sz w:val="19"/>
        </w:rPr>
        <w:t>buildCheckoutParams()</w:t>
      </w:r>
      <w:r>
        <w:t xml:space="preserve"> builds the outgoing request from the exact same field rule the signature uses, so the two can never drift apart again. Confirmed fixed directly against the PayFast sandbox.</w:t>
      </w:r>
    </w:p>
    <w:p>
      <w:pPr>
        <w:pStyle w:val="ListBullet"/>
      </w:pPr>
      <w:r>
        <w:rPr>
          <w:b/>
        </w:rPr>
        <w:t>PayFast checkout now works on the Ethan preview with no dashboard access needed.</w:t>
      </w:r>
      <w:r>
        <w:t xml:space="preserve"> Each </w:t>
      </w:r>
      <w:r>
        <w:rPr>
          <w:rFonts w:ascii="Consolas" w:hAnsi="Consolas"/>
          <w:color w:val="1F4E8C"/>
          <w:sz w:val="19"/>
        </w:rPr>
        <w:t>wrangler.&lt;city&gt;.jsonc</w:t>
      </w:r>
      <w:r>
        <w:t xml:space="preserve"> carries an </w:t>
      </w:r>
      <w:r>
        <w:rPr>
          <w:rFonts w:ascii="Consolas" w:hAnsi="Consolas"/>
          <w:color w:val="1F4E8C"/>
          <w:sz w:val="19"/>
        </w:rPr>
        <w:t>env.preview</w:t>
      </w:r>
      <w:r>
        <w:t xml:space="preserve"> block with PayFast's own publicly documented sandbox test credentials (merchant 10004002 — safe to commit, sandbox-only, moves no real money). Production keeps its own separate, encrypted PayFast secrets, never read from this file.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