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公众号层层定价模式对接需求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outlineLvl w:val="1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需求背景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1.1</w:t>
      </w:r>
      <w:r>
        <w:rPr>
          <w:rFonts w:hint="eastAsia"/>
          <w:sz w:val="28"/>
          <w:szCs w:val="28"/>
          <w:lang w:val="en-US" w:eastAsia="zh-Hans"/>
        </w:rPr>
        <w:t>包盘方需要直接使用自己公众号展业，政策类似汇拓客层层设置。</w:t>
      </w:r>
    </w:p>
    <w:p>
      <w:pPr>
        <w:numPr>
          <w:ilvl w:val="0"/>
          <w:numId w:val="2"/>
        </w:numPr>
        <w:outlineLvl w:val="1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影响范围</w:t>
      </w:r>
    </w:p>
    <w:p>
      <w:pPr>
        <w:ind w:left="720" w:leftChars="0" w:firstLine="720" w:firstLineChars="0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2.1</w:t>
      </w:r>
      <w:r>
        <w:rPr>
          <w:rFonts w:hint="eastAsia"/>
          <w:sz w:val="28"/>
          <w:szCs w:val="28"/>
          <w:lang w:val="en-US" w:eastAsia="zh-Hans"/>
        </w:rPr>
        <w:t>推客平台前端页面</w:t>
      </w:r>
    </w:p>
    <w:p>
      <w:pPr>
        <w:numPr>
          <w:ilvl w:val="0"/>
          <w:numId w:val="2"/>
        </w:numPr>
        <w:outlineLvl w:val="1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需求内容</w:t>
      </w:r>
    </w:p>
    <w:p>
      <w:pPr>
        <w:ind w:left="720" w:leftChars="0" w:firstLine="720" w:firstLineChars="0"/>
        <w:outlineLvl w:val="2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3.1.1</w:t>
      </w:r>
      <w:r>
        <w:rPr>
          <w:rFonts w:hint="eastAsia"/>
          <w:sz w:val="28"/>
          <w:szCs w:val="28"/>
          <w:lang w:val="en-US" w:eastAsia="zh-Hans"/>
        </w:rPr>
        <w:t>推客端页面增加团队拓展入口</w:t>
      </w:r>
    </w:p>
    <w:p>
      <w:pPr>
        <w:ind w:firstLine="720" w:firstLineChars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进入后展示团队拓展海报页面，可通过二维码、链接邀请合作方注册</w:t>
      </w:r>
    </w:p>
    <w:p>
      <w:pPr>
        <w:ind w:left="720" w:leftChars="0" w:firstLine="720" w:firstLineChars="0"/>
        <w:outlineLvl w:val="2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3.1.</w:t>
      </w:r>
      <w:r>
        <w:rPr>
          <w:rFonts w:hint="default"/>
          <w:sz w:val="28"/>
          <w:szCs w:val="28"/>
          <w:lang w:eastAsia="zh-Hans"/>
        </w:rPr>
        <w:t>2</w:t>
      </w:r>
      <w:r>
        <w:rPr>
          <w:rFonts w:hint="eastAsia"/>
          <w:sz w:val="28"/>
          <w:szCs w:val="28"/>
          <w:lang w:val="en-US" w:eastAsia="zh-Hans"/>
        </w:rPr>
        <w:t>推客端页面增加直属拓客页面</w:t>
      </w:r>
    </w:p>
    <w:p>
      <w:pPr>
        <w:ind w:left="720" w:leftChars="0" w:firstLine="720" w:firstLineChars="0"/>
        <w:outlineLvl w:val="2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3.1.</w:t>
      </w: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推客端直属拓客页面增加设置分润比例入口（仅支持层层设置）</w:t>
      </w:r>
    </w:p>
    <w:p>
      <w:pPr>
        <w:ind w:left="720" w:leftChars="0" w:firstLine="720" w:firstLineChars="0"/>
        <w:outlineLvl w:val="2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3.1.4</w:t>
      </w:r>
      <w:r>
        <w:rPr>
          <w:rFonts w:hint="eastAsia"/>
          <w:sz w:val="28"/>
          <w:szCs w:val="28"/>
          <w:lang w:val="en-US" w:eastAsia="zh-Hans"/>
        </w:rPr>
        <w:t>推客端页面增加分润模板设置入口，进入后可设置新下级默认分润比例设置</w:t>
      </w:r>
      <w:bookmarkStart w:id="0" w:name="_GoBack"/>
      <w:bookmarkEnd w:id="0"/>
    </w:p>
    <w:p>
      <w:pPr>
        <w:ind w:left="720" w:leftChars="0" w:firstLine="720" w:firstLineChars="0"/>
        <w:outlineLvl w:val="2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3.1.</w:t>
      </w:r>
      <w:r>
        <w:rPr>
          <w:rFonts w:hint="default"/>
          <w:sz w:val="28"/>
          <w:szCs w:val="28"/>
          <w:lang w:eastAsia="zh-Hans"/>
        </w:rPr>
        <w:t xml:space="preserve">5 </w:t>
      </w:r>
      <w:r>
        <w:rPr>
          <w:rFonts w:hint="eastAsia"/>
          <w:sz w:val="28"/>
          <w:szCs w:val="28"/>
          <w:lang w:val="en-US" w:eastAsia="zh-Hans"/>
        </w:rPr>
        <w:t>推客端我的页面增加报表下载入口</w:t>
      </w:r>
      <w:r>
        <w:rPr>
          <w:rFonts w:hint="default"/>
          <w:sz w:val="28"/>
          <w:szCs w:val="28"/>
          <w:lang w:eastAsia="zh-Hans"/>
        </w:rPr>
        <w:t>-</w:t>
      </w:r>
      <w:r>
        <w:rPr>
          <w:rFonts w:hint="eastAsia"/>
          <w:sz w:val="28"/>
          <w:szCs w:val="28"/>
          <w:lang w:val="en-US" w:eastAsia="zh-Hans"/>
        </w:rPr>
        <w:t>用于下载代理商趣伴卡报表</w:t>
      </w:r>
    </w:p>
    <w:p>
      <w:pPr>
        <w:ind w:left="720" w:leftChars="0" w:firstLine="720" w:firstLineChars="0"/>
        <w:outlineLvl w:val="2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3.1.6</w:t>
      </w:r>
      <w:r>
        <w:rPr>
          <w:rFonts w:hint="eastAsia"/>
          <w:sz w:val="28"/>
          <w:szCs w:val="28"/>
          <w:lang w:val="en-US" w:eastAsia="zh-Hans"/>
        </w:rPr>
        <w:t>拓客需求：</w:t>
      </w:r>
    </w:p>
    <w:p>
      <w:pPr>
        <w:numPr>
          <w:ilvl w:val="0"/>
          <w:numId w:val="3"/>
        </w:numPr>
        <w:ind w:left="720" w:leftChars="0" w:firstLine="720" w:firstLineChars="0"/>
        <w:outlineLvl w:val="2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提供设置分润比例h</w:t>
      </w:r>
      <w:r>
        <w:rPr>
          <w:rFonts w:hint="default"/>
          <w:sz w:val="28"/>
          <w:szCs w:val="28"/>
          <w:lang w:eastAsia="zh-Hans"/>
        </w:rPr>
        <w:t>5</w:t>
      </w:r>
      <w:r>
        <w:rPr>
          <w:rFonts w:hint="eastAsia"/>
          <w:sz w:val="28"/>
          <w:szCs w:val="28"/>
          <w:lang w:val="en-US" w:eastAsia="zh-Hans"/>
        </w:rPr>
        <w:t>接口</w:t>
      </w:r>
    </w:p>
    <w:p>
      <w:pPr>
        <w:numPr>
          <w:ilvl w:val="0"/>
          <w:numId w:val="3"/>
        </w:numPr>
        <w:ind w:left="720" w:leftChars="0" w:firstLine="720" w:firstLineChars="0"/>
        <w:outlineLvl w:val="2"/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提供下载趣伴卡报表h</w:t>
      </w:r>
      <w:r>
        <w:rPr>
          <w:rFonts w:hint="default"/>
          <w:sz w:val="28"/>
          <w:szCs w:val="28"/>
          <w:lang w:eastAsia="zh-Hans"/>
        </w:rPr>
        <w:t>5</w:t>
      </w:r>
      <w:r>
        <w:rPr>
          <w:rFonts w:hint="eastAsia"/>
          <w:sz w:val="28"/>
          <w:szCs w:val="28"/>
          <w:lang w:val="en-US" w:eastAsia="zh-Hans"/>
        </w:rPr>
        <w:t>接口</w:t>
      </w:r>
    </w:p>
    <w:p>
      <w:pPr>
        <w:numPr>
          <w:ilvl w:val="0"/>
          <w:numId w:val="3"/>
        </w:numPr>
        <w:ind w:left="720" w:leftChars="0" w:firstLine="720" w:firstLineChars="0"/>
        <w:outlineLvl w:val="2"/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合作方管理、服务商管理、渠道来源筛选项增加趣拓客渠道，展示趣拓客的合作方、服务商数据</w:t>
      </w:r>
    </w:p>
    <w:p>
      <w:pPr>
        <w:numPr>
          <w:ilvl w:val="0"/>
          <w:numId w:val="3"/>
        </w:numPr>
        <w:ind w:left="720" w:leftChars="0" w:firstLine="720" w:firstLineChars="0"/>
        <w:outlineLvl w:val="2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val="en-US" w:eastAsia="zh-Hans"/>
        </w:rPr>
        <w:t>付款单管理</w:t>
      </w:r>
      <w:r>
        <w:rPr>
          <w:rFonts w:hint="default"/>
          <w:sz w:val="28"/>
          <w:szCs w:val="28"/>
          <w:lang w:eastAsia="zh-Hans"/>
        </w:rPr>
        <w:t>-</w:t>
      </w:r>
      <w:r>
        <w:rPr>
          <w:rFonts w:hint="default"/>
          <w:sz w:val="28"/>
          <w:szCs w:val="28"/>
          <w:lang w:val="en-US" w:eastAsia="zh-Hans"/>
        </w:rPr>
        <w:t>服务商类型增加趣</w:t>
      </w:r>
      <w:r>
        <w:rPr>
          <w:rFonts w:hint="eastAsia"/>
          <w:sz w:val="28"/>
          <w:szCs w:val="28"/>
          <w:lang w:val="en-US" w:eastAsia="zh-Hans"/>
        </w:rPr>
        <w:t>拓客</w:t>
      </w:r>
      <w:r>
        <w:rPr>
          <w:rFonts w:hint="default"/>
          <w:sz w:val="28"/>
          <w:szCs w:val="28"/>
          <w:lang w:val="en-US" w:eastAsia="zh-Hans"/>
        </w:rPr>
        <w:t>枚举值，开放展示趣</w:t>
      </w:r>
      <w:r>
        <w:rPr>
          <w:rFonts w:hint="eastAsia"/>
          <w:sz w:val="28"/>
          <w:szCs w:val="28"/>
          <w:lang w:val="en-US" w:eastAsia="zh-Hans"/>
        </w:rPr>
        <w:t>拓客</w:t>
      </w:r>
      <w:r>
        <w:rPr>
          <w:rFonts w:hint="default"/>
          <w:sz w:val="28"/>
          <w:szCs w:val="28"/>
          <w:lang w:val="en-US" w:eastAsia="zh-Hans"/>
        </w:rPr>
        <w:t>合作方的提现付款单</w:t>
      </w:r>
    </w:p>
    <w:p>
      <w:pPr>
        <w:numPr>
          <w:ilvl w:val="0"/>
          <w:numId w:val="3"/>
        </w:numPr>
        <w:ind w:left="720" w:leftChars="0" w:firstLine="720" w:firstLineChars="0"/>
        <w:outlineLvl w:val="2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val="en-US" w:eastAsia="zh-Hans"/>
        </w:rPr>
        <w:t>下级（个人）账户提现参数，使用同趣伴卡（展业版）的付款单参数</w:t>
      </w:r>
    </w:p>
    <w:p>
      <w:pPr>
        <w:numPr>
          <w:ilvl w:val="0"/>
          <w:numId w:val="3"/>
        </w:numPr>
        <w:ind w:left="720" w:leftChars="0" w:firstLine="720" w:firstLineChars="0"/>
        <w:outlineLvl w:val="2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val="en-US" w:eastAsia="zh-Hans"/>
        </w:rPr>
        <w:t>下级（个人）扣票机构挂在</w:t>
      </w:r>
      <w:r>
        <w:rPr>
          <w:rFonts w:hint="eastAsia"/>
          <w:sz w:val="28"/>
          <w:szCs w:val="28"/>
          <w:lang w:val="en-US" w:eastAsia="zh-Hans"/>
        </w:rPr>
        <w:t>新增的属于趣拓客的佳德宝机构</w:t>
      </w:r>
    </w:p>
    <w:p>
      <w:pPr>
        <w:ind w:firstLine="720" w:firstLineChars="0"/>
        <w:rPr>
          <w:rFonts w:hint="eastAsia"/>
          <w:sz w:val="28"/>
          <w:szCs w:val="28"/>
          <w:lang w:val="en-US" w:eastAsia="zh-Hans"/>
        </w:rPr>
      </w:pPr>
    </w:p>
    <w:sectPr>
      <w:headerReference r:id="rId4" w:type="default"/>
      <w:footerReference r:id="rId5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E1753"/>
    <w:multiLevelType w:val="singleLevel"/>
    <w:tmpl w:val="DF7E175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399674"/>
    <w:multiLevelType w:val="singleLevel"/>
    <w:tmpl w:val="62399674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3FFFD2A8"/>
    <w:rsid w:val="46FDC2CD"/>
    <w:rsid w:val="4ACBB8AF"/>
    <w:rsid w:val="4FFC699B"/>
    <w:rsid w:val="5B59964A"/>
    <w:rsid w:val="6B797A95"/>
    <w:rsid w:val="7B3C46DF"/>
    <w:rsid w:val="7DCA8D76"/>
    <w:rsid w:val="97FFB181"/>
    <w:rsid w:val="ADFDF052"/>
    <w:rsid w:val="B4FCEF70"/>
    <w:rsid w:val="BBCFEBD8"/>
    <w:rsid w:val="DB7769B7"/>
    <w:rsid w:val="DDF76F20"/>
    <w:rsid w:val="EFF716F7"/>
    <w:rsid w:val="F97D534D"/>
    <w:rsid w:val="FA7D5788"/>
    <w:rsid w:val="FA9E8846"/>
    <w:rsid w:val="FEAEB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qFormat/>
    <w:uiPriority w:val="99"/>
    <w:rPr>
      <w:color w:val="0000FF"/>
      <w:u w:val="single"/>
    </w:rPr>
  </w:style>
  <w:style w:type="paragraph" w:customStyle="1" w:styleId="20">
    <w:name w:val="AxureTOCHeading"/>
    <w:basedOn w:val="1"/>
    <w:qFormat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1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2">
    <w:name w:val="AxureHeading2"/>
    <w:basedOn w:val="1"/>
    <w:qFormat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3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4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5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qFormat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8">
    <w:name w:val="Balloon Text Char"/>
    <w:basedOn w:val="18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6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8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1">
    <w:name w:val="Heading 5 Char"/>
    <w:basedOn w:val="18"/>
    <w:link w:val="6"/>
    <w:qFormat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8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8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8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8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4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5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6">
    <w:name w:val="Axure表格样式"/>
    <w:basedOn w:val="16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TotalTime>55</TotalTime>
  <ScaleCrop>false</ScaleCrop>
  <LinksUpToDate>false</LinksUpToDate>
  <CharactersWithSpaces>615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2010-09-08T13:47:00Z</dcterms:created>
  <dc:creator>[Your Name]</dc:creator>
  <cp:lastModifiedBy>风过之痕</cp:lastModifiedBy>
  <cp:lastPrinted>2010-09-07T16:33:00Z</cp:lastPrinted>
  <dcterms:modified xsi:type="dcterms:W3CDTF">2023-05-25T17:53:15Z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A1E07D7ABF3E234E05C66E64A4958E38_42</vt:lpwstr>
  </property>
</Properties>
</file>