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 w:firstLine="0"/>
        <w:jc w:val="center"/>
        <w:outlineLvl w:val="1"/>
        <w:rPr>
          <w:rFonts w:hint="default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办卡通公众号需求</w:t>
      </w:r>
    </w:p>
    <w:p>
      <w:pPr>
        <w:numPr>
          <w:ilvl w:val="0"/>
          <w:numId w:val="0"/>
        </w:numPr>
        <w:ind w:leftChars="0"/>
        <w:outlineLvl w:val="4"/>
        <w:rPr>
          <w:rFonts w:hint="eastAsia" w:cs="Arial"/>
          <w:b w:val="0"/>
          <w:bCs w:val="0"/>
          <w:sz w:val="22"/>
          <w:szCs w:val="22"/>
          <w:lang w:val="en-US" w:eastAsia="zh-Hans" w:bidi="ar-SA"/>
        </w:rPr>
      </w:pPr>
      <w:r>
        <w:rPr>
          <w:rFonts w:hint="default" w:cs="Arial"/>
          <w:b w:val="0"/>
          <w:bCs w:val="0"/>
          <w:sz w:val="22"/>
          <w:szCs w:val="22"/>
          <w:lang w:eastAsia="zh-Hans" w:bidi="ar-SA"/>
        </w:rPr>
        <w:t>1</w:t>
      </w:r>
      <w:r>
        <w:rPr>
          <w:rFonts w:hint="eastAsia" w:cs="Arial"/>
          <w:b w:val="0"/>
          <w:bCs w:val="0"/>
          <w:sz w:val="22"/>
          <w:szCs w:val="22"/>
          <w:lang w:eastAsia="zh-Hans" w:bidi="ar-SA"/>
        </w:rPr>
        <w:t>、</w:t>
      </w:r>
      <w:r>
        <w:rPr>
          <w:rFonts w:hint="eastAsia" w:cs="Arial"/>
          <w:b w:val="0"/>
          <w:bCs w:val="0"/>
          <w:sz w:val="22"/>
          <w:szCs w:val="22"/>
          <w:lang w:val="en-US" w:eastAsia="zh-Hans" w:bidi="ar-SA"/>
        </w:rPr>
        <w:t>增加一个用于办卡通的机构，同趣伴卡机构，返回一代信息时，返回二级的合作方编号</w:t>
      </w:r>
    </w:p>
    <w:p>
      <w:pPr>
        <w:numPr>
          <w:ilvl w:val="0"/>
          <w:numId w:val="0"/>
        </w:numPr>
        <w:ind w:leftChars="0"/>
        <w:outlineLvl w:val="4"/>
        <w:rPr>
          <w:rFonts w:hint="default" w:cs="Arial"/>
          <w:b w:val="0"/>
          <w:bCs w:val="0"/>
          <w:sz w:val="22"/>
          <w:szCs w:val="22"/>
          <w:lang w:val="en-US" w:eastAsia="zh-Hans" w:bidi="ar-SA"/>
        </w:rPr>
      </w:pPr>
      <w:r>
        <w:rPr>
          <w:rFonts w:hint="default" w:cs="Arial"/>
          <w:b w:val="0"/>
          <w:bCs w:val="0"/>
          <w:sz w:val="22"/>
          <w:szCs w:val="22"/>
          <w:lang w:eastAsia="zh-Hans" w:bidi="ar-SA"/>
        </w:rPr>
        <w:t>2</w:t>
      </w:r>
      <w:r>
        <w:rPr>
          <w:rFonts w:hint="eastAsia" w:cs="Arial"/>
          <w:b w:val="0"/>
          <w:bCs w:val="0"/>
          <w:sz w:val="22"/>
          <w:szCs w:val="22"/>
          <w:lang w:eastAsia="zh-Hans" w:bidi="ar-SA"/>
        </w:rPr>
        <w:t>、</w:t>
      </w:r>
      <w:r>
        <w:rPr>
          <w:rFonts w:hint="eastAsia" w:cs="Arial"/>
          <w:b w:val="0"/>
          <w:bCs w:val="0"/>
          <w:sz w:val="22"/>
          <w:szCs w:val="22"/>
          <w:lang w:val="en-US" w:eastAsia="zh-Hans" w:bidi="ar-SA"/>
        </w:rPr>
        <w:t>使用趣伴卡展业版的结算参数，与展业版公用头寸、发票</w:t>
      </w:r>
    </w:p>
    <w:p>
      <w:pPr>
        <w:numPr>
          <w:ilvl w:val="0"/>
          <w:numId w:val="0"/>
        </w:numPr>
        <w:ind w:leftChars="0"/>
        <w:outlineLvl w:val="4"/>
        <w:rPr>
          <w:rFonts w:hint="default" w:cs="Arial"/>
          <w:b w:val="0"/>
          <w:bCs w:val="0"/>
          <w:sz w:val="22"/>
          <w:szCs w:val="22"/>
          <w:lang w:val="en-US" w:eastAsia="zh-Hans" w:bidi="ar-SA"/>
        </w:rPr>
      </w:pPr>
      <w:r>
        <w:rPr>
          <w:rFonts w:hint="default" w:cs="Arial"/>
          <w:b w:val="0"/>
          <w:bCs w:val="0"/>
          <w:sz w:val="22"/>
          <w:szCs w:val="22"/>
          <w:lang w:eastAsia="zh-Hans" w:bidi="ar-SA"/>
        </w:rPr>
        <w:t>3</w:t>
      </w:r>
      <w:r>
        <w:rPr>
          <w:rFonts w:hint="eastAsia" w:cs="Arial"/>
          <w:b w:val="0"/>
          <w:bCs w:val="0"/>
          <w:sz w:val="22"/>
          <w:szCs w:val="22"/>
          <w:lang w:eastAsia="zh-Hans" w:bidi="ar-SA"/>
        </w:rPr>
        <w:t>、</w:t>
      </w:r>
      <w:r>
        <w:rPr>
          <w:rFonts w:hint="eastAsia" w:cs="Arial"/>
          <w:b w:val="0"/>
          <w:bCs w:val="0"/>
          <w:sz w:val="22"/>
          <w:szCs w:val="22"/>
          <w:lang w:val="en-US" w:eastAsia="zh-Hans" w:bidi="ar-SA"/>
        </w:rPr>
        <w:t>结算文件处理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）</w:t>
      </w:r>
      <w:r>
        <w:rPr>
          <w:rFonts w:hint="default"/>
          <w:lang w:eastAsia="zh-Hans"/>
        </w:rPr>
        <w:t>办卡通</w:t>
      </w:r>
      <w:r>
        <w:rPr>
          <w:rFonts w:hint="eastAsia"/>
          <w:lang w:val="en-US" w:eastAsia="zh-Hans"/>
        </w:rPr>
        <w:t>渠道的oss配置，支持生成信用卡、借记卡、贷款产品、活动奖励、用卡评测文件到oss系统供拓客系统读取，渠道KEY：</w:t>
      </w:r>
      <w:r>
        <w:rPr>
          <w:rFonts w:hint="default"/>
          <w:lang w:eastAsia="zh-Hans"/>
        </w:rPr>
        <w:t>BKTZYB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）拓客系统须读取这个渠道的文件并分润至对应用户账户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36"/>
          <w:lang w:val="en-US" w:eastAsia="zh-Hans"/>
        </w:rPr>
      </w:pPr>
      <w:r>
        <w:rPr>
          <w:rFonts w:hint="eastAsia"/>
          <w:b/>
          <w:bCs/>
          <w:sz w:val="22"/>
          <w:szCs w:val="36"/>
          <w:lang w:val="en-US" w:eastAsia="zh-Hans"/>
        </w:rPr>
        <w:t>（</w:t>
      </w:r>
      <w:r>
        <w:rPr>
          <w:rFonts w:hint="default"/>
          <w:b/>
          <w:bCs/>
          <w:sz w:val="22"/>
          <w:szCs w:val="36"/>
          <w:lang w:eastAsia="zh-Hans"/>
        </w:rPr>
        <w:t>3</w:t>
      </w:r>
      <w:r>
        <w:rPr>
          <w:rFonts w:hint="eastAsia"/>
          <w:b/>
          <w:bCs/>
          <w:sz w:val="22"/>
          <w:szCs w:val="36"/>
          <w:lang w:val="en-US" w:eastAsia="zh-Hans"/>
        </w:rPr>
        <w:t>）信用卡、借记卡、贷款产品结算文件末尾增加一列字段，拓卡方ID，传输实际拓卡方的合作方编码，用于计算推荐奖励</w:t>
      </w:r>
      <w:r>
        <w:rPr>
          <w:rFonts w:hint="default"/>
          <w:b/>
          <w:bCs/>
          <w:sz w:val="22"/>
          <w:szCs w:val="36"/>
          <w:lang w:eastAsia="zh-Hans"/>
        </w:rPr>
        <w:t>-</w:t>
      </w:r>
      <w:r>
        <w:rPr>
          <w:rFonts w:hint="eastAsia"/>
          <w:b/>
          <w:bCs/>
          <w:sz w:val="22"/>
          <w:szCs w:val="36"/>
          <w:lang w:val="en-US" w:eastAsia="zh-Hans"/>
        </w:rPr>
        <w:t>对同一个订单号同一个拓卡方的其余收益方的收益，收入汇总中统计为推荐奖励。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object>
          <v:shape id="_x0000_i1025" o:spt="75" type="#_x0000_t75" style="height:120pt;width:120pt;" o:ole="t" filled="f" o:preferrelative="t" stroked="f" coordsize="21600,21600">
            <v:fill on="f" focussize="0,0"/>
            <v:stroke on="f"/>
            <v:imagedata r:id="rId8" o:title="oleimage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  <w:r>
        <w:rPr>
          <w:rFonts w:hint="default"/>
          <w:lang w:eastAsia="zh-Hans"/>
        </w:rPr>
        <w:object>
          <v:shape id="_x0000_i1026" o:spt="75" type="#_x0000_t75" style="height:120pt;width:120pt;" o:ole="t" filled="f" o:preferrelative="t" stroked="f" coordsize="21600,21600">
            <v:fill on="f" focussize="0,0"/>
            <v:stroke on="f"/>
            <v:imagedata r:id="rId10" o:title="oleimage"/>
            <o:lock v:ext="edit" aspectratio="t"/>
            <w10:wrap type="none"/>
            <w10:anchorlock/>
          </v:shape>
          <o:OLEObject Type="Embed" ProgID="Package" ShapeID="_x0000_i1026" DrawAspect="Icon" ObjectID="_1468075726" r:id="rId9">
            <o:LockedField>false</o:LockedField>
          </o:OLEObject>
        </w:object>
      </w:r>
      <w:r>
        <w:rPr>
          <w:rFonts w:hint="default"/>
          <w:lang w:eastAsia="zh-Hans"/>
        </w:rPr>
        <w:object>
          <v:shape id="_x0000_i1027" o:spt="75" type="#_x0000_t75" style="height:120pt;width:120pt;" o:ole="t" filled="f" o:preferrelative="t" stroked="f" coordsize="21600,21600">
            <v:fill on="f" focussize="0,0"/>
            <v:stroke on="f"/>
            <v:imagedata r:id="rId12" o:title="oleimage"/>
            <o:lock v:ext="edit" aspectratio="t"/>
            <w10:wrap type="none"/>
            <w10:anchorlock/>
          </v:shape>
          <o:OLEObject Type="Embed" ProgID="Package" ShapeID="_x0000_i1027" DrawAspect="Icon" ObjectID="_1468075727" r:id="rId11">
            <o:LockedField>false</o:LockedField>
          </o:OLEObject>
        </w:object>
      </w:r>
      <w:bookmarkStart w:id="0" w:name="_GoBack"/>
      <w:bookmarkEnd w:id="0"/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</w:tblPrEx>
      <w:trPr>
        <w:trHeight w:val="180" w:hRule="atLeast"/>
      </w:trPr>
      <w:tc>
        <w:tcPr>
          <w:tcW w:w="2214" w:type="pct"/>
        </w:tcPr>
        <w:p>
          <w:pPr>
            <w:pStyle w:val="12"/>
          </w:pPr>
        </w:p>
      </w:tc>
      <w:tc>
        <w:tcPr>
          <w:tcW w:w="572" w:type="pct"/>
          <w:vMerge w:val="restart"/>
          <w:vAlign w:val="center"/>
        </w:tcPr>
        <w:p>
          <w:pPr>
            <w:pStyle w:val="12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2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</w:tblPrEx>
      <w:tc>
        <w:tcPr>
          <w:tcW w:w="2214" w:type="pct"/>
        </w:tcPr>
        <w:p>
          <w:pPr>
            <w:pStyle w:val="12"/>
          </w:pPr>
        </w:p>
      </w:tc>
      <w:tc>
        <w:tcPr>
          <w:tcW w:w="572" w:type="pct"/>
          <w:vMerge w:val="continue"/>
          <w:vAlign w:val="center"/>
        </w:tcPr>
        <w:p>
          <w:pPr>
            <w:pStyle w:val="12"/>
            <w:jc w:val="center"/>
          </w:pPr>
        </w:p>
      </w:tc>
      <w:tc>
        <w:tcPr>
          <w:tcW w:w="2214" w:type="pct"/>
        </w:tcPr>
        <w:p>
          <w:pPr>
            <w:pStyle w:val="12"/>
          </w:pPr>
        </w:p>
      </w:tc>
    </w:tr>
  </w:tbl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5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6B65CA"/>
    <w:multiLevelType w:val="multilevel"/>
    <w:tmpl w:val="786B65CA"/>
    <w:lvl w:ilvl="0" w:tentative="0">
      <w:start w:val="1"/>
      <w:numFmt w:val="decimal"/>
      <w:pStyle w:val="23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4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5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6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xOTJhZGVkMzI1OTBjY2FkYTNmNmY4NDMxMzlhZGQ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122FF843"/>
    <w:rsid w:val="15AF157A"/>
    <w:rsid w:val="227B3DFE"/>
    <w:rsid w:val="2FF7145A"/>
    <w:rsid w:val="36DA1DB0"/>
    <w:rsid w:val="36DFC955"/>
    <w:rsid w:val="37DDACC3"/>
    <w:rsid w:val="3BF53502"/>
    <w:rsid w:val="3D3F3B41"/>
    <w:rsid w:val="3DFD37EE"/>
    <w:rsid w:val="3EBE39D2"/>
    <w:rsid w:val="3EDF1828"/>
    <w:rsid w:val="3FB77B42"/>
    <w:rsid w:val="3FFBFAA3"/>
    <w:rsid w:val="4FAB1650"/>
    <w:rsid w:val="53FD79A1"/>
    <w:rsid w:val="55F7069D"/>
    <w:rsid w:val="577FFFA6"/>
    <w:rsid w:val="57AF7F34"/>
    <w:rsid w:val="57FFF441"/>
    <w:rsid w:val="5BE733F0"/>
    <w:rsid w:val="5DBB8C98"/>
    <w:rsid w:val="5F6311F6"/>
    <w:rsid w:val="5FFEC55D"/>
    <w:rsid w:val="63FB87DF"/>
    <w:rsid w:val="64040FFF"/>
    <w:rsid w:val="657F9B6D"/>
    <w:rsid w:val="677ACF1B"/>
    <w:rsid w:val="6DE8ECF5"/>
    <w:rsid w:val="6E61A2CC"/>
    <w:rsid w:val="6FFEACBF"/>
    <w:rsid w:val="74FB85AA"/>
    <w:rsid w:val="7568A413"/>
    <w:rsid w:val="797FDA64"/>
    <w:rsid w:val="79DBF48C"/>
    <w:rsid w:val="7BFF9F92"/>
    <w:rsid w:val="7DF5DB6F"/>
    <w:rsid w:val="7E05038E"/>
    <w:rsid w:val="7EA76626"/>
    <w:rsid w:val="7ED37CE2"/>
    <w:rsid w:val="7EEF3593"/>
    <w:rsid w:val="7F793FB4"/>
    <w:rsid w:val="7FA0939E"/>
    <w:rsid w:val="7FA5FBC5"/>
    <w:rsid w:val="7FAD203B"/>
    <w:rsid w:val="7FDF58CA"/>
    <w:rsid w:val="7FE456E3"/>
    <w:rsid w:val="7FFD0735"/>
    <w:rsid w:val="86F7B8E4"/>
    <w:rsid w:val="8EEA9FED"/>
    <w:rsid w:val="8EF7286B"/>
    <w:rsid w:val="8F31F7B1"/>
    <w:rsid w:val="8FD0429A"/>
    <w:rsid w:val="8FFABDB8"/>
    <w:rsid w:val="977EFF14"/>
    <w:rsid w:val="97FB2544"/>
    <w:rsid w:val="9BEFB60F"/>
    <w:rsid w:val="9F9F4049"/>
    <w:rsid w:val="9FF50FCE"/>
    <w:rsid w:val="9FFF0798"/>
    <w:rsid w:val="AF3E1943"/>
    <w:rsid w:val="AFCF22B5"/>
    <w:rsid w:val="B3FAF705"/>
    <w:rsid w:val="B6F625C8"/>
    <w:rsid w:val="BBFFD090"/>
    <w:rsid w:val="BE9FA14C"/>
    <w:rsid w:val="CEEE23A6"/>
    <w:rsid w:val="CEEEB420"/>
    <w:rsid w:val="D7F37632"/>
    <w:rsid w:val="D9AFF43F"/>
    <w:rsid w:val="DBBF6681"/>
    <w:rsid w:val="DBBFC11A"/>
    <w:rsid w:val="DBFF08C1"/>
    <w:rsid w:val="DCEFF83E"/>
    <w:rsid w:val="DD8FA973"/>
    <w:rsid w:val="DEC724C0"/>
    <w:rsid w:val="DEFBD2BE"/>
    <w:rsid w:val="E49A7684"/>
    <w:rsid w:val="E6573DB3"/>
    <w:rsid w:val="E7D5A4C5"/>
    <w:rsid w:val="E7F7E697"/>
    <w:rsid w:val="E7FF68E5"/>
    <w:rsid w:val="EBFF57E2"/>
    <w:rsid w:val="EFDA785B"/>
    <w:rsid w:val="F7DFFABA"/>
    <w:rsid w:val="F7FF3DBF"/>
    <w:rsid w:val="FB77CD13"/>
    <w:rsid w:val="FB9C9EE1"/>
    <w:rsid w:val="FBF7FC5B"/>
    <w:rsid w:val="FD7FB607"/>
    <w:rsid w:val="FDFFE825"/>
    <w:rsid w:val="FF3AF5CB"/>
    <w:rsid w:val="FF8985B8"/>
    <w:rsid w:val="FFAE0C27"/>
    <w:rsid w:val="FFB94F0D"/>
    <w:rsid w:val="FFEF5C74"/>
    <w:rsid w:val="FFFEE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2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3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9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0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1">
    <w:name w:val="Balloon Text"/>
    <w:basedOn w:val="1"/>
    <w:link w:val="30"/>
    <w:qFormat/>
    <w:uiPriority w:val="0"/>
    <w:rPr>
      <w:rFonts w:ascii="Tahoma" w:hAnsi="Tahoma" w:cs="Tahoma"/>
      <w:sz w:val="16"/>
      <w:szCs w:val="16"/>
    </w:rPr>
  </w:style>
  <w:style w:type="paragraph" w:styleId="12">
    <w:name w:val="footer"/>
    <w:basedOn w:val="1"/>
    <w:link w:val="38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header"/>
    <w:basedOn w:val="1"/>
    <w:link w:val="37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5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6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9">
    <w:name w:val="Table Grid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Hyperlink"/>
    <w:basedOn w:val="20"/>
    <w:qFormat/>
    <w:uiPriority w:val="99"/>
    <w:rPr>
      <w:color w:val="0000FF"/>
      <w:u w:val="single"/>
    </w:rPr>
  </w:style>
  <w:style w:type="paragraph" w:customStyle="1" w:styleId="22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8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9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Balloon Text Char"/>
    <w:basedOn w:val="20"/>
    <w:link w:val="11"/>
    <w:qFormat/>
    <w:uiPriority w:val="0"/>
    <w:rPr>
      <w:rFonts w:ascii="Tahoma" w:hAnsi="Tahoma" w:cs="Tahoma"/>
      <w:sz w:val="16"/>
      <w:szCs w:val="16"/>
    </w:rPr>
  </w:style>
  <w:style w:type="table" w:customStyle="1" w:styleId="31">
    <w:name w:val="AxureTableStyle"/>
    <w:basedOn w:val="18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2">
    <w:name w:val="Heading 4 Char"/>
    <w:basedOn w:val="20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3">
    <w:name w:val="Heading 5 Char"/>
    <w:basedOn w:val="20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4">
    <w:name w:val="AxureImageParagraph"/>
    <w:basedOn w:val="1"/>
    <w:qFormat/>
    <w:uiPriority w:val="0"/>
    <w:pPr>
      <w:jc w:val="center"/>
    </w:pPr>
  </w:style>
  <w:style w:type="paragraph" w:styleId="35">
    <w:name w:val="No Spacing"/>
    <w:link w:val="36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6">
    <w:name w:val="No Spacing Char"/>
    <w:basedOn w:val="20"/>
    <w:link w:val="35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7">
    <w:name w:val="Header Char"/>
    <w:basedOn w:val="20"/>
    <w:link w:val="13"/>
    <w:qFormat/>
    <w:uiPriority w:val="99"/>
    <w:rPr>
      <w:rFonts w:ascii="Arial" w:hAnsi="Arial" w:cs="Arial"/>
      <w:sz w:val="18"/>
      <w:szCs w:val="24"/>
    </w:rPr>
  </w:style>
  <w:style w:type="character" w:customStyle="1" w:styleId="38">
    <w:name w:val="Footer Char"/>
    <w:basedOn w:val="20"/>
    <w:link w:val="12"/>
    <w:qFormat/>
    <w:uiPriority w:val="99"/>
    <w:rPr>
      <w:rFonts w:ascii="Arial" w:hAnsi="Arial" w:cs="Arial"/>
      <w:sz w:val="18"/>
      <w:szCs w:val="24"/>
    </w:rPr>
  </w:style>
  <w:style w:type="character" w:styleId="39">
    <w:name w:val="Placeholder Text"/>
    <w:basedOn w:val="20"/>
    <w:semiHidden/>
    <w:qFormat/>
    <w:uiPriority w:val="99"/>
    <w:rPr>
      <w:color w:val="808080"/>
    </w:rPr>
  </w:style>
  <w:style w:type="paragraph" w:customStyle="1" w:styleId="40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1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2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3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4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5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6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7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8">
    <w:name w:val="Axure表格样式"/>
    <w:basedOn w:val="18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png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oleObject" Target="embeddings/oleObject3.bin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4381</Words>
  <Characters>4598</Characters>
  <Lines>1</Lines>
  <Paragraphs>1</Paragraphs>
  <TotalTime>1</TotalTime>
  <ScaleCrop>false</ScaleCrop>
  <LinksUpToDate>false</LinksUpToDate>
  <CharactersWithSpaces>5168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2010-09-24T05:47:00Z</dcterms:created>
  <dc:creator>[Your Name]</dc:creator>
  <cp:lastModifiedBy>风过之痕</cp:lastModifiedBy>
  <cp:lastPrinted>2010-09-23T08:33:00Z</cp:lastPrinted>
  <dcterms:modified xsi:type="dcterms:W3CDTF">2022-10-18T10:40:56Z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E6598B736D48FBB8810ADE62AB5BC098</vt:lpwstr>
  </property>
</Properties>
</file>