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 w:firstLine="0"/>
        <w:jc w:val="center"/>
        <w:outlineLvl w:val="1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办卡通公众号及结算文件优化</w:t>
      </w:r>
      <w:bookmarkStart w:id="0" w:name="_GoBack"/>
      <w:bookmarkEnd w:id="0"/>
      <w:r>
        <w:rPr>
          <w:rFonts w:hint="eastAsia"/>
          <w:sz w:val="36"/>
          <w:szCs w:val="36"/>
          <w:lang w:val="en-US" w:eastAsia="zh-Hans"/>
        </w:rPr>
        <w:t>需求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1"/>
        <w:rPr>
          <w:rFonts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1、业务背景：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30" w:lineRule="atLeast"/>
        <w:ind w:left="0" w:right="0" w:firstLine="0"/>
        <w:jc w:val="left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（1）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雅琪朵使用单独公众号、渠道建立展业版用户体系。</w:t>
      </w:r>
    </w:p>
    <w:p>
      <w:pP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2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、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重点差异：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（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1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）公众号入口、授权信息分开，同一个微信可在两个公众号中同时保持登录状态，登录的手机号可不同，同一个手机号在单独渠道为隔离状态。</w:t>
      </w:r>
    </w:p>
    <w:p>
      <w:pP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（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2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）协议文本内容不同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（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3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）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平台简介、奖励政策、问题反馈内容不同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br w:type="page"/>
      </w:r>
    </w:p>
    <w:p>
      <w:pPr>
        <w:keepNext w:val="0"/>
        <w:keepLines w:val="0"/>
        <w:widowControl/>
        <w:suppressLineNumbers w:val="0"/>
        <w:ind w:left="0" w:firstLine="0"/>
        <w:jc w:val="left"/>
        <w:outlineLvl w:val="1"/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3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  <w:t>、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需求内容：</w:t>
      </w:r>
    </w:p>
    <w:p>
      <w:pPr>
        <w:numPr>
          <w:ilvl w:val="0"/>
          <w:numId w:val="2"/>
        </w:numPr>
        <w:outlineLvl w:val="2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分润规则：</w:t>
      </w:r>
    </w:p>
    <w:p>
      <w:pPr>
        <w:numPr>
          <w:ilvl w:val="0"/>
          <w:numId w:val="3"/>
        </w:numPr>
        <w:ind w:firstLine="420" w:firstLineChars="0"/>
        <w:rPr>
          <w:rFonts w:hint="eastAsia" w:cs="Arial"/>
          <w:b/>
          <w:color w:val="auto"/>
          <w:sz w:val="21"/>
          <w:szCs w:val="22"/>
          <w:lang w:val="en-US" w:eastAsia="zh-Hans" w:bidi="ar-SA"/>
        </w:rPr>
      </w:pPr>
      <w:r>
        <w:rPr>
          <w:rFonts w:hint="default"/>
          <w:lang w:eastAsia="zh-Hans"/>
        </w:rPr>
        <w:t>办卡通</w:t>
      </w:r>
      <w:r>
        <w:rPr>
          <w:rFonts w:hint="eastAsia"/>
          <w:lang w:val="en-US" w:eastAsia="zh-Hans"/>
        </w:rPr>
        <w:t>客户经营收益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银行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贷款产品结算规则金额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Apollo中配置的</w:t>
      </w:r>
      <w:r>
        <w:rPr>
          <w:rFonts w:hint="default"/>
          <w:lang w:eastAsia="zh-Hans"/>
        </w:rPr>
        <w:t>办卡通</w:t>
      </w:r>
      <w:r>
        <w:rPr>
          <w:rFonts w:hint="eastAsia"/>
          <w:lang w:val="en-US" w:eastAsia="zh-Hans"/>
        </w:rPr>
        <w:t>客户经营收益比例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Apollo配置的</w:t>
      </w:r>
      <w:r>
        <w:rPr>
          <w:rFonts w:hint="default"/>
          <w:lang w:eastAsia="zh-Hans"/>
        </w:rPr>
        <w:t>办卡通</w:t>
      </w:r>
      <w:r>
        <w:rPr>
          <w:rFonts w:hint="eastAsia"/>
          <w:lang w:val="en-US" w:eastAsia="zh-Hans"/>
        </w:rPr>
        <w:t>渠道的各银行产品的发放系数。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cs="Arial"/>
          <w:b/>
          <w:color w:val="auto"/>
          <w:sz w:val="21"/>
          <w:szCs w:val="22"/>
          <w:lang w:val="en-US" w:eastAsia="zh-Hans" w:bidi="ar-SA"/>
        </w:rPr>
      </w:pPr>
      <w:r>
        <w:rPr>
          <w:rFonts w:hint="eastAsia" w:cs="Arial"/>
          <w:b/>
          <w:color w:val="auto"/>
          <w:sz w:val="21"/>
          <w:szCs w:val="22"/>
          <w:lang w:val="en-US" w:eastAsia="zh-Hans" w:bidi="ar-SA"/>
        </w:rPr>
        <w:t>登录注册</w:t>
      </w:r>
    </w:p>
    <w:p>
      <w:pPr>
        <w:numPr>
          <w:ilvl w:val="0"/>
          <w:numId w:val="4"/>
        </w:numPr>
        <w:ind w:leftChars="0"/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</w:pPr>
      <w:r>
        <w:rPr>
          <w:rFonts w:hint="eastAsia" w:ascii="Times New Roman Bold" w:hAnsi="Times New Roman Bold" w:cs="Times New Roman Bold"/>
          <w:b/>
          <w:bCs/>
          <w:color w:val="auto"/>
          <w:sz w:val="21"/>
          <w:szCs w:val="32"/>
          <w:lang w:val="en-US" w:eastAsia="zh-Hans" w:bidi="ar-SA"/>
        </w:rPr>
        <w:t>登录成功后进入</w:t>
      </w:r>
      <w:r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eastAsia="zh-Hans" w:bidi="ar-SA"/>
        </w:rPr>
        <w:t>办卡通</w:t>
      </w:r>
      <w:r>
        <w:rPr>
          <w:rFonts w:hint="eastAsia" w:ascii="Times New Roman Bold" w:hAnsi="Times New Roman Bold" w:cs="Times New Roman Bold"/>
          <w:b/>
          <w:bCs/>
          <w:color w:val="auto"/>
          <w:sz w:val="21"/>
          <w:szCs w:val="32"/>
          <w:lang w:val="en-US" w:eastAsia="zh-Hans" w:bidi="ar-SA"/>
        </w:rPr>
        <w:t>首页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PingFang SC" w:hAnsi="PingFang SC" w:cs="Arial"/>
          <w:b/>
          <w:bCs/>
          <w:color w:val="auto"/>
          <w:sz w:val="20"/>
          <w:szCs w:val="28"/>
          <w:lang w:val="en-US" w:eastAsia="zh-Hans" w:bidi="ar-SA"/>
        </w:rPr>
      </w:pP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点击注册进入</w:t>
      </w:r>
      <w:r>
        <w:rPr>
          <w:rFonts w:hint="default" w:ascii="PingFang SC" w:hAnsi="PingFang SC" w:cs="Arial"/>
          <w:b w:val="0"/>
          <w:color w:val="auto"/>
          <w:sz w:val="18"/>
          <w:szCs w:val="24"/>
          <w:lang w:eastAsia="zh-Hans" w:bidi="ar-SA"/>
        </w:rPr>
        <w:t>业务员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注册页面，注册时需填写手机号、验证码、邀请码，填写的手机号在当前渠道无用户，跨渠道无在注册保护期内的用户，验证码正确，邀请码可匹配到当前渠道正常状态的用户的邀请码，</w:t>
      </w:r>
      <w:r>
        <w:rPr>
          <w:rFonts w:hint="default" w:ascii="Times New Roman Bold" w:hAnsi="Times New Roman Bold" w:cs="Times New Roman Bold"/>
          <w:b/>
          <w:bCs/>
          <w:color w:val="auto"/>
          <w:sz w:val="21"/>
          <w:szCs w:val="32"/>
          <w:lang w:val="en-US" w:eastAsia="zh-Hans" w:bidi="ar-SA"/>
        </w:rPr>
        <w:t>则完成注册进入引导</w:t>
      </w:r>
      <w:r>
        <w:rPr>
          <w:rFonts w:hint="default" w:ascii="Times New Roman Bold" w:hAnsi="Times New Roman Bold" w:cs="Times New Roman Bold"/>
          <w:b/>
          <w:bCs/>
          <w:color w:val="FF0000"/>
          <w:sz w:val="21"/>
          <w:szCs w:val="32"/>
          <w:lang w:val="en-US" w:eastAsia="zh-Hans" w:bidi="ar-SA"/>
        </w:rPr>
        <w:t>关注</w:t>
      </w:r>
      <w:r>
        <w:rPr>
          <w:rFonts w:hint="default" w:ascii="Times New Roman Bold" w:hAnsi="Times New Roman Bold" w:cs="Times New Roman Bold"/>
          <w:b/>
          <w:bCs/>
          <w:color w:val="FF0000"/>
          <w:sz w:val="21"/>
          <w:szCs w:val="32"/>
          <w:lang w:eastAsia="zh-Hans" w:bidi="ar-SA"/>
        </w:rPr>
        <w:t>办卡通</w:t>
      </w:r>
      <w:r>
        <w:rPr>
          <w:rFonts w:hint="default" w:ascii="Times New Roman Bold" w:hAnsi="Times New Roman Bold" w:cs="Times New Roman Bold"/>
          <w:b/>
          <w:bCs/>
          <w:color w:val="FF0000"/>
          <w:sz w:val="21"/>
          <w:szCs w:val="32"/>
          <w:lang w:val="en-US" w:eastAsia="zh-Hans" w:bidi="ar-SA"/>
        </w:rPr>
        <w:t>公众号页面</w:t>
      </w:r>
      <w:r>
        <w:rPr>
          <w:rFonts w:hint="eastAsia" w:ascii="PingFang SC" w:hAnsi="PingFang SC" w:cs="Arial"/>
          <w:b/>
          <w:bCs/>
          <w:color w:val="auto"/>
          <w:sz w:val="20"/>
          <w:szCs w:val="28"/>
          <w:lang w:val="en-US" w:eastAsia="zh-Hans" w:bidi="ar-SA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同一个手机号在不同渠道可以注册单独的</w:t>
      </w:r>
      <w:r>
        <w:rPr>
          <w:rFonts w:hint="default" w:ascii="PingFang SC" w:hAnsi="PingFang SC" w:cs="Arial"/>
          <w:b w:val="0"/>
          <w:color w:val="auto"/>
          <w:sz w:val="18"/>
          <w:szCs w:val="24"/>
          <w:lang w:eastAsia="zh-Hans" w:bidi="ar-SA"/>
        </w:rPr>
        <w:t>业务员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，账户注册保护期内不允许跨渠道注册第二个</w:t>
      </w:r>
      <w:r>
        <w:rPr>
          <w:rFonts w:hint="default" w:ascii="PingFang SC" w:hAnsi="PingFang SC" w:cs="Arial"/>
          <w:b w:val="0"/>
          <w:color w:val="auto"/>
          <w:sz w:val="18"/>
          <w:szCs w:val="24"/>
          <w:lang w:eastAsia="zh-Hans" w:bidi="ar-SA"/>
        </w:rPr>
        <w:t>业务员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，（账户注册保护期写死设置为</w:t>
      </w:r>
      <w:r>
        <w:rPr>
          <w:rFonts w:hint="default" w:ascii="PingFang SC" w:hAnsi="PingFang SC" w:cs="Arial"/>
          <w:b w:val="0"/>
          <w:color w:val="auto"/>
          <w:sz w:val="18"/>
          <w:szCs w:val="24"/>
          <w:lang w:eastAsia="zh-Hans" w:bidi="ar-SA"/>
        </w:rPr>
        <w:t>180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天，后续支持按渠道配置）注册时若填写的手机号在其他渠道已存在正常或冻结的用户时，toast提示：</w:t>
      </w:r>
      <w:r>
        <w:rPr>
          <w:rFonts w:hint="eastAsia" w:ascii="PingFang SC" w:hAnsi="PingFang SC" w:cs="Arial"/>
          <w:b/>
          <w:bCs/>
          <w:color w:val="auto"/>
          <w:sz w:val="20"/>
          <w:szCs w:val="28"/>
          <w:lang w:val="en-US" w:eastAsia="zh-Hans" w:bidi="ar-SA"/>
        </w:rPr>
        <w:t>“当前手机号暂无法注册新</w:t>
      </w:r>
      <w:r>
        <w:rPr>
          <w:rFonts w:hint="default" w:ascii="PingFang SC" w:hAnsi="PingFang SC" w:cs="Arial"/>
          <w:b/>
          <w:bCs/>
          <w:color w:val="auto"/>
          <w:sz w:val="20"/>
          <w:szCs w:val="28"/>
          <w:lang w:eastAsia="zh-Hans" w:bidi="ar-SA"/>
        </w:rPr>
        <w:t>业务员</w:t>
      </w:r>
      <w:r>
        <w:rPr>
          <w:rFonts w:hint="eastAsia" w:ascii="PingFang SC" w:hAnsi="PingFang SC" w:cs="Arial"/>
          <w:b/>
          <w:bCs/>
          <w:color w:val="auto"/>
          <w:sz w:val="20"/>
          <w:szCs w:val="28"/>
          <w:lang w:val="en-US" w:eastAsia="zh-Hans" w:bidi="ar-SA"/>
        </w:rPr>
        <w:t>”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。</w:t>
      </w:r>
    </w:p>
    <w:p>
      <w:pPr>
        <w:pStyle w:val="42"/>
        <w:keepNext/>
        <w:numPr>
          <w:ilvl w:val="0"/>
          <w:numId w:val="2"/>
        </w:numPr>
        <w:ind w:left="0" w:leftChars="0" w:firstLine="0" w:firstLineChars="0"/>
        <w:outlineLvl w:val="4"/>
      </w:pPr>
      <w:r>
        <w:rPr>
          <w:rFonts w:hint="eastAsia"/>
          <w:lang w:val="en-US" w:eastAsia="zh-Hans"/>
        </w:rPr>
        <w:t>帮助中心</w:t>
      </w:r>
    </w:p>
    <w:p>
      <w:pPr>
        <w:pStyle w:val="42"/>
        <w:keepNext/>
        <w:numPr>
          <w:ilvl w:val="0"/>
          <w:numId w:val="0"/>
        </w:numPr>
        <w:spacing w:before="120" w:after="120"/>
        <w:ind w:left="420" w:leftChars="0"/>
        <w:outlineLvl w:val="9"/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</w:pPr>
      <w:r>
        <w:rPr>
          <w:rFonts w:hint="default" w:ascii="PingFang SC" w:hAnsi="PingFang SC" w:cs="Arial"/>
          <w:b w:val="0"/>
          <w:color w:val="auto"/>
          <w:sz w:val="18"/>
          <w:szCs w:val="24"/>
          <w:lang w:eastAsia="zh-Hans" w:bidi="ar-SA"/>
        </w:rPr>
        <w:t>1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eastAsia="zh-Hans" w:bidi="ar-SA"/>
        </w:rPr>
        <w:t>、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平台简介</w:t>
      </w:r>
      <w:r>
        <w:rPr>
          <w:rFonts w:hint="default" w:ascii="PingFang SC" w:hAnsi="PingFang SC" w:cs="Arial"/>
          <w:b w:val="0"/>
          <w:color w:val="auto"/>
          <w:sz w:val="18"/>
          <w:szCs w:val="24"/>
          <w:lang w:eastAsia="zh-Hans" w:bidi="ar-SA"/>
        </w:rPr>
        <w:t>-</w:t>
      </w:r>
      <w:r>
        <w:rPr>
          <w:rFonts w:hint="eastAsia" w:ascii="PingFang SC" w:hAnsi="PingFang SC" w:cs="Arial"/>
          <w:b w:val="0"/>
          <w:color w:val="auto"/>
          <w:sz w:val="18"/>
          <w:szCs w:val="24"/>
          <w:lang w:val="en-US" w:eastAsia="zh-Hans" w:bidi="ar-SA"/>
        </w:rPr>
        <w:t>各渠道单独配置，固定图文页面，内容后续提供</w:t>
      </w:r>
    </w:p>
    <w:p>
      <w:pPr>
        <w:pStyle w:val="42"/>
        <w:keepNext/>
        <w:numPr>
          <w:numId w:val="0"/>
        </w:numPr>
        <w:ind w:leftChars="0"/>
        <w:outlineLvl w:val="4"/>
      </w:pPr>
      <w:r>
        <w:drawing>
          <wp:inline distT="0" distB="0" distL="114300" distR="114300">
            <wp:extent cx="3590290" cy="7791450"/>
            <wp:effectExtent l="0" t="0" r="16510" b="6350"/>
            <wp:docPr id="25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2"/>
        <w:keepNext/>
        <w:numPr>
          <w:numId w:val="0"/>
        </w:numPr>
        <w:ind w:leftChars="0"/>
        <w:outlineLvl w:val="4"/>
        <w:rPr>
          <w:rFonts w:hint="eastAsia" w:cs="Arial"/>
          <w:b/>
          <w:color w:val="auto"/>
          <w:sz w:val="21"/>
          <w:szCs w:val="22"/>
          <w:lang w:val="en-US" w:eastAsia="zh-Hans" w:bidi="ar-SA"/>
        </w:rPr>
      </w:pPr>
      <w:r>
        <w:rPr>
          <w:rFonts w:hint="default" w:cs="Arial"/>
          <w:b/>
          <w:color w:val="auto"/>
          <w:sz w:val="21"/>
          <w:szCs w:val="22"/>
          <w:lang w:eastAsia="zh-Hans" w:bidi="ar-SA"/>
        </w:rPr>
        <w:t>2</w:t>
      </w:r>
      <w:r>
        <w:rPr>
          <w:rFonts w:hint="eastAsia" w:cs="Arial"/>
          <w:b/>
          <w:color w:val="auto"/>
          <w:sz w:val="21"/>
          <w:szCs w:val="22"/>
          <w:lang w:eastAsia="zh-Hans" w:bidi="ar-SA"/>
        </w:rPr>
        <w:t>、</w:t>
      </w:r>
      <w:r>
        <w:rPr>
          <w:rFonts w:hint="eastAsia" w:cs="Arial"/>
          <w:b/>
          <w:color w:val="auto"/>
          <w:sz w:val="21"/>
          <w:szCs w:val="22"/>
          <w:lang w:val="en-US" w:eastAsia="zh-Hans" w:bidi="ar-SA"/>
        </w:rPr>
        <w:t>问题反馈</w:t>
      </w:r>
    </w:p>
    <w:p>
      <w:pPr>
        <w:pStyle w:val="43"/>
        <w:keepNext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问题反馈接入腾讯兔小巢：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"https://txc.qq.com/helper/WEBGuide"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21"/>
          <w:rFonts w:hint="eastAsia"/>
          <w:lang w:val="en-US" w:eastAsia="zh-Hans"/>
        </w:rPr>
        <w:t>https://txc.qq.com/helper/WEBGuide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接入文档</w:t>
      </w:r>
    </w:p>
    <w:p>
      <w:pPr>
        <w:pStyle w:val="43"/>
        <w:keepNext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对接url：https://support.qq.com/product/439345</w:t>
      </w:r>
    </w:p>
    <w:p>
      <w:pPr>
        <w:pStyle w:val="43"/>
        <w:keepNext/>
        <w:outlineLvl w:val="9"/>
        <w:rPr>
          <w:rFonts w:hint="default"/>
          <w:lang w:val="en-US" w:eastAsia="zh-Hans"/>
        </w:rPr>
      </w:pPr>
    </w:p>
    <w:p>
      <w:pPr>
        <w:pStyle w:val="34"/>
      </w:pPr>
      <w:r>
        <w:drawing>
          <wp:inline distT="0" distB="0" distL="114300" distR="114300">
            <wp:extent cx="2878455" cy="6245860"/>
            <wp:effectExtent l="0" t="0" r="17145" b="2540"/>
            <wp:docPr id="28" name="AX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rPr>
          <w:rFonts w:hint="default"/>
        </w:rPr>
      </w:pPr>
    </w:p>
    <w:p>
      <w:pPr>
        <w:pStyle w:val="42"/>
        <w:keepNext/>
        <w:outlineLvl w:val="9"/>
      </w:pPr>
    </w:p>
    <w:p>
      <w:r>
        <w:br w:type="page"/>
      </w:r>
    </w:p>
    <w:p>
      <w:pPr>
        <w:pStyle w:val="42"/>
        <w:keepNext/>
        <w:numPr>
          <w:numId w:val="0"/>
        </w:numPr>
        <w:ind w:leftChars="0"/>
        <w:outlineLvl w:val="4"/>
        <w:rPr>
          <w:rFonts w:hint="eastAsia" w:cs="Arial"/>
          <w:b/>
          <w:color w:val="auto"/>
          <w:sz w:val="21"/>
          <w:szCs w:val="22"/>
          <w:lang w:val="en-US" w:eastAsia="zh-Hans" w:bidi="ar-SA"/>
        </w:rPr>
      </w:pPr>
      <w:r>
        <w:rPr>
          <w:rFonts w:hint="eastAsia" w:cs="Arial"/>
          <w:b/>
          <w:color w:val="auto"/>
          <w:sz w:val="21"/>
          <w:szCs w:val="22"/>
          <w:lang w:val="en-US" w:eastAsia="zh-Hans" w:bidi="ar-SA"/>
        </w:rPr>
        <w:t>三、团队拓展</w:t>
      </w:r>
    </w:p>
    <w:p>
      <w:pPr>
        <w:pStyle w:val="43"/>
        <w:keepNext/>
        <w:outlineLvl w:val="9"/>
        <w:rPr>
          <w:rFonts w:hint="default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海报后续需支持多张，在控台配置，</w:t>
      </w:r>
      <w:r>
        <w:rPr>
          <w:rFonts w:hint="eastAsia"/>
          <w:b w:val="0"/>
          <w:bCs/>
          <w:color w:val="FF0000"/>
          <w:lang w:val="en-US" w:eastAsia="zh-Hans"/>
        </w:rPr>
        <w:t>首期每个渠道仅提供一张</w:t>
      </w:r>
      <w:r>
        <w:rPr>
          <w:rFonts w:hint="eastAsia"/>
          <w:b w:val="0"/>
          <w:bCs/>
          <w:lang w:val="en-US" w:eastAsia="zh-Hans"/>
        </w:rPr>
        <w:t>。</w:t>
      </w:r>
    </w:p>
    <w:p>
      <w:pPr>
        <w:pStyle w:val="43"/>
        <w:keepNext/>
        <w:outlineLvl w:val="9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扫码后进入注册页面</w:t>
      </w:r>
      <w:r>
        <w:rPr>
          <w:rFonts w:hint="default"/>
          <w:b w:val="0"/>
          <w:bCs/>
          <w:lang w:eastAsia="zh-Hans"/>
        </w:rPr>
        <w:t xml:space="preserve"> </w:t>
      </w:r>
      <w:r>
        <w:rPr>
          <w:rFonts w:hint="eastAsia"/>
          <w:b w:val="0"/>
          <w:bCs/>
          <w:lang w:eastAsia="zh-Hans"/>
        </w:rPr>
        <w:t>，</w:t>
      </w:r>
      <w:r>
        <w:rPr>
          <w:rFonts w:hint="eastAsia"/>
          <w:b w:val="0"/>
          <w:bCs/>
          <w:lang w:val="en-US" w:eastAsia="zh-Hans"/>
        </w:rPr>
        <w:t>复制的链接点击后进入办卡通注册页面</w:t>
      </w:r>
    </w:p>
    <w:p>
      <w:pPr>
        <w:pStyle w:val="34"/>
        <w:jc w:val="left"/>
        <w:rPr>
          <w:rFonts w:hint="default" w:eastAsia="Times New Roman"/>
          <w:lang w:val="en-US" w:eastAsia="zh-Hans"/>
        </w:rPr>
        <w:sectPr>
          <w:headerReference r:id="rId4" w:type="default"/>
          <w:footerReference r:id="rId5" w:type="default"/>
          <w:pgSz w:w="12240" w:h="15840"/>
          <w:pgMar w:top="720" w:right="720" w:bottom="720" w:left="720" w:header="720" w:footer="432" w:gutter="0"/>
          <w:cols w:space="720" w:num="1"/>
          <w:titlePg/>
          <w:docGrid w:linePitch="360" w:charSpace="0"/>
        </w:sectPr>
      </w:pPr>
      <w:r>
        <w:drawing>
          <wp:inline distT="0" distB="0" distL="114300" distR="114300">
            <wp:extent cx="2691130" cy="6229350"/>
            <wp:effectExtent l="0" t="0" r="1270" b="19050"/>
            <wp:docPr id="88" name="图片 13" descr="/Users/hubo/Downloads/趣伴卡展业版/首页&amp;#x2F;团队拓展.png首页&amp;#x2F;团队拓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" descr="/Users/hubo/Downloads/趣伴卡展业版/首页&amp;#x2F;团队拓展.png首页&amp;#x2F;团队拓展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                       </w:t>
      </w:r>
    </w:p>
    <w:p>
      <w:pPr>
        <w:pStyle w:val="42"/>
        <w:keepNext/>
        <w:numPr>
          <w:numId w:val="0"/>
        </w:numPr>
        <w:ind w:leftChars="0"/>
        <w:outlineLvl w:val="4"/>
      </w:pPr>
      <w:r>
        <w:rPr>
          <w:rFonts w:hint="eastAsia" w:cs="Arial"/>
          <w:b/>
          <w:color w:val="auto"/>
          <w:sz w:val="21"/>
          <w:szCs w:val="22"/>
          <w:lang w:val="en-US" w:eastAsia="zh-Hans" w:bidi="ar-SA"/>
        </w:rPr>
        <w:t>四、办卡通关注欢迎语</w:t>
      </w:r>
    </w:p>
    <w:p>
      <w:pPr>
        <w:pStyle w:val="43"/>
        <w:keepNext/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关注展业版公众号后发送一段文字到对话框：</w:t>
      </w:r>
    </w:p>
    <w:p>
      <w:pPr>
        <w:pStyle w:val="43"/>
        <w:keepNext/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“欢迎进入【</w:t>
      </w:r>
      <w:r>
        <w:rPr>
          <w:rFonts w:hint="default"/>
          <w:lang w:eastAsia="zh-Hans"/>
        </w:rPr>
        <w:t>办卡通</w:t>
      </w:r>
      <w:r>
        <w:rPr>
          <w:rFonts w:hint="eastAsia"/>
          <w:lang w:val="en-US" w:eastAsia="zh-Hans"/>
        </w:rPr>
        <w:t>服务号】，快快开始展业赚钱吧！！！”</w:t>
      </w:r>
    </w:p>
    <w:p>
      <w:pPr>
        <w:pStyle w:val="43"/>
        <w:keepNext/>
        <w:numPr>
          <w:ilvl w:val="0"/>
          <w:numId w:val="0"/>
        </w:numPr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点击进入首页！</w:t>
      </w:r>
    </w:p>
    <w:p>
      <w:pPr>
        <w:numPr>
          <w:ilvl w:val="0"/>
          <w:numId w:val="0"/>
        </w:numPr>
        <w:ind w:leftChars="0"/>
        <w:outlineLvl w:val="4"/>
        <w:rPr>
          <w:rFonts w:hint="default" w:cs="Arial"/>
          <w:b/>
          <w:bCs/>
          <w:sz w:val="26"/>
          <w:szCs w:val="26"/>
          <w:lang w:val="en-US" w:eastAsia="zh-Hans" w:bidi="ar-SA"/>
        </w:rPr>
      </w:pPr>
      <w:r>
        <w:rPr>
          <w:rFonts w:hint="eastAsia" w:cs="Arial"/>
          <w:b/>
          <w:bCs/>
          <w:sz w:val="26"/>
          <w:szCs w:val="26"/>
          <w:lang w:val="en-US" w:eastAsia="zh-Hans" w:bidi="ar-SA"/>
        </w:rPr>
        <w:t>五、结算文件</w:t>
      </w:r>
      <w:r>
        <w:rPr>
          <w:rFonts w:hint="default" w:cs="Arial"/>
          <w:b/>
          <w:bCs/>
          <w:sz w:val="26"/>
          <w:szCs w:val="26"/>
          <w:lang w:eastAsia="zh-Hans" w:bidi="ar-SA"/>
        </w:rPr>
        <w:t>-</w:t>
      </w:r>
      <w:r>
        <w:rPr>
          <w:rFonts w:hint="eastAsia" w:cs="Arial"/>
          <w:b/>
          <w:bCs/>
          <w:sz w:val="26"/>
          <w:szCs w:val="26"/>
          <w:lang w:val="en-US" w:eastAsia="zh-Hans" w:bidi="ar-SA"/>
        </w:rPr>
        <w:t>共同实现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办卡通</w:t>
      </w:r>
      <w:r>
        <w:rPr>
          <w:rFonts w:hint="eastAsia"/>
          <w:lang w:val="en-US" w:eastAsia="zh-Hans"/>
        </w:rPr>
        <w:t>渠道的oss配置，支持生成信用卡、借记卡、贷款产品、活动奖励、用卡评测文件到oss系统供拓客系统读取，渠道KEY：</w:t>
      </w:r>
      <w:r>
        <w:rPr>
          <w:rFonts w:hint="default"/>
          <w:lang w:eastAsia="zh-Hans"/>
        </w:rPr>
        <w:t>BKTZYB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）拓客系统须读取这个渠道的文件并分润至对应用户账户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）信用卡、借记卡、贷款产品结算文件末尾增加一列字段，拓卡方ID，传输实际拓卡方的合作方编码，用于计算推荐奖励。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object>
          <v:shape id="_x0000_i1025" o:spt="75" type="#_x0000_t75" style="height:58.5pt;width:60.7pt;" o:ole="t" filled="f" o:preferrelative="t" stroked="f" coordsize="21600,21600">
            <v:path/>
            <v:fill on="f" focussize="0,0"/>
            <v:stroke on="f"/>
            <v:imagedata r:id="rId11" o:title="oleimage"/>
            <o:lock v:ext="edit" aspectratio="f"/>
            <w10:wrap type="none"/>
            <w10:anchorlock/>
          </v:shape>
          <o:OLEObject Type="Embed" ProgID="Package" ShapeID="_x0000_i1025" DrawAspect="Icon" ObjectID="_1468075725" r:id="rId10">
            <o:LockedField>false</o:LockedField>
          </o:OLEObject>
        </w:object>
      </w:r>
      <w:r>
        <w:rPr>
          <w:rFonts w:hint="default"/>
          <w:lang w:eastAsia="zh-Hans"/>
        </w:rPr>
        <w:object>
          <v:shape id="_x0000_i1026" o:spt="75" type="#_x0000_t75" style="height:58.45pt;width:58.45pt;" o:ole="t" filled="f" o:preferrelative="t" stroked="f" coordsize="21600,21600">
            <v:path/>
            <v:fill on="f" focussize="0,0"/>
            <v:stroke on="f"/>
            <v:imagedata r:id="rId13" o:title="oleimage"/>
            <o:lock v:ext="edit" aspectratio="t"/>
            <w10:wrap type="none"/>
            <w10:anchorlock/>
          </v:shape>
          <o:OLEObject Type="Embed" ProgID="Package" ShapeID="_x0000_i1026" DrawAspect="Icon" ObjectID="_1468075726" r:id="rId12">
            <o:LockedField>false</o:LockedField>
          </o:OLEObject>
        </w:object>
      </w:r>
      <w:r>
        <w:rPr>
          <w:rFonts w:hint="default"/>
          <w:lang w:eastAsia="zh-Hans"/>
        </w:rPr>
        <w:object>
          <v:shape id="_x0000_i1028" o:spt="75" alt="oleimage" type="#_x0000_t75" style="height:59.7pt;width:59.7pt;" o:ole="t" filled="f" o:preferrelative="t" stroked="f" coordsize="21600,21600">
            <v:path/>
            <v:fill on="f" focussize="0,0"/>
            <v:stroke on="f"/>
            <v:imagedata r:id="rId15" o:title="oleimage"/>
            <o:lock v:ext="edit" aspectratio="t"/>
            <w10:wrap type="none"/>
            <w10:anchorlock/>
          </v:shape>
          <o:OLEObject Type="Embed" ProgID="Package" ShapeID="_x0000_i1028" DrawAspect="Icon" ObjectID="_1468075727" r:id="rId14">
            <o:LockedField>false</o:LockedField>
          </o:OLEObject>
        </w:object>
      </w:r>
    </w:p>
    <w:sectPr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2"/>
          </w:pPr>
        </w:p>
      </w:tc>
      <w:tc>
        <w:tcPr>
          <w:tcW w:w="572" w:type="pct"/>
          <w:vMerge w:val="restart"/>
          <w:vAlign w:val="center"/>
        </w:tcPr>
        <w:p>
          <w:pPr>
            <w:pStyle w:val="12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2"/>
          </w:pPr>
        </w:p>
      </w:tc>
    </w:tr>
    <w:tr>
      <w:tc>
        <w:tcPr>
          <w:tcW w:w="2214" w:type="pct"/>
        </w:tcPr>
        <w:p>
          <w:pPr>
            <w:pStyle w:val="12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2"/>
            <w:jc w:val="center"/>
          </w:pPr>
        </w:p>
      </w:tc>
      <w:tc>
        <w:tcPr>
          <w:tcW w:w="2214" w:type="pct"/>
        </w:tcPr>
        <w:p>
          <w:pPr>
            <w:pStyle w:val="12"/>
          </w:pPr>
        </w:p>
      </w:tc>
    </w:tr>
  </w:tbl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5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BC38C"/>
    <w:multiLevelType w:val="multilevel"/>
    <w:tmpl w:val="EB9BC38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EF3D476"/>
    <w:multiLevelType w:val="singleLevel"/>
    <w:tmpl w:val="EEF3D4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F744C7"/>
    <w:multiLevelType w:val="singleLevel"/>
    <w:tmpl w:val="3FF744C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86B65CA"/>
    <w:multiLevelType w:val="multilevel"/>
    <w:tmpl w:val="786B65CA"/>
    <w:lvl w:ilvl="0" w:tentative="0">
      <w:start w:val="1"/>
      <w:numFmt w:val="decimal"/>
      <w:pStyle w:val="23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4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5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6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122FF843"/>
    <w:rsid w:val="15AF157A"/>
    <w:rsid w:val="227B3DFE"/>
    <w:rsid w:val="2FF7145A"/>
    <w:rsid w:val="36DA1DB0"/>
    <w:rsid w:val="36DFC955"/>
    <w:rsid w:val="37DDACC3"/>
    <w:rsid w:val="3BF53502"/>
    <w:rsid w:val="3D3F3B41"/>
    <w:rsid w:val="3DFD37EE"/>
    <w:rsid w:val="3EBE39D2"/>
    <w:rsid w:val="3EDF1828"/>
    <w:rsid w:val="3FB77B42"/>
    <w:rsid w:val="3FFBFAA3"/>
    <w:rsid w:val="4FAB1650"/>
    <w:rsid w:val="53FD79A1"/>
    <w:rsid w:val="55F7069D"/>
    <w:rsid w:val="577FFFA6"/>
    <w:rsid w:val="57AF7F34"/>
    <w:rsid w:val="57FFF441"/>
    <w:rsid w:val="5BE733F0"/>
    <w:rsid w:val="5DBB8C98"/>
    <w:rsid w:val="5F6311F6"/>
    <w:rsid w:val="5FFEC55D"/>
    <w:rsid w:val="63FB87DF"/>
    <w:rsid w:val="64040FFF"/>
    <w:rsid w:val="657F9B6D"/>
    <w:rsid w:val="677ACF1B"/>
    <w:rsid w:val="6DE8ECF5"/>
    <w:rsid w:val="6E61A2CC"/>
    <w:rsid w:val="6FFEACBF"/>
    <w:rsid w:val="74FB85AA"/>
    <w:rsid w:val="7568A413"/>
    <w:rsid w:val="797FDA64"/>
    <w:rsid w:val="79DBF48C"/>
    <w:rsid w:val="7BFF9F92"/>
    <w:rsid w:val="7DF5DB6F"/>
    <w:rsid w:val="7E05038E"/>
    <w:rsid w:val="7EA76626"/>
    <w:rsid w:val="7ED37CE2"/>
    <w:rsid w:val="7EEF3593"/>
    <w:rsid w:val="7F793FB4"/>
    <w:rsid w:val="7FA0939E"/>
    <w:rsid w:val="7FA5FBC5"/>
    <w:rsid w:val="7FAD203B"/>
    <w:rsid w:val="7FE456E3"/>
    <w:rsid w:val="7FFD0735"/>
    <w:rsid w:val="86F7B8E4"/>
    <w:rsid w:val="8EEA9FED"/>
    <w:rsid w:val="8EF7286B"/>
    <w:rsid w:val="8F31F7B1"/>
    <w:rsid w:val="8FD0429A"/>
    <w:rsid w:val="8FFABDB8"/>
    <w:rsid w:val="977EFF14"/>
    <w:rsid w:val="97FB2544"/>
    <w:rsid w:val="9F9F4049"/>
    <w:rsid w:val="9FF50FCE"/>
    <w:rsid w:val="9FFF0798"/>
    <w:rsid w:val="AF3E1943"/>
    <w:rsid w:val="AFCF22B5"/>
    <w:rsid w:val="B3FAF705"/>
    <w:rsid w:val="B6F625C8"/>
    <w:rsid w:val="BBFFD090"/>
    <w:rsid w:val="BE9FA14C"/>
    <w:rsid w:val="CEEE23A6"/>
    <w:rsid w:val="CEEEB420"/>
    <w:rsid w:val="D7F37632"/>
    <w:rsid w:val="D9AFF43F"/>
    <w:rsid w:val="DBBF6681"/>
    <w:rsid w:val="DBBFC11A"/>
    <w:rsid w:val="DBFF08C1"/>
    <w:rsid w:val="DCEFF83E"/>
    <w:rsid w:val="DD8FA973"/>
    <w:rsid w:val="DEC724C0"/>
    <w:rsid w:val="DEFBD2BE"/>
    <w:rsid w:val="E49A7684"/>
    <w:rsid w:val="E6573DB3"/>
    <w:rsid w:val="E7F7E697"/>
    <w:rsid w:val="E7FF68E5"/>
    <w:rsid w:val="EBFF57E2"/>
    <w:rsid w:val="EFDA785B"/>
    <w:rsid w:val="F7DFFABA"/>
    <w:rsid w:val="FB77CD13"/>
    <w:rsid w:val="FB9C9EE1"/>
    <w:rsid w:val="FBF7FC5B"/>
    <w:rsid w:val="FD7FB607"/>
    <w:rsid w:val="FDFEC9D4"/>
    <w:rsid w:val="FDFFE825"/>
    <w:rsid w:val="FE5D82E9"/>
    <w:rsid w:val="FF3AF5CB"/>
    <w:rsid w:val="FF8985B8"/>
    <w:rsid w:val="FFAE0C27"/>
    <w:rsid w:val="FFB94F0D"/>
    <w:rsid w:val="FFEF5C74"/>
    <w:rsid w:val="FFFEE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9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0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1">
    <w:name w:val="Balloon Text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2">
    <w:name w:val="foot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head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5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6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Hyperlink"/>
    <w:basedOn w:val="20"/>
    <w:qFormat/>
    <w:uiPriority w:val="99"/>
    <w:rPr>
      <w:color w:val="0000FF"/>
      <w:u w:val="single"/>
    </w:rPr>
  </w:style>
  <w:style w:type="paragraph" w:customStyle="1" w:styleId="22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8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9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Balloon Text Char"/>
    <w:basedOn w:val="20"/>
    <w:link w:val="11"/>
    <w:qFormat/>
    <w:uiPriority w:val="0"/>
    <w:rPr>
      <w:rFonts w:ascii="Tahoma" w:hAnsi="Tahoma" w:cs="Tahoma"/>
      <w:sz w:val="16"/>
      <w:szCs w:val="16"/>
    </w:rPr>
  </w:style>
  <w:style w:type="table" w:customStyle="1" w:styleId="31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2">
    <w:name w:val="Heading 4 Char"/>
    <w:basedOn w:val="20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3">
    <w:name w:val="Heading 5 Char"/>
    <w:basedOn w:val="20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4">
    <w:name w:val="AxureImageParagraph"/>
    <w:basedOn w:val="1"/>
    <w:qFormat/>
    <w:uiPriority w:val="0"/>
    <w:pPr>
      <w:jc w:val="center"/>
    </w:pPr>
  </w:style>
  <w:style w:type="paragraph" w:styleId="35">
    <w:name w:val="No Spacing"/>
    <w:link w:val="3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6">
    <w:name w:val="No Spacing Char"/>
    <w:basedOn w:val="20"/>
    <w:link w:val="35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7">
    <w:name w:val="Header Char"/>
    <w:basedOn w:val="20"/>
    <w:link w:val="13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Footer Char"/>
    <w:basedOn w:val="20"/>
    <w:link w:val="12"/>
    <w:qFormat/>
    <w:uiPriority w:val="99"/>
    <w:rPr>
      <w:rFonts w:ascii="Arial" w:hAnsi="Arial" w:cs="Arial"/>
      <w:sz w:val="18"/>
      <w:szCs w:val="24"/>
    </w:rPr>
  </w:style>
  <w:style w:type="character" w:styleId="39">
    <w:name w:val="Placeholder Text"/>
    <w:basedOn w:val="20"/>
    <w:semiHidden/>
    <w:qFormat/>
    <w:uiPriority w:val="99"/>
    <w:rPr>
      <w:color w:val="808080"/>
    </w:rPr>
  </w:style>
  <w:style w:type="paragraph" w:customStyle="1" w:styleId="40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1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2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3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4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5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6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7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8">
    <w:name w:val="Axure表格样式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oleObject" Target="embeddings/oleObject3.bin"/><Relationship Id="rId13" Type="http://schemas.openxmlformats.org/officeDocument/2006/relationships/image" Target="media/image5.png"/><Relationship Id="rId12" Type="http://schemas.openxmlformats.org/officeDocument/2006/relationships/oleObject" Target="embeddings/oleObject2.bin"/><Relationship Id="rId11" Type="http://schemas.openxmlformats.org/officeDocument/2006/relationships/image" Target="media/image4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4381</Words>
  <Characters>4598</Characters>
  <Lines>1</Lines>
  <Paragraphs>1</Paragraphs>
  <TotalTime>20</TotalTime>
  <ScaleCrop>false</ScaleCrop>
  <LinksUpToDate>false</LinksUpToDate>
  <CharactersWithSpaces>5168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2010-09-23T13:47:00Z</dcterms:created>
  <dc:creator>[Your Name]</dc:creator>
  <cp:lastModifiedBy>风过之痕</cp:lastModifiedBy>
  <cp:lastPrinted>2010-09-22T16:33:00Z</cp:lastPrinted>
  <dcterms:modified xsi:type="dcterms:W3CDTF">2022-10-18T10:09:18Z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E6598B736D48FBB8810ADE62AB5BC098</vt:lpwstr>
  </property>
</Properties>
</file>