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签约平台、拓客SaaS及渠道方（汇拓客）支持改造</w:t>
      </w:r>
    </w:p>
    <w:p>
      <w:pPr>
        <w:numPr>
          <w:ilvl w:val="0"/>
          <w:numId w:val="0"/>
        </w:num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签约平台相关：</w:t>
      </w:r>
    </w:p>
    <w:p>
      <w:pPr>
        <w:numPr>
          <w:ilvl w:val="0"/>
          <w:numId w:val="1"/>
        </w:numPr>
        <w:ind w:left="210" w:leftChars="0" w:firstLine="0" w:firstLine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在线签约平台做成统一接口，各渠道的接口需一致。</w:t>
      </w:r>
    </w:p>
    <w:p>
      <w:pPr>
        <w:numPr>
          <w:ilvl w:val="0"/>
          <w:numId w:val="1"/>
        </w:numPr>
        <w:ind w:left="210" w:leftChars="0" w:firstLine="0" w:firstLine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在线签约接口文档内的请求字段中的“机构号”，趣办卡均传输签约方编号（3开头）。</w:t>
      </w:r>
    </w:p>
    <w:p>
      <w:pPr>
        <w:numPr>
          <w:ilvl w:val="0"/>
          <w:numId w:val="1"/>
        </w:numPr>
        <w:ind w:left="210" w:leftChars="0" w:firstLine="0" w:firstLine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电子签约接口文档中相应参数枚举值需补充。</w:t>
      </w:r>
    </w:p>
    <w:p>
      <w:pPr>
        <w:numPr>
          <w:ilvl w:val="0"/>
          <w:numId w:val="1"/>
        </w:numPr>
        <w:ind w:left="210" w:leftChars="0" w:firstLine="0" w:firstLine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为避免签约平台实时推送合同状态到趣办卡后台推送失败，签约平台需每日0点将前一日内所有签约状态有变更或新增的</w:t>
      </w:r>
      <w:r>
        <w:rPr>
          <w:rFonts w:hint="eastAsia"/>
          <w:b w:val="0"/>
          <w:bCs w:val="0"/>
          <w:color w:val="FF0000"/>
          <w:lang w:val="en-US" w:eastAsia="zh-CN"/>
        </w:rPr>
        <w:t>签约方编号</w:t>
      </w:r>
      <w:r>
        <w:rPr>
          <w:rFonts w:hint="eastAsia"/>
          <w:b w:val="0"/>
          <w:bCs w:val="0"/>
          <w:lang w:val="en-US" w:eastAsia="zh-CN"/>
        </w:rPr>
        <w:t>及</w:t>
      </w:r>
      <w:r>
        <w:rPr>
          <w:rFonts w:hint="eastAsia"/>
          <w:b/>
          <w:bCs/>
          <w:color w:val="FF0000"/>
          <w:lang w:val="en-US" w:eastAsia="zh-CN"/>
        </w:rPr>
        <w:t>最新</w:t>
      </w:r>
      <w:r>
        <w:rPr>
          <w:rFonts w:hint="eastAsia"/>
          <w:b w:val="0"/>
          <w:bCs w:val="0"/>
          <w:color w:val="FF0000"/>
          <w:lang w:val="en-US" w:eastAsia="zh-CN"/>
        </w:rPr>
        <w:t>合同状态</w:t>
      </w:r>
      <w:r>
        <w:rPr>
          <w:rFonts w:hint="eastAsia"/>
          <w:b w:val="0"/>
          <w:bCs w:val="0"/>
          <w:color w:val="auto"/>
          <w:lang w:val="en-US" w:eastAsia="zh-CN"/>
        </w:rPr>
        <w:t>等信息</w:t>
      </w:r>
      <w:r>
        <w:rPr>
          <w:rFonts w:hint="eastAsia"/>
          <w:b w:val="0"/>
          <w:bCs w:val="0"/>
          <w:lang w:val="en-US" w:eastAsia="zh-CN"/>
        </w:rPr>
        <w:t>上传至FTP，由趣办卡系统处理更新校验库中签约&amp;审核状态 。</w:t>
      </w:r>
    </w:p>
    <w:p>
      <w:pPr>
        <w:numPr>
          <w:ilvl w:val="0"/>
          <w:numId w:val="0"/>
        </w:numPr>
        <w:ind w:left="21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【签约状态表】如下：</w:t>
      </w:r>
    </w:p>
    <w:p>
      <w:pPr>
        <w:numPr>
          <w:ilvl w:val="0"/>
          <w:numId w:val="0"/>
        </w:numPr>
        <w:ind w:left="210" w:leftChars="0"/>
        <w:jc w:val="center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6">
            <o:LockedField>false</o:LockedField>
          </o:OLEObject>
        </w:object>
      </w:r>
    </w:p>
    <w:p>
      <w:pPr>
        <w:numPr>
          <w:ilvl w:val="0"/>
          <w:numId w:val="0"/>
        </w:numPr>
        <w:ind w:left="210" w:leftChars="0"/>
        <w:jc w:val="left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趣办卡在线签约流程：   </w:t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9865" cy="5236845"/>
            <wp:effectExtent l="0" t="0" r="635" b="8255"/>
            <wp:docPr id="3" name="图片 3" descr="qqqqqq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qqqqq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拓客saas相关:</w:t>
      </w:r>
    </w:p>
    <w:p>
      <w:pPr>
        <w:numPr>
          <w:ilvl w:val="0"/>
          <w:numId w:val="2"/>
        </w:numPr>
        <w:ind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进行联合登陆时，</w:t>
      </w:r>
      <w:r>
        <w:rPr>
          <w:rFonts w:hint="eastAsia"/>
          <w:b w:val="0"/>
          <w:bCs w:val="0"/>
          <w:color w:val="auto"/>
          <w:lang w:val="en-US" w:eastAsia="zh-CN"/>
        </w:rPr>
        <w:t>拓客saas需在原返回参数基础上新增</w:t>
      </w: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机构名称</w:t>
      </w:r>
      <w:r>
        <w:rPr>
          <w:rFonts w:hint="eastAsia"/>
          <w:b w:val="0"/>
          <w:bCs w:val="0"/>
          <w:color w:val="FF0000"/>
          <w:lang w:val="en-US" w:eastAsia="zh-CN"/>
        </w:rPr>
        <w:t>、机构模式字段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。最终返回字段需包含：</w:t>
      </w:r>
      <w:r>
        <w:rPr>
          <w:rFonts w:hint="eastAsia"/>
          <w:b w:val="0"/>
          <w:bCs w:val="0"/>
          <w:color w:val="FF0000"/>
          <w:lang w:val="en-US" w:eastAsia="zh-CN"/>
        </w:rPr>
        <w:t>渠道来源、业务员ID、业务员层级、业务员姓名、业务员手机号、签约方编号（2开头）、机构模式与机构名称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。（注：好拓客的</w:t>
      </w:r>
      <w:r>
        <w:rPr>
          <w:rFonts w:hint="eastAsia"/>
          <w:b w:val="0"/>
          <w:bCs w:val="0"/>
          <w:color w:val="FF0000"/>
          <w:lang w:val="en-US" w:eastAsia="zh-CN"/>
        </w:rPr>
        <w:t>签约方编号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为该业务员最近的一个可开票方。）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联登回传接口如下：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测试环境URL：</w:t>
      </w:r>
      <w:r>
        <w:rPr>
          <w:rFonts w:hint="eastAsia"/>
          <w:b w:val="0"/>
          <w:bCs w:val="0"/>
          <w:color w:val="FF0000"/>
          <w:lang w:val="en-US" w:eastAsia="zh-CN"/>
        </w:rPr>
        <w:t>（SaaS提供）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生产环境URL：</w:t>
      </w:r>
      <w:r>
        <w:rPr>
          <w:rFonts w:hint="eastAsia"/>
          <w:b w:val="0"/>
          <w:bCs w:val="0"/>
          <w:color w:val="FF0000"/>
          <w:lang w:val="en-US" w:eastAsia="zh-CN"/>
        </w:rPr>
        <w:t>（SaaS提供）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087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1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lightGray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0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是否必传</w:t>
            </w:r>
          </w:p>
        </w:tc>
        <w:tc>
          <w:tcPr>
            <w:tcW w:w="24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业务员ID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access_token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1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lightGray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0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是否必传</w:t>
            </w:r>
          </w:p>
        </w:tc>
        <w:tc>
          <w:tcPr>
            <w:tcW w:w="24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0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渠道来源</w:t>
            </w:r>
          </w:p>
        </w:tc>
        <w:tc>
          <w:tcPr>
            <w:tcW w:w="10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汇拓客/好拓客/...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业务员ID</w:t>
            </w:r>
          </w:p>
        </w:tc>
        <w:tc>
          <w:tcPr>
            <w:tcW w:w="10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commentRangeStart w:id="0"/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业务员层级</w:t>
            </w:r>
            <w:commentRangeEnd w:id="0"/>
            <w:r>
              <w:commentReference w:id="0"/>
            </w:r>
          </w:p>
        </w:tc>
        <w:tc>
          <w:tcPr>
            <w:tcW w:w="10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业务员姓名</w:t>
            </w:r>
          </w:p>
        </w:tc>
        <w:tc>
          <w:tcPr>
            <w:tcW w:w="10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名脱敏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业务员手机号</w:t>
            </w:r>
          </w:p>
        </w:tc>
        <w:tc>
          <w:tcPr>
            <w:tcW w:w="10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中间4位脱敏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签约方编号</w:t>
            </w:r>
          </w:p>
        </w:tc>
        <w:tc>
          <w:tcPr>
            <w:tcW w:w="10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机构名称</w:t>
            </w:r>
          </w:p>
        </w:tc>
        <w:tc>
          <w:tcPr>
            <w:tcW w:w="10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机构模式</w:t>
            </w:r>
          </w:p>
        </w:tc>
        <w:tc>
          <w:tcPr>
            <w:tcW w:w="10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73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1：直营模式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2：代理模式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一代完成线上签约后，若签约平台正在审核中或审核拒绝，此状态在趣办卡入库后无需同步到拓客SaaS。若</w:t>
      </w:r>
      <w:r>
        <w:rPr>
          <w:rFonts w:hint="eastAsia"/>
          <w:color w:val="FF0000"/>
          <w:lang w:val="en-US" w:eastAsia="zh-CN"/>
        </w:rPr>
        <w:t>签约审核通过</w:t>
      </w:r>
      <w:r>
        <w:rPr>
          <w:rFonts w:hint="eastAsia"/>
          <w:lang w:val="en-US" w:eastAsia="zh-CN"/>
        </w:rPr>
        <w:t>将调用拓客saas接口同步</w:t>
      </w:r>
      <w:r>
        <w:rPr>
          <w:rFonts w:hint="eastAsia"/>
          <w:color w:val="FF0000"/>
          <w:lang w:val="en-US" w:eastAsia="zh-CN"/>
        </w:rPr>
        <w:t>“签约成功”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状态</w:t>
      </w:r>
      <w:r>
        <w:rPr>
          <w:rFonts w:hint="eastAsia"/>
          <w:lang w:val="en-US" w:eastAsia="zh-CN"/>
        </w:rPr>
        <w:t>（即通知saas该签约方下所有业务员均可开通办卡业务）。请求字段包含：</w:t>
      </w:r>
      <w:r>
        <w:rPr>
          <w:rFonts w:hint="eastAsia"/>
          <w:b w:val="0"/>
          <w:bCs w:val="0"/>
          <w:color w:val="FF0000"/>
          <w:lang w:val="en-US" w:eastAsia="zh-CN"/>
        </w:rPr>
        <w:t>渠道来源、签约方编号（3开头）、机构名称。</w:t>
      </w:r>
      <w:r>
        <w:rPr>
          <w:rFonts w:hint="eastAsia"/>
          <w:lang w:val="en-US" w:eastAsia="zh-CN"/>
        </w:rPr>
        <w:t>拓客saas需记录该机构“签约成功”状态、启用此机构分成规则以及开通趣办卡收益账户，并将结果返回至趣办卡后台记录。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业务开通通知：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测试环境URL：</w:t>
      </w:r>
      <w:r>
        <w:rPr>
          <w:rFonts w:hint="eastAsia"/>
          <w:b w:val="0"/>
          <w:bCs w:val="0"/>
          <w:color w:val="FF0000"/>
          <w:lang w:val="en-US" w:eastAsia="zh-CN"/>
        </w:rPr>
        <w:t>（SaaS提供）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生产环境URL：</w:t>
      </w:r>
      <w:r>
        <w:rPr>
          <w:rFonts w:hint="eastAsia"/>
          <w:b w:val="0"/>
          <w:bCs w:val="0"/>
          <w:color w:val="FF0000"/>
          <w:lang w:val="en-US" w:eastAsia="zh-CN"/>
        </w:rPr>
        <w:t>（SaaS提供）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087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1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lightGray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0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是否必传</w:t>
            </w:r>
          </w:p>
        </w:tc>
        <w:tc>
          <w:tcPr>
            <w:tcW w:w="24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渠道来源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24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汇拓客/好拓客/...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签约方编号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24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3开头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机构名称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24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1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lightGray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0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是否必传</w:t>
            </w:r>
          </w:p>
        </w:tc>
        <w:tc>
          <w:tcPr>
            <w:tcW w:w="24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0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4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每月</w:t>
      </w:r>
      <w:r>
        <w:rPr>
          <w:rFonts w:hint="eastAsia"/>
          <w:color w:val="FF0000"/>
          <w:lang w:val="en-US" w:eastAsia="zh-CN"/>
        </w:rPr>
        <w:t>6号零点</w:t>
      </w:r>
      <w:r>
        <w:rPr>
          <w:rFonts w:hint="eastAsia"/>
          <w:lang w:val="en-US" w:eastAsia="zh-CN"/>
        </w:rPr>
        <w:t>，后台处理“</w:t>
      </w:r>
      <w:r>
        <w:rPr>
          <w:rFonts w:hint="eastAsia"/>
          <w:color w:val="FF0000"/>
          <w:lang w:val="en-US" w:eastAsia="zh-CN"/>
        </w:rPr>
        <w:t>更新时间</w:t>
      </w:r>
      <w:r>
        <w:rPr>
          <w:rFonts w:hint="eastAsia"/>
          <w:lang w:val="en-US" w:eastAsia="zh-CN"/>
        </w:rPr>
        <w:t>”为上月</w:t>
      </w:r>
      <w:r>
        <w:rPr>
          <w:rFonts w:hint="eastAsia"/>
          <w:color w:val="FF0000"/>
          <w:lang w:val="en-US" w:eastAsia="zh-CN"/>
        </w:rPr>
        <w:t>1号00：00：00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至</w:t>
      </w:r>
      <w:r>
        <w:rPr>
          <w:rFonts w:hint="eastAsia"/>
          <w:color w:val="FF0000"/>
          <w:lang w:val="en-US" w:eastAsia="zh-CN"/>
        </w:rPr>
        <w:t>31号（月末）23：59：59</w:t>
      </w:r>
      <w:r>
        <w:rPr>
          <w:rFonts w:hint="eastAsia"/>
          <w:lang w:val="en-US" w:eastAsia="zh-CN"/>
        </w:rPr>
        <w:t>时间内的所有到达</w:t>
      </w:r>
      <w:r>
        <w:rPr>
          <w:rFonts w:hint="eastAsia"/>
          <w:color w:val="FF0000"/>
          <w:lang w:val="en-US" w:eastAsia="zh-CN"/>
        </w:rPr>
        <w:t>可结算状态</w:t>
      </w:r>
      <w:r>
        <w:rPr>
          <w:rFonts w:hint="eastAsia"/>
          <w:lang w:val="en-US" w:eastAsia="zh-CN"/>
        </w:rPr>
        <w:t>的审批结果流水至趣办卡控台专门菜单下展示，供相关人员复核，人工复核完成后点击“复核通过”按钮触发将以下【业务员结算表】传至FTP，表格内包含</w:t>
      </w:r>
      <w:r>
        <w:rPr>
          <w:rFonts w:hint="eastAsia"/>
          <w:color w:val="FF0000"/>
          <w:lang w:val="en-US" w:eastAsia="zh-CN"/>
        </w:rPr>
        <w:t>唯一标识流水号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渠道来源、业务员ID、</w:t>
      </w:r>
      <w:r>
        <w:rPr>
          <w:rFonts w:hint="eastAsia"/>
          <w:b w:val="0"/>
          <w:bCs w:val="0"/>
          <w:color w:val="FF0000"/>
          <w:lang w:val="en-US" w:eastAsia="zh-CN"/>
        </w:rPr>
        <w:t>签约方编号（3开头）、银行名称、办卡张数及应</w:t>
      </w:r>
      <w:r>
        <w:rPr>
          <w:rFonts w:hint="eastAsia"/>
          <w:color w:val="FF0000"/>
          <w:lang w:val="en-US" w:eastAsia="zh-CN"/>
        </w:rPr>
        <w:t>结金额总和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，同时调用拓客saas相应接口，通知saas上月结算表已出，拓客saas接受通知成功后根据FTP内的【业务员结算表】为各业务员进行收益发放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【业务员结算表】模板如下：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5.5pt;width:72.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9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文件发送通知：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测试环境URL：</w:t>
      </w:r>
      <w:r>
        <w:rPr>
          <w:rFonts w:hint="eastAsia"/>
          <w:b w:val="0"/>
          <w:bCs w:val="0"/>
          <w:color w:val="FF0000"/>
          <w:lang w:val="en-US" w:eastAsia="zh-CN"/>
        </w:rPr>
        <w:t>（SaaS提供）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生产环境URL：</w:t>
      </w:r>
      <w:r>
        <w:rPr>
          <w:rFonts w:hint="eastAsia"/>
          <w:b w:val="0"/>
          <w:bCs w:val="0"/>
          <w:color w:val="FF0000"/>
          <w:lang w:val="en-US" w:eastAsia="zh-CN"/>
        </w:rPr>
        <w:t>（SaaS提供）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087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1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lightGray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0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是否必传</w:t>
            </w:r>
          </w:p>
        </w:tc>
        <w:tc>
          <w:tcPr>
            <w:tcW w:w="24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文件名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24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发送日期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24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YYYYMMDD-HH-MM-SS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分润规则目前固定政策两种：只分一代、一代+业务员两级分，其中两级分的规则需做到比例可配置，默认为</w:t>
      </w:r>
      <w:r>
        <w:rPr>
          <w:rFonts w:hint="eastAsia"/>
          <w:color w:val="FF0000"/>
          <w:lang w:val="en-US" w:eastAsia="zh-CN"/>
        </w:rPr>
        <w:t>10%+90%</w:t>
      </w:r>
      <w:r>
        <w:rPr>
          <w:rFonts w:hint="eastAsia"/>
          <w:lang w:val="en-US" w:eastAsia="zh-CN"/>
        </w:rPr>
        <w:t>，后续可调整分成比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/>
          <w:color w:val="FF0000"/>
          <w:lang w:val="en-US" w:eastAsia="zh-CN"/>
        </w:rPr>
        <w:t>汇拓客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分润政策：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直营团队：100%结算给一级签约机构，下级分润由一级进行发放。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渠道代理：1）利润发放：签约一代和拓卡方；2）分润比例：一代代理分润10%，拓卡方分润90% ；3）拓卡方的票由一代承担，拓卡方结算走汇积，汇积给一代开具拓卡方结算金额发票，拓卡方需要额外承担8%的分润服务费；4）分润服务费的差额返还给一代（8%服务费与汇机成本差）。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好拓客</w:t>
      </w:r>
      <w:r>
        <w:rPr>
          <w:rFonts w:hint="eastAsia"/>
          <w:lang w:val="en-US" w:eastAsia="zh-CN"/>
        </w:rPr>
        <w:t>分润政策：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利润享受放：签约方和拓卡方；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分润比例：签约方分润10%，拓卡方分润90% ；</w:t>
      </w:r>
    </w:p>
    <w:p>
      <w:pPr>
        <w:numPr>
          <w:ilvl w:val="0"/>
          <w:numId w:val="0"/>
        </w:numPr>
        <w:ind w:left="210" w:leftChars="1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拓卡方的票由签约方承担，拓卡方结算走汇机，汇积给签约方开具拓卡方结算金额发票拓卡方需要额外承担8%的分润服务费。分润服务费的差额返还给签约方。（8%服务费与汇积成本差）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一代不可调整分成比例，由系统控制，展示给一代查看；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saas开设趣办卡独立账户，管理可用额度及发票额度，趣办卡的提现只扣趣办卡账户余额+发票额度，返现+分润的提现只扣其专有额度；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汇拓客相关: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1.</w:t>
      </w:r>
      <w:r>
        <w:rPr>
          <w:rFonts w:hint="eastAsia"/>
          <w:lang w:val="en-US" w:eastAsia="zh-CN"/>
        </w:rPr>
        <w:t>办卡入口由渠道方控制，渠道方根据</w:t>
      </w:r>
      <w:r>
        <w:rPr>
          <w:rFonts w:hint="eastAsia"/>
          <w:color w:val="FF0000"/>
          <w:lang w:val="en-US" w:eastAsia="zh-CN"/>
        </w:rPr>
        <w:t>业务员层级</w:t>
      </w:r>
      <w:r>
        <w:rPr>
          <w:rFonts w:hint="eastAsia"/>
          <w:lang w:val="en-US" w:eastAsia="zh-CN"/>
        </w:rPr>
        <w:t>，再通过查询saas该业务员归属签约方</w:t>
      </w:r>
      <w:r>
        <w:rPr>
          <w:rFonts w:hint="eastAsia"/>
          <w:color w:val="FF0000"/>
          <w:lang w:val="en-US" w:eastAsia="zh-CN"/>
        </w:rPr>
        <w:t>是否签约成功</w:t>
      </w:r>
      <w:r>
        <w:rPr>
          <w:rFonts w:hint="eastAsia"/>
          <w:lang w:val="en-US" w:eastAsia="zh-CN"/>
        </w:rPr>
        <w:t>来判断是否开放办卡入口，并且办卡入口一旦开放将不再关闭。当业务员为一代且未签约成功时，渠道方仅将办卡入口开放给一代。非一代业务员仅在归属一代签约成功后可开放办卡入口。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2.办卡收益放入汇拓客统一提现入口，提现项目增加</w:t>
      </w:r>
      <w:r>
        <w:rPr>
          <w:rFonts w:hint="eastAsia"/>
          <w:color w:val="FF0000"/>
          <w:lang w:val="en-US" w:eastAsia="zh-CN"/>
        </w:rPr>
        <w:t>趣办卡收益</w:t>
      </w:r>
      <w:r>
        <w:rPr>
          <w:rFonts w:hint="eastAsia"/>
          <w:lang w:val="en-US" w:eastAsia="zh-CN"/>
        </w:rPr>
        <w:t>金额展示，用户在APP内进行提现操作时与办卡提现分开，让用户</w:t>
      </w:r>
      <w:r>
        <w:rPr>
          <w:rFonts w:hint="eastAsia"/>
          <w:color w:val="FF0000"/>
          <w:lang w:val="en-US" w:eastAsia="zh-CN"/>
        </w:rPr>
        <w:t>自选提现项目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firstLine="210" w:firstLineChars="10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969770" cy="3750945"/>
            <wp:effectExtent l="0" t="0" r="1143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2.合作方页面发票余额展示，增加</w:t>
      </w:r>
      <w:r>
        <w:rPr>
          <w:rFonts w:hint="eastAsia"/>
          <w:color w:val="FF0000"/>
          <w:lang w:val="en-US" w:eastAsia="zh-CN"/>
        </w:rPr>
        <w:t>趣办卡发票专项</w:t>
      </w:r>
      <w:r>
        <w:rPr>
          <w:rFonts w:hint="eastAsia"/>
          <w:lang w:val="en-US" w:eastAsia="zh-CN"/>
        </w:rPr>
        <w:t>展示；</w:t>
      </w:r>
    </w:p>
    <w:p>
      <w:pPr>
        <w:numPr>
          <w:ilvl w:val="0"/>
          <w:numId w:val="0"/>
        </w:numPr>
        <w:ind w:firstLine="210" w:firstLineChars="10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40560" cy="2667000"/>
            <wp:effectExtent l="0" t="0" r="254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3.分润设置页面，</w:t>
      </w:r>
      <w:r>
        <w:rPr>
          <w:rFonts w:hint="eastAsia"/>
          <w:color w:val="FF0000"/>
          <w:lang w:val="en-US" w:eastAsia="zh-CN"/>
        </w:rPr>
        <w:t>增加趣办卡项目，只做展示</w:t>
      </w:r>
      <w:r>
        <w:rPr>
          <w:rFonts w:hint="eastAsia"/>
          <w:lang w:val="en-US" w:eastAsia="zh-CN"/>
        </w:rPr>
        <w:t xml:space="preserve">，不能修改； </w:t>
      </w:r>
      <w:commentRangeStart w:id="1"/>
      <w:r>
        <w:rPr>
          <w:rFonts w:hint="eastAsia"/>
          <w:lang w:val="en-US" w:eastAsia="zh-CN"/>
        </w:rPr>
        <w:t>去除分润展示</w:t>
      </w:r>
      <w:commentRangeEnd w:id="1"/>
      <w:r>
        <w:commentReference w:id="1"/>
      </w:r>
    </w:p>
    <w:p>
      <w:pPr>
        <w:numPr>
          <w:ilvl w:val="0"/>
          <w:numId w:val="0"/>
        </w:numPr>
        <w:ind w:firstLine="210" w:firstLineChars="10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69135" cy="3634105"/>
            <wp:effectExtent l="0" t="0" r="12065" b="1079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4.收支明细页面，增加趣办卡到账项目展示，项目名称为“</w:t>
      </w:r>
      <w:r>
        <w:rPr>
          <w:rFonts w:hint="eastAsia"/>
          <w:color w:val="FF0000"/>
          <w:lang w:val="en-US" w:eastAsia="zh-CN"/>
        </w:rPr>
        <w:t>办卡收益</w:t>
      </w:r>
      <w:r>
        <w:rPr>
          <w:rFonts w:hint="eastAsia"/>
          <w:lang w:val="en-US" w:eastAsia="zh-CN"/>
        </w:rPr>
        <w:t>”，一代增加趣办卡分润服务费的差额展示，项目名称为“</w:t>
      </w:r>
      <w:r>
        <w:rPr>
          <w:rFonts w:hint="eastAsia"/>
          <w:color w:val="FF0000"/>
          <w:lang w:val="en-US" w:eastAsia="zh-CN"/>
        </w:rPr>
        <w:t>办卡服务费（收入）</w:t>
      </w:r>
      <w:r>
        <w:rPr>
          <w:rFonts w:hint="eastAsia"/>
          <w:lang w:val="en-US" w:eastAsia="zh-CN"/>
        </w:rPr>
        <w:t>”，业务员增加趣办卡分润服务费展示，项目名称为“</w:t>
      </w:r>
      <w:r>
        <w:rPr>
          <w:rFonts w:hint="eastAsia"/>
          <w:color w:val="FF0000"/>
          <w:lang w:val="en-US" w:eastAsia="zh-CN"/>
        </w:rPr>
        <w:t>办卡服务费（支出）</w:t>
      </w:r>
      <w:r>
        <w:rPr>
          <w:rFonts w:hint="eastAsia"/>
          <w:lang w:val="en-US" w:eastAsia="zh-CN"/>
        </w:rPr>
        <w:t>”；</w:t>
      </w:r>
    </w:p>
    <w:p>
      <w:pPr>
        <w:numPr>
          <w:ilvl w:val="0"/>
          <w:numId w:val="0"/>
        </w:numPr>
        <w:ind w:firstLine="210" w:firstLineChars="10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1791335" cy="3371215"/>
            <wp:effectExtent l="0" t="0" r="1206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87500" cy="33889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5.收益管理页面，增加趣办卡项目，展示</w:t>
      </w:r>
      <w:r>
        <w:rPr>
          <w:rFonts w:hint="eastAsia"/>
          <w:color w:val="FF0000"/>
          <w:lang w:val="en-US" w:eastAsia="zh-CN"/>
        </w:rPr>
        <w:t>办卡收益金额及服务费金额</w:t>
      </w:r>
      <w:r>
        <w:rPr>
          <w:rFonts w:hint="eastAsia"/>
          <w:lang w:val="en-US" w:eastAsia="zh-CN"/>
        </w:rPr>
        <w:t>（收入or支出）。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drawing>
          <wp:inline distT="0" distB="0" distL="114300" distR="114300">
            <wp:extent cx="1638300" cy="3242310"/>
            <wp:effectExtent l="0" t="0" r="0" b="889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drawing>
          <wp:inline distT="0" distB="0" distL="114300" distR="114300">
            <wp:extent cx="1842135" cy="31534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onsterrrr！" w:date="2021-02-19T10:05:57Z" w:initials="">
    <w:p w14:paraId="2CD25E3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删除层级</w:t>
      </w:r>
    </w:p>
  </w:comment>
  <w:comment w:id="1" w:author="Monsterrrr！" w:date="2021-02-18T17:31:08Z" w:initials="">
    <w:p w14:paraId="47927EAC">
      <w:pPr>
        <w:pStyle w:val="2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CD25E3E" w15:done="0"/>
  <w15:commentEx w15:paraId="47927E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7F21EA"/>
    <w:multiLevelType w:val="singleLevel"/>
    <w:tmpl w:val="717F21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3B7C40"/>
    <w:multiLevelType w:val="singleLevel"/>
    <w:tmpl w:val="743B7C4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2">
    <w:nsid w:val="7F947902"/>
    <w:multiLevelType w:val="singleLevel"/>
    <w:tmpl w:val="7F94790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onsterrrr！">
    <w15:presenceInfo w15:providerId="WPS Office" w15:userId="3158786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B1338"/>
    <w:rsid w:val="001B2810"/>
    <w:rsid w:val="03EE25A3"/>
    <w:rsid w:val="15A81541"/>
    <w:rsid w:val="174722DB"/>
    <w:rsid w:val="1AEE5242"/>
    <w:rsid w:val="21D402F8"/>
    <w:rsid w:val="23A1450E"/>
    <w:rsid w:val="25D65900"/>
    <w:rsid w:val="279E6FA8"/>
    <w:rsid w:val="2A4929FB"/>
    <w:rsid w:val="2AFD2AD3"/>
    <w:rsid w:val="2F0021CB"/>
    <w:rsid w:val="34C05290"/>
    <w:rsid w:val="36E90CD2"/>
    <w:rsid w:val="3C8B67C0"/>
    <w:rsid w:val="3C8D6303"/>
    <w:rsid w:val="41666243"/>
    <w:rsid w:val="421A638E"/>
    <w:rsid w:val="431C40E6"/>
    <w:rsid w:val="469F6F9F"/>
    <w:rsid w:val="46FF6FAA"/>
    <w:rsid w:val="4D2C0DB0"/>
    <w:rsid w:val="516B1338"/>
    <w:rsid w:val="542409DE"/>
    <w:rsid w:val="55355238"/>
    <w:rsid w:val="56DD38A3"/>
    <w:rsid w:val="5712224B"/>
    <w:rsid w:val="5D032102"/>
    <w:rsid w:val="603C4D89"/>
    <w:rsid w:val="616E68D1"/>
    <w:rsid w:val="65730AB1"/>
    <w:rsid w:val="66103258"/>
    <w:rsid w:val="6A76756A"/>
    <w:rsid w:val="6B2A1F5A"/>
    <w:rsid w:val="6D6C3E63"/>
    <w:rsid w:val="6F4C34C4"/>
    <w:rsid w:val="71C75C18"/>
    <w:rsid w:val="72114461"/>
    <w:rsid w:val="749B45B6"/>
    <w:rsid w:val="75731460"/>
    <w:rsid w:val="78B66449"/>
    <w:rsid w:val="78E42FCF"/>
    <w:rsid w:val="7D9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2021-02-08T05:31:00Z</dcterms:created>
  <dc:creator>Monsterrrr！</dc:creator>
  <cp:lastModifiedBy>Monsterrrr！</cp:lastModifiedBy>
  <dcterms:modified xsi:type="dcterms:W3CDTF">2021-04-12T10:12:21Z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39A6D3661D1D45DDB70C3F04C3B0733F</vt:lpwstr>
  </property>
</Properties>
</file>