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9"/>
          <w:szCs w:val="29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9"/>
          <w:szCs w:val="29"/>
          <w:shd w:val="clear" w:fill="FFFFFF"/>
          <w:lang w:val="en-US" w:eastAsia="zh-CN" w:bidi="ar"/>
        </w:rPr>
        <w:t>结算单金额取整功能优化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需求背景：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因前端政策出现拉新产品直推奖励给出18.50元的情况，需优化渠道发放配置的功能。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需求内容：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（1）在新建、修改中，增加取值模式，可选择整数、两位小数，默认勾选整数。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该选择影响结算金额、补贴金额的取值方式，若选择整数，则结算金额、补贴金额取值为整数，小数部分舍弃；若选择两位小数，则结算金额、补贴金额取值为两位小数，第三位起部分舍弃。政策展示时，同按照该配置进行取值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该配置与结算比例、补贴比例部分计算无关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该配置对信用卡、借记卡、贷款、保险、拉新均有效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048000" cy="1628775"/>
            <wp:effectExtent l="0" t="0" r="0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（2）批量导入功能模板使用附件中新的模板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586480" cy="809625"/>
            <wp:effectExtent l="0" t="0" r="203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增加取值模式字段，该字段可录入整数或两位小数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导入功能支持新增字段，将该字段内容导入至系统中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（3）查询结果中在业务员发放系数后增加取值模式字段，枚举值：整数，两位小数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770" cy="1428115"/>
            <wp:effectExtent l="0" t="0" r="1143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（4）全部历史数据维护为取值模式为取整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25FF"/>
    <w:rsid w:val="FFD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2023-11-28T09:02:00Z</dcterms:created>
  <dc:creator>风过之痕</dc:creator>
  <cp:lastModifiedBy>风过之痕</cp:lastModifiedBy>
  <dcterms:modified xsi:type="dcterms:W3CDTF">2023-11-28T09:05:05Z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1E47189BF64B0C680F3C65652C388729_41</vt:lpwstr>
  </property>
</Properties>
</file>