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趣伴卡外接渠道日结需求</w:t>
      </w:r>
    </w:p>
    <w:p>
      <w:pPr>
        <w:pStyle w:val="2"/>
        <w:numPr>
          <w:ilvl w:val="0"/>
          <w:numId w:val="0"/>
        </w:numPr>
        <w:bidi w:val="0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一、</w:t>
      </w:r>
      <w: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业务背景：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left="420" w:leftChars="0" w:right="0" w:right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前端希望给外接渠道提供日结给老板的功能支持，以增加竞争优势</w:t>
      </w:r>
    </w:p>
    <w:p>
      <w:pPr>
        <w:pStyle w:val="2"/>
        <w:numPr>
          <w:ilvl w:val="0"/>
          <w:numId w:val="0"/>
        </w:numPr>
        <w:bidi w:val="0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二、需求汇总</w:t>
      </w:r>
      <w:r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：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2.1、控台-渠道信息管理-外接配置增加配置收益方功能、一键同步自动刷新最新渠道列表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2.2、控台-渠道信息管理-新增、修改时分润模式新增特定收益方模式、去除仅账户提现接入方式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2.3、结算单生成逻辑-生成指定收益方的结算单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2.4、控台-渠道管理-渠道信息管理筛选项、查询内容优化，增加导出功能</w:t>
      </w:r>
    </w:p>
    <w:p>
      <w:pPr>
        <w:pStyle w:val="2"/>
        <w:numPr>
          <w:ilvl w:val="0"/>
          <w:numId w:val="0"/>
        </w:numPr>
        <w:bidi w:val="0"/>
        <w:rPr>
          <w:rFonts w:hint="default" w:eastAsia="宋体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三、</w:t>
      </w: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3.1、控台-渠道信息管理-外接配置增加配置收益方功能、一键同步自动刷新最新渠道列表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</w:pPr>
      <w:r>
        <w:drawing>
          <wp:inline distT="0" distB="0" distL="114300" distR="114300">
            <wp:extent cx="4781550" cy="3267075"/>
            <wp:effectExtent l="0" t="0" r="190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外接配置弹窗中，根据渠道的分润类型，若为特定收益方模式的，收益方编号输入框为启用，可输入；其他分润类型的，该输入框禁用，不允许输入。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点击一键同步打开的弹窗，拉取最新的渠道列表，当前状态新增渠道后需刷新页面才展示新渠道。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br w:type="page"/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eastAsia="宋体"/>
          <w:lang w:val="en-US" w:eastAsia="zh-CN"/>
        </w:rPr>
        <w:t>3.2、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控台-渠道信息管理-新增、修改时分润模式新增特定收益方模式、去除仅账户提现接入方式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drawing>
          <wp:inline distT="0" distB="0" distL="114300" distR="114300">
            <wp:extent cx="4762500" cy="2595880"/>
            <wp:effectExtent l="0" t="0" r="1270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新增、修改时，接入方式去掉仅账户提现选项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分润模式增加特定收益方选项，该分润模式的影响：（1）特殊结算单逻辑（2）通过展业版入口进入页面同团队长模式。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接入方式增加H5+账户提现，该接入方式可实现普通H5的api接口方式访问，页面样式同不分润的H5接入渠道，如安徽瑞韬推客、沈阳嘉奥、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ab/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神州伙伴。同时，在业务员管理创建一代时，可选择的渠道范围增加接入方式为H5+账户提现的渠道。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同时支持一代通过展业版公众号链接登录后进行提现（页面同团队长模式）。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0" w:lineRule="atLeast"/>
        <w:ind w:right="0" w:rightChars="0" w:firstLine="720" w:firstLineChars="0"/>
        <w:jc w:val="left"/>
        <w:outlineLvl w:val="1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eastAsia="宋体"/>
          <w:lang w:val="en-US" w:eastAsia="zh-CN"/>
        </w:rPr>
        <w:t>3.3、结算单生成逻辑-生成指定收益方的结算单</w:t>
      </w:r>
    </w:p>
    <w:p>
      <w:pPr>
        <w:ind w:firstLine="720" w:firstLineChars="0"/>
        <w:rPr>
          <w:rFonts w:hint="eastAsia" w:eastAsia="宋体"/>
          <w:lang w:val="en-US" w:eastAsia="zh-CN"/>
        </w:rPr>
      </w:pPr>
      <w:bookmarkStart w:id="0" w:name="_GoBack"/>
      <w:r>
        <w:rPr>
          <w:rFonts w:hint="eastAsia" w:eastAsia="宋体"/>
          <w:lang w:val="en-US" w:eastAsia="zh-CN"/>
        </w:rPr>
        <w:t>该分润模式渠道使用以下链接给业务员使用并产生订单：</w:t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"https://gocard.lakala.com/api/channel?c=AHRTTK&amp;u=FKyBWf111222"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23"/>
          <w:rFonts w:hint="default" w:eastAsia="宋体"/>
          <w:lang w:val="en-US" w:eastAsia="zh-CN"/>
        </w:rPr>
        <w:t>https://gocard.lakala.com/api/channel?c=AHRTTK&amp;u=FKyBWf111222</w:t>
      </w:r>
      <w:r>
        <w:rPr>
          <w:rFonts w:hint="default" w:eastAsia="宋体"/>
          <w:lang w:val="en-US" w:eastAsia="zh-CN"/>
        </w:rPr>
        <w:fldChar w:fldCharType="end"/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"https://test.wsmsd.cn/sit/qbksdk/api/channel?c=AHRTTK&amp;u=FKyBWf"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23"/>
          <w:rFonts w:hint="default" w:eastAsia="宋体"/>
          <w:lang w:val="en-US" w:eastAsia="zh-CN"/>
        </w:rPr>
        <w:t>https://test.wsmsd.cn/sit/qbksdk/api/channel?c=AHRTTK&amp;u=FKyBWf</w:t>
      </w:r>
      <w:r>
        <w:rPr>
          <w:rFonts w:hint="default" w:eastAsia="宋体"/>
          <w:lang w:val="en-US" w:eastAsia="zh-CN"/>
        </w:rPr>
        <w:fldChar w:fldCharType="end"/>
      </w:r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订单产生后，达标时，生成的结算单的收益方为该渠道外接配置中所配置的收益方编号，签约方为收益方对应的签约方编号，若配置的收益方为空，则收益方为拓卡方编号。修改收益方编号后实时生效，既有订单生成结算单时以最新的收益方编号为准。</w:t>
      </w:r>
    </w:p>
    <w:bookmarkEnd w:id="0"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</w:p>
    <w:p>
      <w:pPr>
        <w:ind w:firstLine="720" w:firstLineChars="0"/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3.</w:t>
      </w:r>
      <w:r>
        <w:rPr>
          <w:rFonts w:hint="eastAsia" w:eastAsia="宋体" w:cs="Arial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Arial" w:hAnsi="Arial" w:eastAsia="宋体" w:cs="Arial"/>
          <w:kern w:val="0"/>
          <w:sz w:val="24"/>
          <w:szCs w:val="24"/>
          <w:lang w:val="en-US" w:eastAsia="zh-CN" w:bidi="ar"/>
        </w:rPr>
        <w:t>、控台-渠道管理-渠道信息管理筛选项、查询内容优化，增加导出功能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lang w:val="en-US" w:eastAsia="zh-CN"/>
        </w:rPr>
      </w:pPr>
    </w:p>
    <w:p>
      <w:pPr>
        <w:pStyle w:val="18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  <w:r>
        <w:drawing>
          <wp:inline distT="0" distB="0" distL="114300" distR="114300">
            <wp:extent cx="6854190" cy="3642360"/>
            <wp:effectExtent l="0" t="0" r="381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419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eastAsia="宋体"/>
          <w:lang w:val="en-US" w:eastAsia="zh-CN"/>
        </w:rPr>
        <w:t>3.3.1筛选项：渠道名称（模糊）、渠道编码（模糊）、渠道类型（枚举值：C端渠道、内部渠道、外部渠道、趣商圈）、接入方式（枚举值：拓客联合登录、公众号联合登录、H5接入、API接入、H5+账户提现）、分润模式（枚举值：传统拓客模式、1.0层层模式、1.0直营模式、2.0模式、团队长模式、不分润、特定收益方模式）、结算方式（枚举值：线上日结、线下月结）、创建日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3.3.2功能增加导出，导出内容与新的查询字段相同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3.3.3查询展示字段：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渠道编码、渠道名称、渠道类型、接入方式、分润模式、结算方式、创建时间、状态、操作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3.3.4操作栏与现有功能一致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</w:pPr>
      <w:r>
        <w:rPr>
          <w:rFonts w:hint="eastAsia" w:eastAsia="宋体"/>
          <w:lang w:val="en-US" w:eastAsia="zh-CN"/>
        </w:rPr>
        <w:tab/>
      </w:r>
    </w:p>
    <w:p>
      <w:pPr>
        <w:ind w:firstLine="720" w:firstLineChars="0"/>
        <w:rPr>
          <w:rFonts w:hint="default" w:ascii="Arial" w:hAnsi="Arial" w:eastAsia="宋体" w:cs="Arial"/>
          <w:kern w:val="0"/>
          <w:sz w:val="24"/>
          <w:szCs w:val="24"/>
          <w:lang w:val="en-US" w:eastAsia="zh-CN" w:bidi="ar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7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6B65CA"/>
    <w:multiLevelType w:val="multilevel"/>
    <w:tmpl w:val="786B65CA"/>
    <w:lvl w:ilvl="0" w:tentative="0">
      <w:start w:val="1"/>
      <w:numFmt w:val="decimal"/>
      <w:pStyle w:val="25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6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7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8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38F9F47"/>
    <w:rsid w:val="28FE5094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DE1AF78"/>
    <w:rsid w:val="5EAADE67"/>
    <w:rsid w:val="5ECC69D0"/>
    <w:rsid w:val="5EEF72B7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5FFEE2D"/>
    <w:rsid w:val="6BD78CC1"/>
    <w:rsid w:val="6BFDADD3"/>
    <w:rsid w:val="6DE8ECF5"/>
    <w:rsid w:val="6E61A2CC"/>
    <w:rsid w:val="6EDCF3CC"/>
    <w:rsid w:val="6EF7F3BA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B37C665"/>
    <w:rsid w:val="7B3F1108"/>
    <w:rsid w:val="7BF637EF"/>
    <w:rsid w:val="7BF7A20A"/>
    <w:rsid w:val="7BFF9F92"/>
    <w:rsid w:val="7CA65320"/>
    <w:rsid w:val="7DE7E541"/>
    <w:rsid w:val="7DF53A08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3CD48"/>
    <w:rsid w:val="7EFED9F9"/>
    <w:rsid w:val="7F1729A4"/>
    <w:rsid w:val="7F6F052B"/>
    <w:rsid w:val="7F793FB4"/>
    <w:rsid w:val="7F7E718A"/>
    <w:rsid w:val="7FA0939E"/>
    <w:rsid w:val="7FA5FBC5"/>
    <w:rsid w:val="7FAD203B"/>
    <w:rsid w:val="7FBF5942"/>
    <w:rsid w:val="7FD797F3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EFDA20F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BF0BF7"/>
    <w:rsid w:val="BFDF99AE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DFF1A5D"/>
    <w:rsid w:val="DEC724C0"/>
    <w:rsid w:val="DEFBD2BE"/>
    <w:rsid w:val="DF5F069A"/>
    <w:rsid w:val="DFEDC625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578ACE3"/>
    <w:rsid w:val="F67EDA16"/>
    <w:rsid w:val="F77FB540"/>
    <w:rsid w:val="F7DFFABA"/>
    <w:rsid w:val="F7ED7316"/>
    <w:rsid w:val="FB165D5E"/>
    <w:rsid w:val="FB77CD13"/>
    <w:rsid w:val="FB87A72E"/>
    <w:rsid w:val="FB9C9EE1"/>
    <w:rsid w:val="FB9F076E"/>
    <w:rsid w:val="FBBB8722"/>
    <w:rsid w:val="FBF7FC5B"/>
    <w:rsid w:val="FBFEE361"/>
    <w:rsid w:val="FBFF4F24"/>
    <w:rsid w:val="FC9EE08D"/>
    <w:rsid w:val="FD7FB607"/>
    <w:rsid w:val="FDBE7854"/>
    <w:rsid w:val="FDBF1568"/>
    <w:rsid w:val="FDF65777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5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2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40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qFormat/>
    <w:uiPriority w:val="99"/>
    <w:rPr>
      <w:color w:val="0000FF"/>
      <w:u w:val="single"/>
    </w:rPr>
  </w:style>
  <w:style w:type="paragraph" w:customStyle="1" w:styleId="24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30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1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Balloon Text Char"/>
    <w:basedOn w:val="22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3">
    <w:name w:val="AxureTableStyle"/>
    <w:basedOn w:val="20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4">
    <w:name w:val="Heading 4 Char"/>
    <w:basedOn w:val="22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5">
    <w:name w:val="Heading 5 Char"/>
    <w:basedOn w:val="22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6">
    <w:name w:val="AxureImageParagraph"/>
    <w:basedOn w:val="1"/>
    <w:qFormat/>
    <w:uiPriority w:val="0"/>
    <w:pPr>
      <w:jc w:val="center"/>
    </w:pPr>
  </w:style>
  <w:style w:type="paragraph" w:styleId="37">
    <w:name w:val="No Spacing"/>
    <w:link w:val="3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8">
    <w:name w:val="No Spacing Char"/>
    <w:basedOn w:val="22"/>
    <w:link w:val="37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9">
    <w:name w:val="Header Char"/>
    <w:basedOn w:val="22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40">
    <w:name w:val="Footer Char"/>
    <w:basedOn w:val="22"/>
    <w:link w:val="13"/>
    <w:qFormat/>
    <w:uiPriority w:val="99"/>
    <w:rPr>
      <w:rFonts w:ascii="Arial" w:hAnsi="Arial" w:cs="Arial"/>
      <w:sz w:val="18"/>
      <w:szCs w:val="24"/>
    </w:rPr>
  </w:style>
  <w:style w:type="character" w:styleId="41">
    <w:name w:val="Placeholder Text"/>
    <w:basedOn w:val="22"/>
    <w:semiHidden/>
    <w:qFormat/>
    <w:uiPriority w:val="99"/>
    <w:rPr>
      <w:color w:val="808080"/>
    </w:rPr>
  </w:style>
  <w:style w:type="paragraph" w:customStyle="1" w:styleId="42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3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4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5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6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7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8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9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50">
    <w:name w:val="Axure表格样式"/>
    <w:basedOn w:val="20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1341</TotalTime>
  <ScaleCrop>false</ScaleCrop>
  <LinksUpToDate>false</LinksUpToDate>
  <CharactersWithSpaces>3700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2010-10-20T13:47:00Z</dcterms:created>
  <dc:creator>[Your Name]</dc:creator>
  <cp:lastModifiedBy>风过之痕</cp:lastModifiedBy>
  <cp:lastPrinted>2010-10-19T16:33:00Z</cp:lastPrinted>
  <dcterms:modified xsi:type="dcterms:W3CDTF">2024-04-09T14:43:59Z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26E8800BB2A53D1EAD85F863DB4D9814</vt:lpwstr>
  </property>
</Properties>
</file>