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Hans"/>
        </w:rPr>
        <w:t>趣伴卡控台</w:t>
      </w:r>
      <w:r>
        <w:rPr>
          <w:rFonts w:hint="eastAsia"/>
          <w:b/>
          <w:bCs/>
          <w:sz w:val="40"/>
          <w:szCs w:val="40"/>
          <w:lang w:val="en-US" w:eastAsia="zh-CN"/>
        </w:rPr>
        <w:t>优化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内容管理</w:t>
      </w:r>
      <w:r>
        <w:rPr>
          <w:rFonts w:hint="default"/>
          <w:sz w:val="28"/>
          <w:szCs w:val="36"/>
          <w:lang w:eastAsia="zh-Hans"/>
        </w:rPr>
        <w:t>-</w:t>
      </w:r>
      <w:r>
        <w:rPr>
          <w:rFonts w:hint="eastAsia"/>
          <w:sz w:val="28"/>
          <w:szCs w:val="36"/>
          <w:lang w:val="en-US" w:eastAsia="zh-Hans"/>
        </w:rPr>
        <w:t>推广攻略优化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249170"/>
            <wp:effectExtent l="0" t="0" r="14605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内容管理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推广攻略原链接地址字段改为短链地址，在提交生成推广攻略时，自动产生对应短链地址用于生产投放。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历史链接地址在上线当天进行数据维护，全部生成短链地址，并在控台展示新的短链地址。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政策结算逻辑优化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渠道管理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展业渠道发放配置修改为渠道发放配置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原有仅针对展业版渠道才进行的发放系数处理，放宽到该页面配置的任意渠道。在计算一代产品政策，下级信用卡、借记卡、贷款、保险、拉新政策；计算订单详情页结算金额；计算结算单直推奖励金额时，所有渠道均需根据该页面所配置的系数进行处理。</w:t>
      </w:r>
    </w:p>
    <w:p>
      <w:pPr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br w:type="page"/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银行信用卡管理及公众号用户跳转优化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公众号无锁定方的用户信用卡、借记卡下单时，跳转链接走对应渠道对应卡片的链接组中的链接，不再跳转信用卡管理中的链接，信用卡管理中的链接仅用于自营网申类界面。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1481455" cy="3206115"/>
            <wp:effectExtent l="0" t="0" r="17145" b="19685"/>
            <wp:docPr id="9" name="图片 9" descr="IMG_7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74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1578610" cy="3415665"/>
            <wp:effectExtent l="0" t="0" r="21590" b="13335"/>
            <wp:docPr id="10" name="图片 10" descr="IMG_7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74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银行信用卡管理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信用卡管理页面，去除匹配规则选择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drawing>
          <wp:inline distT="0" distB="0" distL="114300" distR="114300">
            <wp:extent cx="4249420" cy="2383790"/>
            <wp:effectExtent l="0" t="0" r="1778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趣伴卡控台增加数据上传模板下载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渠道管理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银行链接管理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批量导入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渠道管理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渠道发放配置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批量导入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数据管理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推客办卡订单查询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批量修改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产品管理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订单管理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批量修改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产品管理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产品标准数据上传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标准数据上传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趣商圈管理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商圈活动管理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关联商户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DA7AD"/>
    <w:multiLevelType w:val="singleLevel"/>
    <w:tmpl w:val="BCBDA7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3A615FBF"/>
    <w:rsid w:val="11FF376C"/>
    <w:rsid w:val="1722381C"/>
    <w:rsid w:val="1CF71C0F"/>
    <w:rsid w:val="3A615FBF"/>
    <w:rsid w:val="3DE89C1C"/>
    <w:rsid w:val="48C87100"/>
    <w:rsid w:val="69FC398E"/>
    <w:rsid w:val="6FDF701C"/>
    <w:rsid w:val="700A0487"/>
    <w:rsid w:val="79FF8430"/>
    <w:rsid w:val="7FB7CDFE"/>
    <w:rsid w:val="AFF3B8F0"/>
    <w:rsid w:val="BFF78731"/>
    <w:rsid w:val="DB7CF694"/>
    <w:rsid w:val="E4FF5A07"/>
    <w:rsid w:val="FBF7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511</Words>
  <Characters>512</Characters>
  <Lines>0</Lines>
  <Paragraphs>0</Paragraphs>
  <TotalTime>2</TotalTime>
  <ScaleCrop>false</ScaleCrop>
  <LinksUpToDate>false</LinksUpToDate>
  <CharactersWithSpaces>624</CharactersWithSpaces>
  <Application>WPS Office_5.1.0.7657_F1E327BC-269C-435d-A152-05C5408002CA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2023-03-23T09:36:00Z</dcterms:created>
  <dc:creator>Monsterrrr！</dc:creator>
  <cp:lastModifiedBy>风过之痕</cp:lastModifiedBy>
  <dcterms:modified xsi:type="dcterms:W3CDTF">2023-04-03T17:14:48Z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F195CE2F7A3858D5B48E25640B4379A3</vt:lpwstr>
  </property>
</Properties>
</file>