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keepNext/>
        <w:jc w:val="center"/>
        <w:outlineLvl w:val="0"/>
        <w:rPr>
          <w:rFonts w:hint="default"/>
          <w:sz w:val="36"/>
          <w:szCs w:val="36"/>
          <w:lang w:val="en-US" w:eastAsia="zh-Hans"/>
        </w:rPr>
      </w:pPr>
      <w:r>
        <w:rPr>
          <w:rFonts w:hint="eastAsia"/>
          <w:sz w:val="36"/>
          <w:szCs w:val="36"/>
          <w:lang w:val="en-US" w:eastAsia="zh-Hans"/>
        </w:rPr>
        <w:t>拉新产品支持传产品编码过滤</w:t>
      </w:r>
      <w:r>
        <w:rPr>
          <w:rFonts w:hint="eastAsia" w:eastAsia="宋体"/>
          <w:sz w:val="36"/>
          <w:szCs w:val="36"/>
          <w:lang w:val="en-US" w:eastAsia="zh-CN"/>
        </w:rPr>
        <w:t>优化页面展示+控台优化</w:t>
      </w:r>
    </w:p>
    <w:p>
      <w:pPr>
        <w:pStyle w:val="2"/>
        <w:numPr>
          <w:ilvl w:val="0"/>
          <w:numId w:val="0"/>
        </w:numPr>
        <w:bidi w:val="0"/>
        <w:rPr>
          <w:rFonts w:hint="default" w:ascii="Lucida Grande" w:hAnsi="Lucida Grande" w:eastAsia="宋体" w:cs="Lucida Grande"/>
          <w:i w:val="0"/>
          <w:iCs w:val="0"/>
          <w:caps w:val="0"/>
          <w:color w:val="333333"/>
          <w:spacing w:val="0"/>
          <w:sz w:val="28"/>
          <w:szCs w:val="28"/>
          <w:u w:val="none"/>
          <w:lang w:val="en-US" w:eastAsia="zh-CN"/>
        </w:rPr>
      </w:pPr>
      <w:r>
        <w:rPr>
          <w:rFonts w:hint="eastAsia" w:ascii="Lucida Grande" w:hAnsi="Lucida Grande" w:eastAsia="宋体" w:cs="Lucida Grande"/>
          <w:i w:val="0"/>
          <w:iCs w:val="0"/>
          <w:caps w:val="0"/>
          <w:color w:val="333333"/>
          <w:spacing w:val="0"/>
          <w:sz w:val="28"/>
          <w:szCs w:val="28"/>
          <w:u w:val="none"/>
          <w:lang w:val="en-US" w:eastAsia="zh-CN"/>
        </w:rPr>
        <w:t>一、</w:t>
      </w:r>
      <w:r>
        <w:rPr>
          <w:rFonts w:hint="default" w:ascii="Lucida Grande" w:hAnsi="Lucida Grande" w:eastAsia="宋体" w:cs="Lucida Grande"/>
          <w:i w:val="0"/>
          <w:iCs w:val="0"/>
          <w:caps w:val="0"/>
          <w:color w:val="333333"/>
          <w:spacing w:val="0"/>
          <w:sz w:val="28"/>
          <w:szCs w:val="28"/>
          <w:u w:val="none"/>
          <w:lang w:val="en-US" w:eastAsia="zh-CN"/>
        </w:rPr>
        <w:t>业务背景：</w:t>
      </w:r>
    </w:p>
    <w:p>
      <w:pPr>
        <w:pStyle w:val="19"/>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数字门店希望将拉新产品拆分成按照业务的具体品类进行分别展示的页面，需通过访问接口时传递产品编码列表的方式，来进行过滤</w:t>
      </w:r>
    </w:p>
    <w:p>
      <w:pPr>
        <w:pStyle w:val="2"/>
        <w:numPr>
          <w:ilvl w:val="0"/>
          <w:numId w:val="0"/>
        </w:numPr>
        <w:bidi w:val="0"/>
        <w:rPr>
          <w:rFonts w:hint="default" w:ascii="Lucida Grande" w:hAnsi="Lucida Grande" w:eastAsia="宋体" w:cs="Lucida Grande"/>
          <w:i w:val="0"/>
          <w:iCs w:val="0"/>
          <w:caps w:val="0"/>
          <w:color w:val="333333"/>
          <w:spacing w:val="0"/>
          <w:sz w:val="28"/>
          <w:szCs w:val="28"/>
          <w:u w:val="none"/>
          <w:lang w:val="en-US" w:eastAsia="zh-CN"/>
        </w:rPr>
      </w:pPr>
      <w:r>
        <w:rPr>
          <w:rFonts w:hint="eastAsia" w:ascii="Lucida Grande" w:hAnsi="Lucida Grande" w:eastAsia="宋体" w:cs="Lucida Grande"/>
          <w:i w:val="0"/>
          <w:iCs w:val="0"/>
          <w:caps w:val="0"/>
          <w:color w:val="333333"/>
          <w:spacing w:val="0"/>
          <w:sz w:val="28"/>
          <w:szCs w:val="28"/>
          <w:u w:val="none"/>
          <w:lang w:val="en-US" w:eastAsia="zh-CN"/>
        </w:rPr>
        <w:t>二、需求汇总</w:t>
      </w:r>
      <w:r>
        <w:rPr>
          <w:rFonts w:hint="default" w:ascii="Lucida Grande" w:hAnsi="Lucida Grande" w:eastAsia="宋体" w:cs="Lucida Grande"/>
          <w:i w:val="0"/>
          <w:iCs w:val="0"/>
          <w:caps w:val="0"/>
          <w:color w:val="333333"/>
          <w:spacing w:val="0"/>
          <w:sz w:val="28"/>
          <w:szCs w:val="28"/>
          <w:u w:val="none"/>
          <w:lang w:val="en-US" w:eastAsia="zh-CN"/>
        </w:rPr>
        <w:t>：</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1、pc端推广页面产品列表支持拉新类别传产品编码过滤</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2、全产品推广码按产品编码过滤结果展示</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3、拉新产品样式展示优化</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4、下架信用卡或产品后，保留的推广二维码或推广链接不允许申请</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5、控台放款详情页和还款详情页展示和导出详情增加字段：更新时间</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6、控台-渠道发放配置-增加预估政策展示</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7、数字门店页面展示政策按控台配置处理</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8、团队结算数据管理增加签约方展示，业务员用户管理开通一代增加查询用户信息逻辑</w:t>
      </w:r>
    </w:p>
    <w:p>
      <w:pPr>
        <w:pStyle w:val="19"/>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9、一键推广页面支持后台配置面对面推广开关</w:t>
      </w:r>
    </w:p>
    <w:p>
      <w:pPr>
        <w:pStyle w:val="2"/>
        <w:numPr>
          <w:ilvl w:val="0"/>
          <w:numId w:val="0"/>
        </w:numPr>
        <w:bidi w:val="0"/>
        <w:rPr>
          <w:rFonts w:hint="default" w:eastAsia="宋体"/>
          <w:lang w:val="en-US" w:eastAsia="zh-CN"/>
        </w:rPr>
      </w:pPr>
      <w:r>
        <w:rPr>
          <w:rFonts w:hint="eastAsia" w:ascii="Lucida Grande" w:hAnsi="Lucida Grande" w:eastAsia="宋体" w:cs="Lucida Grande"/>
          <w:i w:val="0"/>
          <w:iCs w:val="0"/>
          <w:caps w:val="0"/>
          <w:color w:val="333333"/>
          <w:spacing w:val="0"/>
          <w:sz w:val="28"/>
          <w:szCs w:val="28"/>
          <w:u w:val="none"/>
          <w:lang w:val="en-US" w:eastAsia="zh-CN"/>
        </w:rPr>
        <w:t>三、</w:t>
      </w:r>
      <w:r>
        <w:rPr>
          <w:rFonts w:hint="eastAsia" w:ascii="Lucida Grande" w:hAnsi="Lucida Grande" w:eastAsia="Lucida Grande" w:cs="Lucida Grande"/>
          <w:i w:val="0"/>
          <w:iCs w:val="0"/>
          <w:caps w:val="0"/>
          <w:color w:val="333333"/>
          <w:spacing w:val="0"/>
          <w:sz w:val="28"/>
          <w:szCs w:val="28"/>
          <w:u w:val="none"/>
          <w:lang w:val="en-US" w:eastAsia="zh-Hans"/>
        </w:rPr>
        <w:t>需求内容</w:t>
      </w:r>
      <w:r>
        <w:rPr>
          <w:rFonts w:hint="default" w:ascii="Lucida Grande" w:hAnsi="Lucida Grande" w:eastAsia="Lucida Grande" w:cs="Lucida Grande"/>
          <w:i w:val="0"/>
          <w:iCs w:val="0"/>
          <w:caps w:val="0"/>
          <w:color w:val="333333"/>
          <w:spacing w:val="0"/>
          <w:sz w:val="28"/>
          <w:szCs w:val="28"/>
          <w:u w:val="none"/>
        </w:rPr>
        <w:t>：</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cs="Arial"/>
          <w:kern w:val="0"/>
          <w:sz w:val="24"/>
          <w:szCs w:val="24"/>
          <w:lang w:val="en-US" w:eastAsia="zh-CN" w:bidi="ar"/>
        </w:rPr>
      </w:pPr>
      <w:r>
        <w:rPr>
          <w:rFonts w:hint="eastAsia" w:eastAsia="宋体" w:cs="Arial"/>
          <w:kern w:val="0"/>
          <w:sz w:val="24"/>
          <w:szCs w:val="24"/>
          <w:lang w:val="en-US" w:eastAsia="zh-CN" w:bidi="ar"/>
        </w:rPr>
        <w:t>1、以下链接入口增加参数，可传一个数组，将要展示的产品编码传入</w:t>
      </w: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kern w:val="0"/>
          <w:sz w:val="21"/>
          <w:szCs w:val="21"/>
        </w:rPr>
      </w:pPr>
      <w:r>
        <w:rPr>
          <w:rFonts w:hint="eastAsia" w:asciiTheme="minorEastAsia" w:hAnsiTheme="minorEastAsia" w:eastAsiaTheme="minorEastAsia" w:cstheme="minorEastAsia"/>
          <w:kern w:val="0"/>
          <w:sz w:val="21"/>
          <w:szCs w:val="21"/>
        </w:rPr>
        <w:fldChar w:fldCharType="begin"/>
      </w:r>
      <w:r>
        <w:rPr>
          <w:rFonts w:hint="eastAsia" w:asciiTheme="minorEastAsia" w:hAnsiTheme="minorEastAsia" w:eastAsiaTheme="minorEastAsia" w:cstheme="minorEastAsia"/>
          <w:kern w:val="0"/>
          <w:sz w:val="21"/>
          <w:szCs w:val="21"/>
        </w:rPr>
        <w:instrText xml:space="preserve"> HYPERLINK "https://test.wsmsd.cn/sit/qbksdk/api/channleUserLoginMain?channelId=HTKTK_APP&amp;clientVersion=2.1.0&amp;temporaryToken=XXXX&amp;page=ACTIVITY&amp;pt=LOAN&amp;sceneFlg=ACTIVITY" </w:instrText>
      </w:r>
      <w:r>
        <w:rPr>
          <w:rFonts w:hint="eastAsia" w:asciiTheme="minorEastAsia" w:hAnsiTheme="minorEastAsia" w:eastAsiaTheme="minorEastAsia" w:cstheme="minorEastAsia"/>
          <w:kern w:val="0"/>
          <w:sz w:val="21"/>
          <w:szCs w:val="21"/>
        </w:rPr>
        <w:fldChar w:fldCharType="separate"/>
      </w:r>
      <w:r>
        <w:rPr>
          <w:rStyle w:val="23"/>
          <w:rFonts w:hint="eastAsia" w:asciiTheme="minorEastAsia" w:hAnsiTheme="minorEastAsia" w:eastAsiaTheme="minorEastAsia" w:cstheme="minorEastAsia"/>
          <w:kern w:val="0"/>
          <w:sz w:val="21"/>
          <w:szCs w:val="21"/>
        </w:rPr>
        <w:t>https://test.wsmsd.cn/sit/qbksdk/api/channleUserLoginMain?channelId=HTKTK_APP&amp;clientVersion=2.1.0&amp;temporaryToken=XXXX&amp;page=ACTIVITY&amp;pt=</w:t>
      </w:r>
      <w:r>
        <w:rPr>
          <w:rStyle w:val="23"/>
          <w:rFonts w:hint="eastAsia" w:asciiTheme="minorEastAsia" w:hAnsiTheme="minorEastAsia" w:eastAsiaTheme="minorEastAsia" w:cstheme="minorEastAsia"/>
          <w:kern w:val="0"/>
          <w:sz w:val="21"/>
          <w:szCs w:val="21"/>
          <w:lang w:val="en-US" w:eastAsia="zh-CN"/>
        </w:rPr>
        <w:t>INVITE</w:t>
      </w:r>
      <w:r>
        <w:rPr>
          <w:rStyle w:val="23"/>
          <w:rFonts w:hint="eastAsia" w:asciiTheme="minorEastAsia" w:hAnsiTheme="minorEastAsia" w:eastAsiaTheme="minorEastAsia" w:cstheme="minorEastAsia"/>
          <w:kern w:val="0"/>
          <w:sz w:val="21"/>
          <w:szCs w:val="21"/>
        </w:rPr>
        <w:t>&amp;sceneFlg=ACTIVITY</w:t>
      </w:r>
      <w:r>
        <w:rPr>
          <w:rFonts w:hint="eastAsia" w:asciiTheme="minorEastAsia" w:hAnsiTheme="minorEastAsia" w:eastAsiaTheme="minorEastAsia" w:cstheme="minorEastAsia"/>
          <w:kern w:val="0"/>
          <w:sz w:val="21"/>
          <w:szCs w:val="21"/>
        </w:rPr>
        <w:fldChar w:fldCharType="end"/>
      </w: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kern w:val="0"/>
          <w:sz w:val="21"/>
          <w:szCs w:val="21"/>
          <w:lang w:val="en-US" w:eastAsia="zh-CN"/>
        </w:rPr>
      </w:pPr>
      <w:r>
        <w:rPr>
          <w:rFonts w:hint="eastAsia" w:asciiTheme="minorEastAsia" w:hAnsiTheme="minorEastAsia" w:eastAsiaTheme="minorEastAsia" w:cstheme="minorEastAsia"/>
          <w:kern w:val="0"/>
          <w:sz w:val="21"/>
          <w:szCs w:val="21"/>
          <w:lang w:val="en-US" w:eastAsia="zh-CN"/>
        </w:rPr>
        <w:t>传入后，在加载产品列表时，仅展示原应展示的产品中，符合该参数范围的产品</w:t>
      </w: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6856095" cy="2969895"/>
            <wp:effectExtent l="0" t="0" r="1905" b="1905"/>
            <wp:docPr id="3" name="图片 3" descr="/Users/hubo/Library/Containers/com.kingsoft.wpsoffice.mac/Data/tmp/photoeditapp/20240313142154/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hubo/Library/Containers/com.kingsoft.wpsoffice.mac/Data/tmp/photoeditapp/20240313142154/temp.pngtemp"/>
                    <pic:cNvPicPr>
                      <a:picLocks noChangeAspect="1"/>
                    </pic:cNvPicPr>
                  </pic:nvPicPr>
                  <pic:blipFill>
                    <a:blip r:embed="rId7"/>
                    <a:stretch>
                      <a:fillRect/>
                    </a:stretch>
                  </pic:blipFill>
                  <pic:spPr>
                    <a:xfrm>
                      <a:off x="0" y="0"/>
                      <a:ext cx="6856095" cy="2969895"/>
                    </a:xfrm>
                    <a:prstGeom prst="rect">
                      <a:avLst/>
                    </a:prstGeom>
                    <a:noFill/>
                    <a:ln>
                      <a:noFill/>
                    </a:ln>
                  </pic:spPr>
                </pic:pic>
              </a:graphicData>
            </a:graphic>
          </wp:inline>
        </w:drawing>
      </w: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如接口中只传了299、199两个产品的id，则不展示0元的产品</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cs="Arial"/>
          <w:kern w:val="0"/>
          <w:sz w:val="24"/>
          <w:szCs w:val="24"/>
          <w:lang w:val="en-US" w:eastAsia="zh-CN" w:bidi="ar"/>
        </w:rPr>
      </w:pPr>
      <w:r>
        <w:rPr>
          <w:rFonts w:hint="eastAsia" w:eastAsia="宋体" w:cs="Arial"/>
          <w:kern w:val="0"/>
          <w:sz w:val="24"/>
          <w:szCs w:val="24"/>
          <w:lang w:val="en-US" w:eastAsia="zh-CN" w:bidi="ar"/>
        </w:rPr>
        <w:t>2、该入口进入后的页面上的全产品推广码，扫码打开后，产品列表同样按照入口传参的内容进行过滤。</w:t>
      </w:r>
    </w:p>
    <w:p>
      <w:pPr>
        <w:rPr>
          <w:rFonts w:hint="eastAsia" w:asciiTheme="minorEastAsia" w:hAnsiTheme="minorEastAsia" w:eastAsiaTheme="minorEastAsia" w:cstheme="minorEastAsia"/>
          <w:i w:val="0"/>
          <w:iCs w:val="0"/>
          <w:caps w:val="0"/>
          <w:color w:val="333333"/>
          <w:spacing w:val="0"/>
          <w:sz w:val="21"/>
          <w:szCs w:val="21"/>
          <w:u w:val="none"/>
          <w:lang w:val="en-US" w:eastAsia="zh-CN"/>
        </w:rPr>
      </w:pPr>
      <w:r>
        <w:rPr>
          <w:rFonts w:hint="eastAsia" w:asciiTheme="minorEastAsia" w:hAnsiTheme="minorEastAsia" w:eastAsiaTheme="minorEastAsia" w:cstheme="minorEastAsia"/>
          <w:i w:val="0"/>
          <w:iCs w:val="0"/>
          <w:caps w:val="0"/>
          <w:color w:val="333333"/>
          <w:spacing w:val="0"/>
          <w:sz w:val="21"/>
          <w:szCs w:val="21"/>
          <w:u w:val="none"/>
          <w:lang w:val="en-US" w:eastAsia="zh-CN"/>
        </w:rPr>
        <w:br w:type="page"/>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cs="Arial"/>
          <w:kern w:val="0"/>
          <w:sz w:val="24"/>
          <w:szCs w:val="24"/>
          <w:lang w:val="en-US" w:eastAsia="zh-CN" w:bidi="ar"/>
        </w:rPr>
      </w:pPr>
      <w:r>
        <w:rPr>
          <w:rFonts w:hint="eastAsia" w:eastAsia="宋体" w:cs="Arial"/>
          <w:kern w:val="0"/>
          <w:sz w:val="24"/>
          <w:szCs w:val="24"/>
          <w:lang w:val="en-US" w:eastAsia="zh-CN" w:bidi="ar"/>
        </w:rPr>
        <w:t>3、拉新产品样式修改如下</w:t>
      </w: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sz w:val="21"/>
          <w:szCs w:val="21"/>
        </w:rPr>
      </w:pP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5255895" cy="22764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55895" cy="2276475"/>
                    </a:xfrm>
                    <a:prstGeom prst="rect">
                      <a:avLst/>
                    </a:prstGeom>
                    <a:noFill/>
                    <a:ln>
                      <a:noFill/>
                    </a:ln>
                  </pic:spPr>
                </pic:pic>
              </a:graphicData>
            </a:graphic>
          </wp:inline>
        </w:drawing>
      </w:r>
    </w:p>
    <w:p>
      <w:pPr>
        <w:pStyle w:val="18"/>
        <w:keepNext w:val="0"/>
        <w:keepLines w:val="0"/>
        <w:widowControl/>
        <w:numPr>
          <w:ilvl w:val="0"/>
          <w:numId w:val="0"/>
        </w:numPr>
        <w:suppressLineNumbers w:val="0"/>
        <w:ind w:right="0" w:righ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将奖励和达标条件内容移至标签下方，增加达标奖励、达标条件文字</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cs="Arial"/>
          <w:kern w:val="0"/>
          <w:sz w:val="24"/>
          <w:szCs w:val="24"/>
          <w:lang w:val="en-US" w:eastAsia="zh-CN" w:bidi="ar"/>
        </w:rPr>
      </w:pPr>
      <w:r>
        <w:rPr>
          <w:rFonts w:hint="eastAsia" w:eastAsia="宋体" w:cs="Arial"/>
          <w:kern w:val="0"/>
          <w:sz w:val="24"/>
          <w:szCs w:val="24"/>
          <w:lang w:val="en-US" w:eastAsia="zh-CN" w:bidi="ar"/>
        </w:rPr>
        <w:t>4、下架信用卡或产品后，保留的推广二维码或推广链接不允许申请</w:t>
      </w:r>
    </w:p>
    <w:p>
      <w:pPr>
        <w:pStyle w:val="18"/>
        <w:keepNext w:val="0"/>
        <w:keepLines w:val="0"/>
        <w:widowControl/>
        <w:numPr>
          <w:ilvl w:val="0"/>
          <w:numId w:val="0"/>
        </w:numPr>
        <w:suppressLineNumbers w:val="0"/>
        <w:ind w:right="0" w:rightChars="0"/>
        <w:rPr>
          <w:rFonts w:hint="eastAsia"/>
          <w:sz w:val="21"/>
          <w:szCs w:val="21"/>
          <w:lang w:val="en-US" w:eastAsia="zh-CN"/>
        </w:rPr>
      </w:pPr>
      <w:r>
        <w:rPr>
          <w:rFonts w:hint="eastAsia"/>
          <w:sz w:val="21"/>
          <w:szCs w:val="21"/>
          <w:lang w:val="en-US" w:eastAsia="zh-CN"/>
        </w:rPr>
        <w:t>当前是禁用信用卡/产品后，保留的推广二维码或推广链接不允许申请。</w:t>
      </w:r>
    </w:p>
    <w:p>
      <w:pPr>
        <w:pStyle w:val="18"/>
        <w:keepNext w:val="0"/>
        <w:keepLines w:val="0"/>
        <w:widowControl/>
        <w:numPr>
          <w:ilvl w:val="0"/>
          <w:numId w:val="0"/>
        </w:numPr>
        <w:suppressLineNumbers w:val="0"/>
        <w:ind w:right="0" w:rightChars="0"/>
        <w:rPr>
          <w:rFonts w:hint="eastAsia"/>
          <w:sz w:val="21"/>
          <w:szCs w:val="21"/>
          <w:lang w:val="en-US" w:eastAsia="zh-CN"/>
        </w:rPr>
      </w:pPr>
      <w:r>
        <w:rPr>
          <w:rFonts w:hint="eastAsia"/>
          <w:sz w:val="21"/>
          <w:szCs w:val="21"/>
          <w:lang w:val="en-US" w:eastAsia="zh-CN"/>
        </w:rPr>
        <w:t>若在业务发布中，将信用卡/贷款/保险/拉新产品下架后，则对应渠道业务员的推广二维码或推广链接也不允许申请。</w:t>
      </w:r>
    </w:p>
    <w:p>
      <w:pPr>
        <w:pStyle w:val="18"/>
        <w:keepNext w:val="0"/>
        <w:keepLines w:val="0"/>
        <w:widowControl/>
        <w:numPr>
          <w:ilvl w:val="0"/>
          <w:numId w:val="0"/>
        </w:numPr>
        <w:suppressLineNumbers w:val="0"/>
        <w:ind w:right="0" w:rightChars="0"/>
        <w:rPr>
          <w:rFonts w:hint="eastAsia"/>
          <w:sz w:val="21"/>
          <w:szCs w:val="21"/>
          <w:lang w:val="en-US" w:eastAsia="zh-CN"/>
        </w:rPr>
      </w:pPr>
      <w:r>
        <w:drawing>
          <wp:inline distT="0" distB="0" distL="114300" distR="114300">
            <wp:extent cx="2214245" cy="4923790"/>
            <wp:effectExtent l="0" t="0" r="2095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2214245" cy="492379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eastAsia="宋体" w:cs="Arial"/>
          <w:kern w:val="0"/>
          <w:sz w:val="24"/>
          <w:szCs w:val="24"/>
          <w:lang w:val="en-US" w:eastAsia="zh-CN" w:bidi="ar"/>
        </w:rPr>
      </w:pPr>
      <w:r>
        <w:rPr>
          <w:rFonts w:hint="eastAsia" w:eastAsia="宋体" w:cs="Arial"/>
          <w:kern w:val="0"/>
          <w:sz w:val="24"/>
          <w:szCs w:val="24"/>
          <w:lang w:val="en-US" w:eastAsia="zh-CN" w:bidi="ar"/>
        </w:rPr>
        <w:t>5、</w:t>
      </w:r>
      <w:r>
        <w:rPr>
          <w:rFonts w:hint="default" w:eastAsia="宋体" w:cs="Arial"/>
          <w:kern w:val="0"/>
          <w:sz w:val="24"/>
          <w:szCs w:val="24"/>
          <w:lang w:val="en-US" w:eastAsia="zh-CN" w:bidi="ar"/>
        </w:rPr>
        <w:t>控台</w:t>
      </w:r>
      <w:r>
        <w:rPr>
          <w:rFonts w:hint="eastAsia" w:eastAsia="宋体" w:cs="Arial"/>
          <w:kern w:val="0"/>
          <w:sz w:val="24"/>
          <w:szCs w:val="24"/>
          <w:lang w:val="en-US" w:eastAsia="zh-CN" w:bidi="ar"/>
        </w:rPr>
        <w:t>-产品管理-产品订单管理-</w:t>
      </w:r>
      <w:r>
        <w:rPr>
          <w:rFonts w:hint="default" w:eastAsia="宋体" w:cs="Arial"/>
          <w:kern w:val="0"/>
          <w:sz w:val="24"/>
          <w:szCs w:val="24"/>
          <w:lang w:val="en-US" w:eastAsia="zh-CN" w:bidi="ar"/>
        </w:rPr>
        <w:t>放款详情页和还款详情页展示和导出详情增加字段：更新时间</w:t>
      </w:r>
    </w:p>
    <w:p>
      <w:pPr>
        <w:pStyle w:val="18"/>
        <w:keepNext w:val="0"/>
        <w:keepLines w:val="0"/>
        <w:widowControl/>
        <w:numPr>
          <w:ilvl w:val="0"/>
          <w:numId w:val="0"/>
        </w:numPr>
        <w:suppressLineNumbers w:val="0"/>
        <w:ind w:right="0" w:rightChars="0"/>
        <w:rPr>
          <w:rFonts w:hint="default"/>
          <w:sz w:val="21"/>
          <w:szCs w:val="21"/>
          <w:lang w:val="en-US" w:eastAsia="zh-CN"/>
        </w:rPr>
      </w:pPr>
    </w:p>
    <w:p>
      <w:pPr>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drawing>
          <wp:inline distT="0" distB="0" distL="114300" distR="114300">
            <wp:extent cx="6097905" cy="1049655"/>
            <wp:effectExtent l="0" t="0" r="23495" b="1714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0"/>
                    <a:stretch>
                      <a:fillRect/>
                    </a:stretch>
                  </pic:blipFill>
                  <pic:spPr>
                    <a:xfrm>
                      <a:off x="0" y="0"/>
                      <a:ext cx="6097905" cy="10496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988050" cy="1433830"/>
            <wp:effectExtent l="0" t="0" r="635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988050" cy="143383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Arial" w:hAnsi="Arial" w:eastAsia="宋体" w:cs="Arial"/>
          <w:kern w:val="0"/>
          <w:sz w:val="24"/>
          <w:szCs w:val="24"/>
          <w:lang w:val="en-US" w:eastAsia="zh-CN" w:bidi="ar"/>
        </w:rPr>
      </w:pPr>
      <w:r>
        <w:rPr>
          <w:rFonts w:hint="eastAsia" w:eastAsia="宋体" w:cs="Arial"/>
          <w:kern w:val="0"/>
          <w:sz w:val="24"/>
          <w:szCs w:val="24"/>
          <w:lang w:val="en-US" w:eastAsia="zh-CN" w:bidi="ar"/>
        </w:rPr>
        <w:t>6</w:t>
      </w:r>
      <w:r>
        <w:rPr>
          <w:rFonts w:hint="eastAsia" w:ascii="Arial" w:hAnsi="Arial" w:eastAsia="宋体" w:cs="Arial"/>
          <w:kern w:val="0"/>
          <w:sz w:val="24"/>
          <w:szCs w:val="24"/>
          <w:lang w:val="en-US" w:eastAsia="zh-CN" w:bidi="ar"/>
        </w:rPr>
        <w:t>、控台-渠道发放配置-</w:t>
      </w:r>
      <w:r>
        <w:rPr>
          <w:rFonts w:hint="eastAsia" w:eastAsia="宋体" w:cs="Arial"/>
          <w:kern w:val="0"/>
          <w:sz w:val="24"/>
          <w:szCs w:val="24"/>
          <w:lang w:val="en-US" w:eastAsia="zh-CN" w:bidi="ar"/>
        </w:rPr>
        <w:t>增加预估政策展示</w:t>
      </w:r>
    </w:p>
    <w:p>
      <w:pPr>
        <w:pageBreakBefore w:val="0"/>
        <w:widowControl w:val="0"/>
        <w:numPr>
          <w:ilvl w:val="0"/>
          <w:numId w:val="0"/>
        </w:numPr>
        <w:kinsoku/>
        <w:wordWrap/>
        <w:overflowPunct/>
        <w:topLinePunct w:val="0"/>
        <w:autoSpaceDE/>
        <w:autoSpaceDN/>
        <w:bidi w:val="0"/>
        <w:adjustRightInd/>
        <w:snapToGrid/>
        <w:spacing w:line="240" w:lineRule="auto"/>
        <w:textAlignment w:val="auto"/>
      </w:pPr>
      <w:r>
        <w:drawing>
          <wp:inline distT="0" distB="0" distL="114300" distR="114300">
            <wp:extent cx="6854190" cy="2056130"/>
            <wp:effectExtent l="0" t="0" r="381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6854190" cy="205613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lang w:val="en-US" w:eastAsia="zh-CN"/>
        </w:rPr>
      </w:pPr>
      <w:r>
        <w:rPr>
          <w:rFonts w:hint="eastAsia" w:eastAsia="宋体"/>
          <w:lang w:val="en-US" w:eastAsia="zh-CN"/>
        </w:rPr>
        <w:t>在业务员发放系数后增加四列：结算金额、结算比例、补贴金额、补贴比例的展示，分别为银行/产品政策中的值*渠道发放系数*业务员发放系数的结果值，该数值每次查询时实时更新。</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eastAsia="宋体"/>
          <w:lang w:val="en-US" w:eastAsia="zh-CN"/>
        </w:rPr>
      </w:pPr>
      <w:r>
        <w:rPr>
          <w:rFonts w:hint="eastAsia" w:eastAsia="宋体"/>
          <w:lang w:val="en-US" w:eastAsia="zh-CN"/>
        </w:rPr>
        <w:t>增加导出功能，将查询展示字段导出为渠道发放配置.xlsx文件</w:t>
      </w:r>
    </w:p>
    <w:p>
      <w:pPr>
        <w:rPr>
          <w:rFonts w:hint="eastAsia" w:eastAsia="宋体"/>
          <w:lang w:val="en-US" w:eastAsia="zh-CN"/>
        </w:rPr>
      </w:pPr>
      <w:r>
        <w:rPr>
          <w:rFonts w:hint="eastAsia" w:eastAsia="宋体"/>
          <w:lang w:val="en-US" w:eastAsia="zh-CN"/>
        </w:rPr>
        <w:br w:type="page"/>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cs="Arial"/>
          <w:kern w:val="0"/>
          <w:sz w:val="24"/>
          <w:szCs w:val="24"/>
          <w:lang w:val="en-US" w:eastAsia="zh-CN" w:bidi="ar"/>
        </w:rPr>
      </w:pPr>
      <w:r>
        <w:rPr>
          <w:rFonts w:hint="eastAsia" w:eastAsia="宋体" w:cs="Arial"/>
          <w:kern w:val="0"/>
          <w:sz w:val="24"/>
          <w:szCs w:val="24"/>
          <w:lang w:val="en-US" w:eastAsia="zh-CN" w:bidi="ar"/>
        </w:rPr>
        <w:t>7、数字门店页面展示政策按控台配置处理</w:t>
      </w:r>
    </w:p>
    <w:p>
      <w:pPr>
        <w:pageBreakBefore w:val="0"/>
        <w:widowControl w:val="0"/>
        <w:numPr>
          <w:ilvl w:val="0"/>
          <w:numId w:val="0"/>
        </w:numPr>
        <w:kinsoku/>
        <w:wordWrap/>
        <w:overflowPunct/>
        <w:topLinePunct w:val="0"/>
        <w:autoSpaceDE/>
        <w:autoSpaceDN/>
        <w:bidi w:val="0"/>
        <w:adjustRightInd/>
        <w:snapToGrid/>
        <w:spacing w:line="240" w:lineRule="auto"/>
        <w:ind w:firstLine="720" w:firstLineChars="0"/>
        <w:textAlignment w:val="auto"/>
      </w:pPr>
      <w:r>
        <w:drawing>
          <wp:inline distT="0" distB="0" distL="114300" distR="114300">
            <wp:extent cx="6854190" cy="2581910"/>
            <wp:effectExtent l="0" t="0" r="381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6854190" cy="258191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240" w:lineRule="auto"/>
        <w:ind w:firstLine="720" w:firstLineChars="0"/>
        <w:textAlignment w:val="auto"/>
        <w:rPr>
          <w:rFonts w:hint="default" w:eastAsia="宋体"/>
          <w:lang w:val="en-US" w:eastAsia="zh-CN"/>
        </w:rPr>
      </w:pPr>
      <w:r>
        <w:rPr>
          <w:rFonts w:hint="eastAsia" w:eastAsia="宋体"/>
          <w:lang w:val="en-US" w:eastAsia="zh-CN"/>
        </w:rPr>
        <w:t>金额展示时，按照后台渠道配置中，是否启用首页佣金展示的选项来处理。</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eastAsia="宋体" w:cs="Arial"/>
          <w:kern w:val="0"/>
          <w:sz w:val="24"/>
          <w:szCs w:val="24"/>
          <w:lang w:val="en-US" w:eastAsia="zh-CN" w:bidi="ar"/>
        </w:rPr>
      </w:pPr>
      <w:r>
        <w:rPr>
          <w:rFonts w:hint="eastAsia" w:eastAsia="宋体" w:cs="Arial"/>
          <w:kern w:val="0"/>
          <w:sz w:val="24"/>
          <w:szCs w:val="24"/>
          <w:lang w:val="en-US" w:eastAsia="zh-CN" w:bidi="ar"/>
        </w:rPr>
        <w:t>8、团队结算数据管理增加签约方展示，业务员用户管理开通一代增加查询用户信息逻辑</w:t>
      </w:r>
    </w:p>
    <w:p>
      <w:pPr>
        <w:rPr>
          <w:rFonts w:hint="default" w:ascii="Arial" w:hAnsi="Arial" w:eastAsia="宋体" w:cs="Arial"/>
          <w:kern w:val="0"/>
          <w:sz w:val="24"/>
          <w:szCs w:val="24"/>
          <w:lang w:val="en-US" w:eastAsia="zh-CN" w:bidi="ar"/>
        </w:rPr>
      </w:pPr>
    </w:p>
    <w:p>
      <w:pPr>
        <w:rPr>
          <w:rFonts w:hint="default" w:ascii="Arial" w:hAnsi="Arial" w:eastAsia="宋体" w:cs="Arial"/>
          <w:kern w:val="0"/>
          <w:sz w:val="24"/>
          <w:szCs w:val="24"/>
          <w:lang w:val="en-US" w:eastAsia="zh-CN" w:bidi="ar"/>
        </w:rPr>
      </w:pPr>
      <w:r>
        <w:rPr>
          <w:rFonts w:hint="eastAsia" w:eastAsia="宋体" w:cs="Arial"/>
          <w:kern w:val="0"/>
          <w:sz w:val="24"/>
          <w:szCs w:val="24"/>
          <w:lang w:val="en-US" w:eastAsia="zh-CN" w:bidi="ar"/>
        </w:rPr>
        <w:t>9、一键推广页面支持后台配置面对面推广开关</w:t>
      </w:r>
    </w:p>
    <w:p>
      <w:pPr>
        <w:rPr>
          <w:rFonts w:hint="eastAsia" w:eastAsia="宋体"/>
          <w:lang w:val="en-US" w:eastAsia="zh-CN"/>
        </w:rPr>
      </w:pPr>
      <w:r>
        <w:rPr>
          <w:rFonts w:hint="eastAsia" w:eastAsia="宋体"/>
          <w:lang w:val="en-US" w:eastAsia="zh-CN"/>
        </w:rPr>
        <w:t>办卡、贷款、保险、拉新产品的一键推广页面，根据控台面对面推广：启用/禁用的配置，来决定是否可滑动及点击进入面对面推广，以及是否展示提示语。</w:t>
      </w:r>
    </w:p>
    <w:p>
      <w:pPr>
        <w:rPr>
          <w:rFonts w:hint="default" w:eastAsia="宋体"/>
          <w:lang w:val="en-US" w:eastAsia="zh-CN"/>
        </w:rPr>
      </w:pPr>
      <w:r>
        <w:rPr>
          <w:rFonts w:hint="eastAsia" w:eastAsia="宋体"/>
          <w:lang w:val="en-US" w:eastAsia="zh-CN"/>
        </w:rPr>
        <w:t>若控台配置为启用，则页面同当前效果，默认进入的推广方式取决于控台默认推广方式配置。</w:t>
      </w:r>
    </w:p>
    <w:p>
      <w:r>
        <w:drawing>
          <wp:inline distT="0" distB="0" distL="114300" distR="114300">
            <wp:extent cx="1750695" cy="3890645"/>
            <wp:effectExtent l="0" t="0" r="1905" b="2095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1750695" cy="3890645"/>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若控台配置为禁用，则展示以下效果：不展示提示文字，对应位置点击不跳转，且不允许滑动进入面对面推广页面。</w:t>
      </w:r>
    </w:p>
    <w:p>
      <w:r>
        <w:drawing>
          <wp:inline distT="0" distB="0" distL="114300" distR="114300">
            <wp:extent cx="1749425" cy="3890010"/>
            <wp:effectExtent l="0" t="0" r="3175" b="21590"/>
            <wp:docPr id="9" name="图片 1" descr="/Users/hubo/Library/Containers/com.kingsoft.wpsoffice.mac/Data/tmp/photoeditapp/20240322161549/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Users/hubo/Library/Containers/com.kingsoft.wpsoffice.mac/Data/tmp/photoeditapp/20240322161549/temp.pngtemp"/>
                    <pic:cNvPicPr>
                      <a:picLocks noChangeAspect="1"/>
                    </pic:cNvPicPr>
                  </pic:nvPicPr>
                  <pic:blipFill>
                    <a:blip r:embed="rId15"/>
                    <a:stretch>
                      <a:fillRect/>
                    </a:stretch>
                  </pic:blipFill>
                  <pic:spPr>
                    <a:xfrm>
                      <a:off x="0" y="0"/>
                      <a:ext cx="1749425" cy="3890010"/>
                    </a:xfrm>
                    <a:prstGeom prst="rect">
                      <a:avLst/>
                    </a:prstGeom>
                    <a:noFill/>
                    <a:ln>
                      <a:noFill/>
                    </a:ln>
                  </pic:spPr>
                </pic:pic>
              </a:graphicData>
            </a:graphic>
          </wp:inline>
        </w:drawing>
      </w:r>
      <w:bookmarkStart w:id="0" w:name="_GoBack"/>
      <w:bookmarkEnd w:id="0"/>
    </w:p>
    <w:p>
      <w:pPr>
        <w:rPr>
          <w:rFonts w:hint="eastAsia" w:eastAsia="宋体"/>
          <w:lang w:val="en-US" w:eastAsia="zh-CN"/>
        </w:rPr>
      </w:pPr>
      <w:r>
        <w:rPr>
          <w:rFonts w:hint="eastAsia" w:eastAsia="宋体"/>
          <w:lang w:val="en-US" w:eastAsia="zh-CN"/>
        </w:rPr>
        <w:t>控台：渠道管理-渠道信息管理-新建、修改增加面对面推广配置项，枚举值：启用、禁用。</w:t>
      </w:r>
    </w:p>
    <w:p>
      <w:pPr>
        <w:rPr>
          <w:rFonts w:hint="eastAsia" w:eastAsia="宋体"/>
          <w:lang w:val="en-US" w:eastAsia="zh-CN"/>
        </w:rPr>
      </w:pPr>
      <w:r>
        <w:rPr>
          <w:rFonts w:hint="eastAsia" w:eastAsia="宋体"/>
          <w:lang w:val="en-US" w:eastAsia="zh-CN"/>
        </w:rPr>
        <w:t>位置在默认推广方式上方。</w:t>
      </w:r>
    </w:p>
    <w:p>
      <w:pPr>
        <w:rPr>
          <w:rFonts w:hint="default" w:eastAsia="宋体"/>
          <w:lang w:val="en-US" w:eastAsia="zh-CN"/>
        </w:rPr>
      </w:pPr>
      <w:r>
        <w:rPr>
          <w:rFonts w:hint="eastAsia" w:eastAsia="宋体"/>
          <w:lang w:val="en-US" w:eastAsia="zh-CN"/>
        </w:rPr>
        <w:t>当面对面推广选项未选择时，默认推广方式选项为空并处于禁用状态，不允许选择</w:t>
      </w:r>
    </w:p>
    <w:p>
      <w:pPr>
        <w:rPr>
          <w:rFonts w:hint="eastAsia" w:eastAsia="宋体"/>
          <w:lang w:val="en-US" w:eastAsia="zh-CN"/>
        </w:rPr>
      </w:pPr>
      <w:r>
        <w:rPr>
          <w:rFonts w:hint="eastAsia" w:eastAsia="宋体"/>
          <w:lang w:val="en-US" w:eastAsia="zh-CN"/>
        </w:rPr>
        <w:t>当面对面推广选项为禁用时，默认推广方式选项选中海报并处于禁用状态，不允许修改</w:t>
      </w:r>
    </w:p>
    <w:p>
      <w:pPr>
        <w:rPr>
          <w:rFonts w:hint="default" w:eastAsia="宋体"/>
          <w:lang w:val="en-US" w:eastAsia="zh-CN"/>
        </w:rPr>
      </w:pPr>
      <w:r>
        <w:rPr>
          <w:rFonts w:hint="eastAsia" w:eastAsia="宋体"/>
          <w:lang w:val="en-US" w:eastAsia="zh-CN"/>
        </w:rPr>
        <w:t>当面对面推广选项为启用时，默认推广方式选项调整为启用状态，允许选择</w:t>
      </w:r>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Tahoma">
    <w:panose1 w:val="020B0604030504040204"/>
    <w:charset w:val="00"/>
    <w:family w:val="swiss"/>
    <w:pitch w:val="default"/>
    <w:sig w:usb0="E1002AFF" w:usb1="C000605B" w:usb2="00000029" w:usb3="00000000" w:csb0="200101FF" w:csb1="20280000"/>
  </w:font>
  <w:font w:name="Lucida Grande">
    <w:panose1 w:val="020B0600040502020204"/>
    <w:charset w:val="00"/>
    <w:family w:val="auto"/>
    <w:pitch w:val="default"/>
    <w:sig w:usb0="E1000AEF" w:usb1="5000A1FF" w:usb2="00000000" w:usb3="00000000" w:csb0="200001BF" w:csb1="4F01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restart"/>
          <w:vAlign w:val="center"/>
        </w:tcPr>
        <w:p>
          <w:pPr>
            <w:pStyle w:val="13"/>
            <w:keepNext w:val="0"/>
            <w:keepLines w:val="0"/>
            <w:widowControl/>
            <w:suppressLineNumbers w:val="0"/>
            <w:spacing w:beforeAutospacing="0" w:afterAutospacing="0"/>
            <w:ind w:left="0" w:right="0"/>
            <w:jc w:val="cente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pP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3</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3"/>
            <w:keepNext w:val="0"/>
            <w:keepLines w:val="0"/>
            <w:widowControl/>
            <w:suppressLineNumbers w:val="0"/>
            <w:spacing w:beforeAutospacing="0" w:afterAutospacing="0"/>
            <w:ind w:left="0" w:right="0"/>
            <w:rPr>
              <w:rFonts w:hint="default"/>
            </w:rPr>
          </w:pPr>
        </w:p>
      </w:tc>
    </w:tr>
    <w:t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continue"/>
          <w:vAlign w:val="center"/>
        </w:tcPr>
        <w:p>
          <w:pPr>
            <w:pStyle w:val="13"/>
            <w:keepNext w:val="0"/>
            <w:keepLines w:val="0"/>
            <w:widowControl/>
            <w:suppressLineNumbers w:val="0"/>
            <w:spacing w:beforeAutospacing="0" w:afterAutospacing="0"/>
            <w:ind w:left="0" w:right="0"/>
            <w:jc w:val="center"/>
            <w:rPr>
              <w:rFonts w:hint="default"/>
            </w:rPr>
          </w:pPr>
        </w:p>
      </w:tc>
      <w:tc>
        <w:tcPr>
          <w:tcW w:w="2214" w:type="pct"/>
        </w:tcPr>
        <w:p>
          <w:pPr>
            <w:pStyle w:val="13"/>
            <w:keepNext w:val="0"/>
            <w:keepLines w:val="0"/>
            <w:widowControl/>
            <w:suppressLineNumbers w:val="0"/>
            <w:spacing w:beforeAutospacing="0" w:afterAutospacing="0"/>
            <w:ind w:left="0" w:right="0"/>
            <w:rPr>
              <w:rFonts w:hint="default"/>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1"/>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alias w:val="Title"/>
            <w:id w:val="436407044"/>
            <w:text/>
          </w:sdtPr>
          <w:sdtEnd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sdtEndPr>
          <w:sdtContent>
            <w:p>
              <w:pPr>
                <w:pStyle w:val="37"/>
                <w:keepNext w:val="0"/>
                <w:keepLines w:val="0"/>
                <w:widowControl/>
                <w:suppressLineNumbers w:val="0"/>
                <w:spacing w:before="0" w:beforeAutospacing="0" w:after="0" w:afterAutospacing="0"/>
                <w:ind w:left="0" w:right="0"/>
                <w:rPr>
                  <w:rFonts w:hint="default" w:asciiTheme="majorHAnsi" w:hAnsiTheme="majorHAnsi"/>
                </w:rPr>
              </w:pPr>
              <w:r>
                <w:rPr>
                  <w:rFonts w:hint="default"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86B65CA"/>
    <w:multiLevelType w:val="multilevel"/>
    <w:tmpl w:val="786B65CA"/>
    <w:lvl w:ilvl="0" w:tentative="0">
      <w:start w:val="1"/>
      <w:numFmt w:val="decimal"/>
      <w:pStyle w:val="25"/>
      <w:suff w:val="space"/>
      <w:lvlText w:val="%1."/>
      <w:lvlJc w:val="left"/>
      <w:pPr>
        <w:tabs>
          <w:tab w:val="left" w:pos="360"/>
        </w:tabs>
        <w:ind w:left="0" w:firstLine="0"/>
      </w:pPr>
    </w:lvl>
    <w:lvl w:ilvl="1" w:tentative="0">
      <w:start w:val="1"/>
      <w:numFmt w:val="decimal"/>
      <w:pStyle w:val="26"/>
      <w:suff w:val="space"/>
      <w:lvlText w:val="%1.%2."/>
      <w:lvlJc w:val="left"/>
      <w:pPr>
        <w:tabs>
          <w:tab w:val="left" w:pos="792"/>
        </w:tabs>
        <w:ind w:left="0" w:firstLine="0"/>
      </w:pPr>
    </w:lvl>
    <w:lvl w:ilvl="2" w:tentative="0">
      <w:start w:val="1"/>
      <w:numFmt w:val="decimal"/>
      <w:pStyle w:val="27"/>
      <w:suff w:val="space"/>
      <w:lvlText w:val="%1.%2.%3."/>
      <w:lvlJc w:val="left"/>
      <w:pPr>
        <w:tabs>
          <w:tab w:val="left" w:pos="1440"/>
        </w:tabs>
        <w:ind w:left="0" w:firstLine="0"/>
      </w:pPr>
    </w:lvl>
    <w:lvl w:ilvl="3" w:tentative="0">
      <w:start w:val="1"/>
      <w:numFmt w:val="decimal"/>
      <w:pStyle w:val="28"/>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90"/>
  <w:displayHorizontalDrawingGridEvery w:val="0"/>
  <w:displayVerticalDrawingGridEvery w:val="2"/>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4OGQzM2U5ZjU5YTUyMTk3MmE1MzdiM2I0Zjk5Yjc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4BD38C2"/>
    <w:rsid w:val="0B153DFF"/>
    <w:rsid w:val="0DD84DFE"/>
    <w:rsid w:val="0F3FBBA0"/>
    <w:rsid w:val="10635C65"/>
    <w:rsid w:val="122FF843"/>
    <w:rsid w:val="13DCFB99"/>
    <w:rsid w:val="15AF157A"/>
    <w:rsid w:val="179E67AB"/>
    <w:rsid w:val="1A1D6E85"/>
    <w:rsid w:val="1B777675"/>
    <w:rsid w:val="1D911343"/>
    <w:rsid w:val="1F4B9F76"/>
    <w:rsid w:val="1F7051C4"/>
    <w:rsid w:val="1FFDE27F"/>
    <w:rsid w:val="227B3DFE"/>
    <w:rsid w:val="28FE5094"/>
    <w:rsid w:val="2F7D09B8"/>
    <w:rsid w:val="2FF7145A"/>
    <w:rsid w:val="352D95DA"/>
    <w:rsid w:val="36DA1DB0"/>
    <w:rsid w:val="36DFC955"/>
    <w:rsid w:val="37411FAD"/>
    <w:rsid w:val="37DDACC3"/>
    <w:rsid w:val="38A55CCB"/>
    <w:rsid w:val="3AAE7109"/>
    <w:rsid w:val="3BED44B1"/>
    <w:rsid w:val="3BF53502"/>
    <w:rsid w:val="3D3F3B41"/>
    <w:rsid w:val="3D89020A"/>
    <w:rsid w:val="3DD9DE67"/>
    <w:rsid w:val="3DFD37EE"/>
    <w:rsid w:val="3E7FAC2B"/>
    <w:rsid w:val="3EBE39D2"/>
    <w:rsid w:val="3EBF8964"/>
    <w:rsid w:val="3ECFF895"/>
    <w:rsid w:val="3EDF1828"/>
    <w:rsid w:val="3F3F39EA"/>
    <w:rsid w:val="3FB77B42"/>
    <w:rsid w:val="3FFBFAA3"/>
    <w:rsid w:val="3FFCD30D"/>
    <w:rsid w:val="3FFF45DE"/>
    <w:rsid w:val="443A2A91"/>
    <w:rsid w:val="45AECCC7"/>
    <w:rsid w:val="47FB1C56"/>
    <w:rsid w:val="4A82324B"/>
    <w:rsid w:val="4B750116"/>
    <w:rsid w:val="4EF9BF58"/>
    <w:rsid w:val="4F7F4C58"/>
    <w:rsid w:val="4F7FCCCE"/>
    <w:rsid w:val="4FAB1650"/>
    <w:rsid w:val="4FFC76C8"/>
    <w:rsid w:val="53FD79A1"/>
    <w:rsid w:val="55DD93BC"/>
    <w:rsid w:val="55F7069D"/>
    <w:rsid w:val="577FFFA6"/>
    <w:rsid w:val="57A75A04"/>
    <w:rsid w:val="57AF7F34"/>
    <w:rsid w:val="57FFF441"/>
    <w:rsid w:val="592B61C1"/>
    <w:rsid w:val="59374B66"/>
    <w:rsid w:val="5A4E382E"/>
    <w:rsid w:val="5BBFD0C0"/>
    <w:rsid w:val="5BE733F0"/>
    <w:rsid w:val="5BF78C4A"/>
    <w:rsid w:val="5D638F94"/>
    <w:rsid w:val="5D991C65"/>
    <w:rsid w:val="5DB8E684"/>
    <w:rsid w:val="5DBB8C98"/>
    <w:rsid w:val="5DBFEC95"/>
    <w:rsid w:val="5DE1AF78"/>
    <w:rsid w:val="5EAADE67"/>
    <w:rsid w:val="5ECC69D0"/>
    <w:rsid w:val="5EFD8577"/>
    <w:rsid w:val="5EFFA302"/>
    <w:rsid w:val="5F6311F6"/>
    <w:rsid w:val="5FC5111D"/>
    <w:rsid w:val="5FDD1BF4"/>
    <w:rsid w:val="5FFDEC69"/>
    <w:rsid w:val="62F45876"/>
    <w:rsid w:val="63ED469E"/>
    <w:rsid w:val="63FB87DF"/>
    <w:rsid w:val="64040FFF"/>
    <w:rsid w:val="65167D25"/>
    <w:rsid w:val="657F9B6D"/>
    <w:rsid w:val="65FFEE2D"/>
    <w:rsid w:val="6BD78CC1"/>
    <w:rsid w:val="6BFDADD3"/>
    <w:rsid w:val="6DE8ECF5"/>
    <w:rsid w:val="6E61A2CC"/>
    <w:rsid w:val="6EDCF3CC"/>
    <w:rsid w:val="6EF7F3BA"/>
    <w:rsid w:val="6FEE8442"/>
    <w:rsid w:val="6FFEACBF"/>
    <w:rsid w:val="73EF579A"/>
    <w:rsid w:val="74FB85AA"/>
    <w:rsid w:val="7568A413"/>
    <w:rsid w:val="75E717A1"/>
    <w:rsid w:val="779D7EAF"/>
    <w:rsid w:val="797FDA64"/>
    <w:rsid w:val="79CBA17E"/>
    <w:rsid w:val="79DBF48C"/>
    <w:rsid w:val="7B37C665"/>
    <w:rsid w:val="7B3F1108"/>
    <w:rsid w:val="7BF637EF"/>
    <w:rsid w:val="7BF7A20A"/>
    <w:rsid w:val="7BFF9F92"/>
    <w:rsid w:val="7CA65320"/>
    <w:rsid w:val="7DE7E541"/>
    <w:rsid w:val="7DF53A08"/>
    <w:rsid w:val="7DF5DB6F"/>
    <w:rsid w:val="7E05038E"/>
    <w:rsid w:val="7E2EE1F8"/>
    <w:rsid w:val="7E6F760C"/>
    <w:rsid w:val="7EA76626"/>
    <w:rsid w:val="7EAFD3A2"/>
    <w:rsid w:val="7EB69D70"/>
    <w:rsid w:val="7ED348BC"/>
    <w:rsid w:val="7ED37CE2"/>
    <w:rsid w:val="7EEF3593"/>
    <w:rsid w:val="7EF3CD48"/>
    <w:rsid w:val="7EFED9F9"/>
    <w:rsid w:val="7F1729A4"/>
    <w:rsid w:val="7F6F052B"/>
    <w:rsid w:val="7F793FB4"/>
    <w:rsid w:val="7F7E718A"/>
    <w:rsid w:val="7FA0939E"/>
    <w:rsid w:val="7FA5FBC5"/>
    <w:rsid w:val="7FAD203B"/>
    <w:rsid w:val="7FDF3F8C"/>
    <w:rsid w:val="7FDF516A"/>
    <w:rsid w:val="7FE456E3"/>
    <w:rsid w:val="7FFD0735"/>
    <w:rsid w:val="7FFF0504"/>
    <w:rsid w:val="86F7B8E4"/>
    <w:rsid w:val="8EEA9FED"/>
    <w:rsid w:val="8EF7286B"/>
    <w:rsid w:val="8F31F7B1"/>
    <w:rsid w:val="8FCF4917"/>
    <w:rsid w:val="8FD0429A"/>
    <w:rsid w:val="8FFABDB8"/>
    <w:rsid w:val="977EFF14"/>
    <w:rsid w:val="97FB2544"/>
    <w:rsid w:val="9DF60031"/>
    <w:rsid w:val="9F3BD2A6"/>
    <w:rsid w:val="9F9F4049"/>
    <w:rsid w:val="9FF50FCE"/>
    <w:rsid w:val="9FFF0798"/>
    <w:rsid w:val="A97F818A"/>
    <w:rsid w:val="AEBED28B"/>
    <w:rsid w:val="AF3E1943"/>
    <w:rsid w:val="AF7D9DE3"/>
    <w:rsid w:val="AFCF22B5"/>
    <w:rsid w:val="AFEBF807"/>
    <w:rsid w:val="B3FAF705"/>
    <w:rsid w:val="B6F625C8"/>
    <w:rsid w:val="B747F614"/>
    <w:rsid w:val="B7FED67D"/>
    <w:rsid w:val="BAEFC2B0"/>
    <w:rsid w:val="BAFDC9CD"/>
    <w:rsid w:val="BBFFD090"/>
    <w:rsid w:val="BE5D470D"/>
    <w:rsid w:val="BE9FA14C"/>
    <w:rsid w:val="BFBF0BF7"/>
    <w:rsid w:val="BFDF99AE"/>
    <w:rsid w:val="CE7FC2CF"/>
    <w:rsid w:val="CEEE23A6"/>
    <w:rsid w:val="CEEEB420"/>
    <w:rsid w:val="CFF53FA5"/>
    <w:rsid w:val="D57DD2B6"/>
    <w:rsid w:val="D5FE8C04"/>
    <w:rsid w:val="D7F37632"/>
    <w:rsid w:val="D9AFF43F"/>
    <w:rsid w:val="D9FBA566"/>
    <w:rsid w:val="D9FF1C85"/>
    <w:rsid w:val="DBBF6681"/>
    <w:rsid w:val="DBBFC11A"/>
    <w:rsid w:val="DBFF08C1"/>
    <w:rsid w:val="DC5E8875"/>
    <w:rsid w:val="DCEFF83E"/>
    <w:rsid w:val="DD8FA973"/>
    <w:rsid w:val="DDCBFD86"/>
    <w:rsid w:val="DDF290A7"/>
    <w:rsid w:val="DEC724C0"/>
    <w:rsid w:val="DEFBD2BE"/>
    <w:rsid w:val="DF5F069A"/>
    <w:rsid w:val="DFEDC625"/>
    <w:rsid w:val="DFFE927F"/>
    <w:rsid w:val="E49A7684"/>
    <w:rsid w:val="E6573DB3"/>
    <w:rsid w:val="E75ABF42"/>
    <w:rsid w:val="E7F46BBB"/>
    <w:rsid w:val="E7F7E697"/>
    <w:rsid w:val="E7FF68E5"/>
    <w:rsid w:val="E9F75660"/>
    <w:rsid w:val="EA9B4DC0"/>
    <w:rsid w:val="EBFF57E2"/>
    <w:rsid w:val="ECF5EEB2"/>
    <w:rsid w:val="EFB7BAF4"/>
    <w:rsid w:val="EFDA785B"/>
    <w:rsid w:val="EFFF7B6A"/>
    <w:rsid w:val="F3BF70B9"/>
    <w:rsid w:val="F578ACE3"/>
    <w:rsid w:val="F67EDA16"/>
    <w:rsid w:val="F77FB540"/>
    <w:rsid w:val="F7DFFABA"/>
    <w:rsid w:val="F7ED7316"/>
    <w:rsid w:val="FB165D5E"/>
    <w:rsid w:val="FB77CD13"/>
    <w:rsid w:val="FB87A72E"/>
    <w:rsid w:val="FB9C9EE1"/>
    <w:rsid w:val="FB9F076E"/>
    <w:rsid w:val="FBBB8722"/>
    <w:rsid w:val="FBF7FC5B"/>
    <w:rsid w:val="FBFEE361"/>
    <w:rsid w:val="FBFF4F24"/>
    <w:rsid w:val="FC9EE08D"/>
    <w:rsid w:val="FD7FB607"/>
    <w:rsid w:val="FDBE7854"/>
    <w:rsid w:val="FDBF1568"/>
    <w:rsid w:val="FDF65777"/>
    <w:rsid w:val="FDFFE825"/>
    <w:rsid w:val="FE7FE378"/>
    <w:rsid w:val="FEBB7710"/>
    <w:rsid w:val="FF3AF5CB"/>
    <w:rsid w:val="FF8985B8"/>
    <w:rsid w:val="FF9B7EFC"/>
    <w:rsid w:val="FF9FDA93"/>
    <w:rsid w:val="FFAE0C27"/>
    <w:rsid w:val="FFB3A4AE"/>
    <w:rsid w:val="FFB706F8"/>
    <w:rsid w:val="FFBFD1BD"/>
    <w:rsid w:val="FFCAAB5B"/>
    <w:rsid w:val="FFDBD492"/>
    <w:rsid w:val="FFE3CA4E"/>
    <w:rsid w:val="FFEF5C74"/>
    <w:rsid w:val="FFFE3033"/>
    <w:rsid w:val="FFFEE3F3"/>
    <w:rsid w:val="FFFFC8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4"/>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5"/>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2">
    <w:name w:val="Default Paragraph Font"/>
    <w:semiHidden/>
    <w:unhideWhenUsed/>
    <w:qFormat/>
    <w:uiPriority w:val="1"/>
  </w:style>
  <w:style w:type="table" w:default="1" w:styleId="20">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Document Map"/>
    <w:basedOn w:val="1"/>
    <w:semiHidden/>
    <w:qFormat/>
    <w:uiPriority w:val="0"/>
    <w:pPr>
      <w:shd w:val="clear" w:color="auto" w:fill="000080"/>
    </w:pPr>
    <w:rPr>
      <w:rFonts w:ascii="Tahoma" w:hAnsi="Tahoma" w:cs="Tahoma"/>
      <w:sz w:val="20"/>
      <w:szCs w:val="20"/>
    </w:rPr>
  </w:style>
  <w:style w:type="paragraph" w:styleId="10">
    <w:name w:val="toc 5"/>
    <w:basedOn w:val="1"/>
    <w:next w:val="1"/>
    <w:semiHidden/>
    <w:qFormat/>
    <w:uiPriority w:val="0"/>
    <w:pPr>
      <w:spacing w:line="360" w:lineRule="auto"/>
      <w:ind w:left="960"/>
    </w:pPr>
  </w:style>
  <w:style w:type="paragraph" w:styleId="11">
    <w:name w:val="toc 3"/>
    <w:basedOn w:val="1"/>
    <w:next w:val="1"/>
    <w:qFormat/>
    <w:uiPriority w:val="39"/>
    <w:pPr>
      <w:spacing w:line="360" w:lineRule="auto"/>
      <w:ind w:left="480"/>
    </w:pPr>
  </w:style>
  <w:style w:type="paragraph" w:styleId="12">
    <w:name w:val="Balloon Text"/>
    <w:basedOn w:val="1"/>
    <w:link w:val="32"/>
    <w:qFormat/>
    <w:uiPriority w:val="0"/>
    <w:rPr>
      <w:rFonts w:ascii="Tahoma" w:hAnsi="Tahoma" w:cs="Tahoma"/>
      <w:sz w:val="16"/>
      <w:szCs w:val="16"/>
    </w:rPr>
  </w:style>
  <w:style w:type="paragraph" w:styleId="13">
    <w:name w:val="footer"/>
    <w:basedOn w:val="1"/>
    <w:link w:val="40"/>
    <w:qFormat/>
    <w:uiPriority w:val="99"/>
    <w:pPr>
      <w:tabs>
        <w:tab w:val="center" w:pos="4680"/>
        <w:tab w:val="right" w:pos="9360"/>
      </w:tabs>
      <w:spacing w:before="0" w:after="0"/>
    </w:pPr>
  </w:style>
  <w:style w:type="paragraph" w:styleId="14">
    <w:name w:val="header"/>
    <w:basedOn w:val="1"/>
    <w:link w:val="39"/>
    <w:qFormat/>
    <w:uiPriority w:val="99"/>
    <w:pPr>
      <w:tabs>
        <w:tab w:val="center" w:pos="4680"/>
        <w:tab w:val="right" w:pos="9360"/>
      </w:tabs>
      <w:spacing w:before="0" w:after="0"/>
    </w:pPr>
  </w:style>
  <w:style w:type="paragraph" w:styleId="15">
    <w:name w:val="toc 1"/>
    <w:basedOn w:val="1"/>
    <w:next w:val="1"/>
    <w:qFormat/>
    <w:uiPriority w:val="39"/>
    <w:pPr>
      <w:spacing w:line="360" w:lineRule="auto"/>
    </w:pPr>
    <w:rPr>
      <w:b/>
    </w:rPr>
  </w:style>
  <w:style w:type="paragraph" w:styleId="16">
    <w:name w:val="toc 4"/>
    <w:basedOn w:val="1"/>
    <w:next w:val="1"/>
    <w:qFormat/>
    <w:uiPriority w:val="39"/>
    <w:pPr>
      <w:spacing w:line="360" w:lineRule="auto"/>
      <w:ind w:left="720"/>
    </w:pPr>
  </w:style>
  <w:style w:type="paragraph" w:styleId="17">
    <w:name w:val="toc 2"/>
    <w:basedOn w:val="1"/>
    <w:next w:val="1"/>
    <w:qFormat/>
    <w:uiPriority w:val="39"/>
    <w:pPr>
      <w:spacing w:line="360" w:lineRule="auto"/>
      <w:ind w:left="240"/>
    </w:pPr>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Hyperlink"/>
    <w:basedOn w:val="22"/>
    <w:qFormat/>
    <w:uiPriority w:val="99"/>
    <w:rPr>
      <w:color w:val="0000FF"/>
      <w:u w:val="single"/>
    </w:rPr>
  </w:style>
  <w:style w:type="paragraph" w:customStyle="1" w:styleId="24">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5">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6">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7">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8">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9">
    <w:name w:val="AxureTableHeaderText"/>
    <w:basedOn w:val="1"/>
    <w:qFormat/>
    <w:uiPriority w:val="0"/>
    <w:pPr>
      <w:spacing w:before="60" w:after="60"/>
    </w:pPr>
    <w:rPr>
      <w:b/>
      <w:sz w:val="16"/>
    </w:rPr>
  </w:style>
  <w:style w:type="paragraph" w:customStyle="1" w:styleId="30">
    <w:name w:val="AxureTableNormalText"/>
    <w:basedOn w:val="1"/>
    <w:qFormat/>
    <w:uiPriority w:val="0"/>
    <w:pPr>
      <w:spacing w:before="60" w:after="60"/>
    </w:pPr>
    <w:rPr>
      <w:sz w:val="16"/>
    </w:rPr>
  </w:style>
  <w:style w:type="paragraph" w:customStyle="1" w:styleId="31">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2">
    <w:name w:val="Balloon Text Char"/>
    <w:basedOn w:val="22"/>
    <w:link w:val="12"/>
    <w:qFormat/>
    <w:uiPriority w:val="0"/>
    <w:rPr>
      <w:rFonts w:ascii="Tahoma" w:hAnsi="Tahoma" w:cs="Tahoma"/>
      <w:sz w:val="16"/>
      <w:szCs w:val="16"/>
    </w:rPr>
  </w:style>
  <w:style w:type="table" w:customStyle="1" w:styleId="33">
    <w:name w:val="AxureTableStyle"/>
    <w:basedOn w:val="20"/>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4">
    <w:name w:val="Heading 4 Char"/>
    <w:basedOn w:val="22"/>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5">
    <w:name w:val="Heading 5 Char"/>
    <w:basedOn w:val="22"/>
    <w:link w:val="6"/>
    <w:qFormat/>
    <w:uiPriority w:val="0"/>
    <w:rPr>
      <w:rFonts w:asciiTheme="majorHAnsi" w:hAnsiTheme="majorHAnsi" w:eastAsiaTheme="majorEastAsia" w:cstheme="majorBidi"/>
      <w:color w:val="254061" w:themeColor="accent1" w:themeShade="80"/>
      <w:sz w:val="18"/>
      <w:szCs w:val="24"/>
    </w:rPr>
  </w:style>
  <w:style w:type="paragraph" w:customStyle="1" w:styleId="36">
    <w:name w:val="AxureImageParagraph"/>
    <w:basedOn w:val="1"/>
    <w:qFormat/>
    <w:uiPriority w:val="0"/>
    <w:pPr>
      <w:jc w:val="center"/>
    </w:pPr>
  </w:style>
  <w:style w:type="paragraph" w:styleId="37">
    <w:name w:val="No Spacing"/>
    <w:link w:val="38"/>
    <w:qFormat/>
    <w:uiPriority w:val="1"/>
    <w:rPr>
      <w:rFonts w:asciiTheme="minorHAnsi" w:hAnsiTheme="minorHAnsi" w:eastAsiaTheme="minorEastAsia" w:cstheme="minorBidi"/>
      <w:sz w:val="22"/>
      <w:szCs w:val="22"/>
      <w:lang w:val="en-US" w:eastAsia="en-US" w:bidi="ar-SA"/>
    </w:rPr>
  </w:style>
  <w:style w:type="character" w:customStyle="1" w:styleId="38">
    <w:name w:val="No Spacing Char"/>
    <w:basedOn w:val="22"/>
    <w:link w:val="37"/>
    <w:qFormat/>
    <w:uiPriority w:val="1"/>
    <w:rPr>
      <w:rFonts w:asciiTheme="minorHAnsi" w:hAnsiTheme="minorHAnsi" w:eastAsiaTheme="minorEastAsia" w:cstheme="minorBidi"/>
      <w:sz w:val="22"/>
      <w:szCs w:val="22"/>
    </w:rPr>
  </w:style>
  <w:style w:type="character" w:customStyle="1" w:styleId="39">
    <w:name w:val="Header Char"/>
    <w:basedOn w:val="22"/>
    <w:link w:val="14"/>
    <w:qFormat/>
    <w:uiPriority w:val="99"/>
    <w:rPr>
      <w:rFonts w:ascii="Arial" w:hAnsi="Arial" w:cs="Arial"/>
      <w:sz w:val="18"/>
      <w:szCs w:val="24"/>
    </w:rPr>
  </w:style>
  <w:style w:type="character" w:customStyle="1" w:styleId="40">
    <w:name w:val="Footer Char"/>
    <w:basedOn w:val="22"/>
    <w:link w:val="13"/>
    <w:qFormat/>
    <w:uiPriority w:val="99"/>
    <w:rPr>
      <w:rFonts w:ascii="Arial" w:hAnsi="Arial" w:cs="Arial"/>
      <w:sz w:val="18"/>
      <w:szCs w:val="24"/>
    </w:rPr>
  </w:style>
  <w:style w:type="character" w:styleId="41">
    <w:name w:val="Placeholder Text"/>
    <w:basedOn w:val="22"/>
    <w:semiHidden/>
    <w:qFormat/>
    <w:uiPriority w:val="99"/>
    <w:rPr>
      <w:color w:val="808080"/>
    </w:rPr>
  </w:style>
  <w:style w:type="paragraph" w:customStyle="1" w:styleId="42">
    <w:name w:val="AxureHiddenParagraph"/>
    <w:basedOn w:val="1"/>
    <w:qFormat/>
    <w:uiPriority w:val="0"/>
    <w:pPr>
      <w:spacing w:before="0" w:after="0"/>
    </w:pPr>
    <w:rPr>
      <w:sz w:val="2"/>
    </w:rPr>
  </w:style>
  <w:style w:type="paragraph" w:customStyle="1" w:styleId="43">
    <w:name w:val="Axure一级标题"/>
    <w:basedOn w:val="1"/>
    <w:qFormat/>
    <w:uiPriority w:val="0"/>
    <w:pPr>
      <w:spacing w:after="240"/>
      <w:outlineLvl w:val="0"/>
    </w:pPr>
    <w:rPr>
      <w:b/>
      <w:color w:val="auto"/>
      <w:sz w:val="28"/>
    </w:rPr>
  </w:style>
  <w:style w:type="paragraph" w:customStyle="1" w:styleId="44">
    <w:name w:val="AxureHeading21"/>
    <w:basedOn w:val="1"/>
    <w:qFormat/>
    <w:uiPriority w:val="0"/>
    <w:pPr>
      <w:outlineLvl w:val="1"/>
    </w:pPr>
    <w:rPr>
      <w:b/>
      <w:color w:val="auto"/>
      <w:sz w:val="26"/>
    </w:rPr>
  </w:style>
  <w:style w:type="paragraph" w:customStyle="1" w:styleId="45">
    <w:name w:val="AxureHeading31"/>
    <w:basedOn w:val="1"/>
    <w:qFormat/>
    <w:uiPriority w:val="0"/>
    <w:pPr>
      <w:spacing w:before="240"/>
      <w:outlineLvl w:val="2"/>
    </w:pPr>
    <w:rPr>
      <w:b/>
      <w:color w:val="auto"/>
      <w:szCs w:val="20"/>
    </w:rPr>
  </w:style>
  <w:style w:type="paragraph" w:customStyle="1" w:styleId="46">
    <w:name w:val="AxureHeading41"/>
    <w:basedOn w:val="1"/>
    <w:qFormat/>
    <w:uiPriority w:val="0"/>
    <w:pPr>
      <w:spacing w:before="240"/>
      <w:outlineLvl w:val="3"/>
    </w:pPr>
    <w:rPr>
      <w:b/>
      <w:i/>
      <w:color w:val="auto"/>
      <w:sz w:val="20"/>
    </w:rPr>
  </w:style>
  <w:style w:type="paragraph" w:customStyle="1" w:styleId="47">
    <w:name w:val="Axure表格标题文字"/>
    <w:basedOn w:val="1"/>
    <w:qFormat/>
    <w:uiPriority w:val="0"/>
    <w:pPr>
      <w:spacing w:before="60" w:after="60"/>
    </w:pPr>
    <w:rPr>
      <w:b/>
      <w:sz w:val="16"/>
    </w:rPr>
  </w:style>
  <w:style w:type="paragraph" w:customStyle="1" w:styleId="48">
    <w:name w:val="Axure表格常规文字"/>
    <w:basedOn w:val="1"/>
    <w:qFormat/>
    <w:uiPriority w:val="0"/>
    <w:pPr>
      <w:spacing w:before="60" w:after="60"/>
    </w:pPr>
    <w:rPr>
      <w:sz w:val="16"/>
    </w:rPr>
  </w:style>
  <w:style w:type="paragraph" w:customStyle="1" w:styleId="49">
    <w:name w:val="Axure基本标题"/>
    <w:basedOn w:val="1"/>
    <w:qFormat/>
    <w:uiPriority w:val="0"/>
    <w:pPr>
      <w:spacing w:before="240"/>
    </w:pPr>
    <w:rPr>
      <w:b/>
      <w:u w:val="single"/>
    </w:rPr>
  </w:style>
  <w:style w:type="table" w:customStyle="1" w:styleId="50">
    <w:name w:val="Axure表格样式"/>
    <w:basedOn w:val="20"/>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3494</Words>
  <Characters>3590</Characters>
  <Lines>1</Lines>
  <Paragraphs>1</Paragraphs>
  <TotalTime>8</TotalTime>
  <ScaleCrop>false</ScaleCrop>
  <LinksUpToDate>false</LinksUpToDate>
  <CharactersWithSpaces>3700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2010-10-19T13:47:00Z</dcterms:created>
  <dc:creator>[Your Name]</dc:creator>
  <cp:lastModifiedBy>风过之痕</cp:lastModifiedBy>
  <cp:lastPrinted>2010-10-18T16:33:00Z</cp:lastPrinted>
  <dcterms:modified xsi:type="dcterms:W3CDTF">2024-03-22T16:16:15Z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26E8800BB2A53D1EAD85F863DB4D9814</vt:lpwstr>
  </property>
</Properties>
</file>