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趣伴卡开放订单反查总入口页面接口</w:t>
      </w:r>
      <w:r>
        <w:rPr>
          <w:rFonts w:hint="eastAsia" w:eastAsia="宋体"/>
          <w:sz w:val="36"/>
          <w:szCs w:val="36"/>
          <w:lang w:val="en-US" w:eastAsia="zh-CN"/>
        </w:rPr>
        <w:t>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目前H5方式接入的合作方，若未使用我们的“我的”页面，业务员将无法发起反查，导致反查效率较低，因此需提供反查入口h5链接给合作方</w:t>
      </w:r>
    </w:p>
    <w:p>
      <w:pPr>
        <w:numPr>
          <w:ilvl w:val="0"/>
          <w:numId w:val="3"/>
        </w:numP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订单反查更新三要素时，未处理api链接的订单中的三要素信息，需补充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订单反查入口页面，允许h5接口，h5+接口两种方式接入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</w:pP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H5接口示例链接：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instrText xml:space="preserve"> HYPERLINK "https://gocard.lakala.com/api/channel?c=XXX&amp;u=XXX" </w:instrTex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separate"/>
      </w:r>
      <w:r>
        <w:rPr>
          <w:rStyle w:val="22"/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https://gocard.lakala.com/api/channel?c=XXX&amp;u=XXX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</w:pP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H5+接口示例链接：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instrText xml:space="preserve"> HYPERLINK "https://qbk.wsmsd.cn/qbk/index.html#/cardHome?token=l77dbfe696100f6eef615870ed3c2df2d&amp;channelId=SZHB&amp;random=11872022025029591049128301" </w:instrTex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separate"/>
      </w:r>
      <w:r>
        <w:rPr>
          <w:rStyle w:val="22"/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t>https://qbk.wsmsd.cn/qbk/index.html#/cardHome?token=l77dbfe696100f6eef615870ed3c2df2d&amp;channelId=SZHB&amp;random=11872022025029591049128301</w:t>
      </w:r>
      <w:r>
        <w:rPr>
          <w:rFonts w:hint="eastAsia" w:ascii="宋体" w:hAnsi="宋体" w:eastAsia="宋体" w:cs="宋体"/>
          <w:color w:val="A21414"/>
          <w:sz w:val="15"/>
          <w:szCs w:val="15"/>
          <w:shd w:val="clear" w:color="auto" w:fill="FFFFFD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054225" cy="45662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订单反查功能修改了申请人三要素信息后，除更新申请人信息外，还需更新订单上（包括api订单数据）的三要素信息，以使建行数据匹配时可以使用新的三要素信息进行匹配。</w:t>
      </w:r>
    </w:p>
    <w:p>
      <w:pPr>
        <w:pStyle w:val="18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 w:line="30" w:lineRule="atLeast"/>
        <w:ind w:left="126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办卡、产品订单批量修改功能，完成后，若订单所属渠道开启了通知，需将最新状态推送至所配置接口地址。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FB0558"/>
    <w:multiLevelType w:val="singleLevel"/>
    <w:tmpl w:val="E3FB055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994D59"/>
    <w:rsid w:val="1FFDE27F"/>
    <w:rsid w:val="227B3DFE"/>
    <w:rsid w:val="28FE5094"/>
    <w:rsid w:val="2F7D09B8"/>
    <w:rsid w:val="2FF7145A"/>
    <w:rsid w:val="352D95DA"/>
    <w:rsid w:val="36DA1DB0"/>
    <w:rsid w:val="36DFC955"/>
    <w:rsid w:val="36F3A75A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3CD48"/>
    <w:rsid w:val="7EFED9F9"/>
    <w:rsid w:val="7F1729A4"/>
    <w:rsid w:val="7F6F052B"/>
    <w:rsid w:val="7F793FB4"/>
    <w:rsid w:val="7F7E718A"/>
    <w:rsid w:val="7FA0939E"/>
    <w:rsid w:val="7FA5FBC5"/>
    <w:rsid w:val="7FAD203B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6FF650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578ACE3"/>
    <w:rsid w:val="F67EDA16"/>
    <w:rsid w:val="F6FE6CA5"/>
    <w:rsid w:val="F77FB540"/>
    <w:rsid w:val="F7DFFABA"/>
    <w:rsid w:val="F7ED7316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BF1568"/>
    <w:rsid w:val="FDF65777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2010-10-17T13:47:00Z</dcterms:created>
  <dc:creator>[Your Name]</dc:creator>
  <cp:lastModifiedBy>风过之痕</cp:lastModifiedBy>
  <cp:lastPrinted>2010-10-16T16:33:00Z</cp:lastPrinted>
  <dcterms:modified xsi:type="dcterms:W3CDTF">2024-03-14T09:04:52Z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