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线下获取链接团队日结数据匹配需</w:t>
      </w:r>
      <w:r>
        <w:rPr>
          <w:rFonts w:hint="eastAsia" w:eastAsia="宋体"/>
          <w:sz w:val="36"/>
          <w:szCs w:val="36"/>
          <w:lang w:val="en-US" w:eastAsia="zh-CN"/>
        </w:rPr>
        <w:t>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为杜绝人工处理数据可能得失误问题，需导入各链接代码的明细数据，通过链接代码匹配到对应合作方，并生成结算单来进行结算。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bidi w:val="0"/>
        <w:ind w:firstLine="265" w:firstLineChars="0"/>
        <w:jc w:val="left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趣伴卡控台渠道管理-新增“团队长渠道链接代码管理”菜单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6253480" cy="1695450"/>
            <wp:effectExtent l="0" t="0" r="2032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筛选项：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产品类型、产品名称（含银行名称）、渠道名称、合作方编号、链接代码、状态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渠道名称下拉框仅展示分润类型为团队长模式的渠道。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功能：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搜索、新建、重置、批量导入、导出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查询：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展示配置编号、产品类型、产品名称、渠道名称、合作方编号、链接代码、开始日期、截止日期、状态、操作栏</w:t>
      </w:r>
    </w:p>
    <w:p>
      <w:pPr>
        <w:numPr>
          <w:ilvl w:val="0"/>
          <w:numId w:val="0"/>
        </w:numPr>
        <w:bidi w:val="0"/>
        <w:ind w:firstLine="720" w:firstLineChars="0"/>
        <w:jc w:val="left"/>
      </w:pPr>
      <w:r>
        <w:rPr>
          <w:rFonts w:hint="eastAsia" w:eastAsia="宋体"/>
          <w:lang w:val="en-US" w:eastAsia="zh-CN"/>
        </w:rPr>
        <w:t>新建修改功能：</w:t>
      </w:r>
    </w:p>
    <w:p>
      <w:pPr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建时，判断同一个产品+渠道+合作方+起止时间段在启用中的只能有一条，不要求连续，但不允许重叠。渠道名称下拉框仅展示分润类型为团队长模式的渠道。同一个产品+链接代码/渠道识别码+起止时间段在启用中的只能有一条，不能同时分配给多个合作方。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接入类型选择H5接入时，下方为链接代码输入框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4429125" cy="2376805"/>
            <wp:effectExtent l="0" t="0" r="15875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接入类型选择API接入时，下方输入框为渠道识别码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4405630" cy="2266950"/>
            <wp:effectExtent l="0" t="0" r="1397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批量导入功能：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776595" cy="2193290"/>
            <wp:effectExtent l="0" t="0" r="1460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数据模板：</w:t>
      </w:r>
    </w:p>
    <w:p>
      <w:pPr>
        <w:numPr>
          <w:ilvl w:val="0"/>
          <w:numId w:val="0"/>
        </w:numPr>
        <w:bidi w:val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type="#_x0000_t75" style="height:66.85pt;width:66.85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11">
            <o:LockedField>false</o:LockedField>
          </o:OLEObject>
        </w:objec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导入时，判断同一个产品+渠道+合作方+起止时间段在启用中的只能有一条，不要求连续，但不允许重叠。同一个产品+链接代码/渠道识别码+起止时间段在启用中的只能有一条，不能同时分配给多个合作方。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链接代码和渠道识别码以外所有字段均为必填，链接代码和渠道识别码只允许填一个，且不允许两个都为空。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numPr>
          <w:ilvl w:val="0"/>
          <w:numId w:val="3"/>
        </w:numPr>
        <w:bidi w:val="0"/>
        <w:ind w:firstLine="265" w:firstLineChars="0"/>
        <w:jc w:val="left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团队长模式渠道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数据匹配逻辑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一）行方数据上传、产品标准数据上传后，点击手动匹配后，将未匹配到推客订单的行方数据，使用产品编码+链接代码+订单状态+用户标识匹配到对应的渠道+合作方，其中达到结算政策标准的数据，根据银行结算规则+渠道发放系数，逐条生成团队结算数据。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生成的结算单，结算单的生成类型为系统生成。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结算标准为达到规则的对应标准，枚举值：核卡、激活、首刷。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结算依据为1张（暂时仅支持信用卡、借记卡产品）。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复核状态为待复核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分润精度为两位小数</w:t>
      </w:r>
    </w:p>
    <w:p>
      <w:pPr>
        <w:numPr>
          <w:ilvl w:val="0"/>
          <w:numId w:val="4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定时任务对所有上传数据匹配时，分别针对脱敏、流水号数据，同样逻辑进行匹配。</w:t>
      </w:r>
    </w:p>
    <w:p>
      <w:pPr>
        <w:numPr>
          <w:ilvl w:val="0"/>
          <w:numId w:val="4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API链接中传渠道识别码，生成api订单数据时，记录该渠道识别码。Api回调达标后，根据渠道识别码+渠道找到所分配的合作方，并对该合作方生成团队长渠道结算单数据。</w:t>
      </w:r>
    </w:p>
    <w:p>
      <w:pPr>
        <w:numPr>
          <w:ilvl w:val="0"/>
          <w:numId w:val="3"/>
        </w:numPr>
        <w:bidi w:val="0"/>
        <w:ind w:firstLine="265" w:firstLineChars="0"/>
        <w:jc w:val="left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团队结算数据管理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筛选条件+查询结果+导出中增加字段生成类型，枚举值：系统生成、手动创建。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历史数据全部维护为手动创建。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177280" cy="1486535"/>
            <wp:effectExtent l="0" t="0" r="20320" b="12065"/>
            <wp:docPr id="7" name="图片 7" descr="/Users/hubo/Library/Containers/com.kingsoft.wpsoffice.mac/Data/tmp/photoeditapp/20240207173628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hubo/Library/Containers/com.kingsoft.wpsoffice.mac/Data/tmp/photoeditapp/20240207173628/temp.png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EDEC66A"/>
    <w:multiLevelType w:val="singleLevel"/>
    <w:tmpl w:val="DEDEC66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F56D5"/>
    <w:multiLevelType w:val="singleLevel"/>
    <w:tmpl w:val="FFFF56D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4DE3E1E"/>
    <w:rsid w:val="28FE5094"/>
    <w:rsid w:val="2F7D09B8"/>
    <w:rsid w:val="2FF7145A"/>
    <w:rsid w:val="352D95DA"/>
    <w:rsid w:val="369BB726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38F741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EA443B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B47A1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BFC631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A0273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oleObject" Target="embeddings/oleObject1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51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2010-10-19T21:47:00Z</dcterms:created>
  <dc:creator>[Your Name]</dc:creator>
  <cp:lastModifiedBy>风过之痕</cp:lastModifiedBy>
  <cp:lastPrinted>2010-10-19T00:33:00Z</cp:lastPrinted>
  <dcterms:modified xsi:type="dcterms:W3CDTF">2024-03-04T15:31:47Z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