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3"/>
        <w:keepNext/>
        <w:jc w:val="center"/>
        <w:outlineLvl w:val="0"/>
        <w:rPr>
          <w:rFonts w:hint="default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趣伴卡贷款产品优化需求</w:t>
      </w:r>
    </w:p>
    <w:p>
      <w:pPr>
        <w:pStyle w:val="18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贷款产品类型作为主要发展方向，需搭建相对独立的产品入口、相关的推广攻略、素材内容等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展业版页面，增加入口“贷款推广”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drawing>
          <wp:inline distT="0" distB="0" distL="114300" distR="114300">
            <wp:extent cx="1609725" cy="3457575"/>
            <wp:effectExtent l="0" t="0" r="15875" b="222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新增单独贷款产品推广页面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282575</wp:posOffset>
            </wp:positionH>
            <wp:positionV relativeFrom="paragraph">
              <wp:posOffset>0</wp:posOffset>
            </wp:positionV>
            <wp:extent cx="1602740" cy="3438525"/>
            <wp:effectExtent l="0" t="0" r="22860" b="15875"/>
            <wp:wrapSquare wrapText="bothSides"/>
            <wp:docPr id="6" name="图片 4" descr="/Users/hubo/Desktop/Snipaste_2023-08-15_15-16-36.pngSnipaste_2023-08-15_15-16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/Users/hubo/Desktop/Snipaste_2023-08-15_15-16-36.pngSnipaste_2023-08-15_15-16-36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页面顶部为轮播图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下方搜索框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通过产品名称对产品列表进行过滤，模糊搜索，展示所有包含搜索词的产品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金刚区：一键推广、计算器、朋友圈素材、推广攻略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朋友圈素材、推广攻略进入后，仅展示贷款类的相关内容（后台内容区分类别）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地区筛选栏</w:t>
      </w:r>
    </w:p>
    <w:p>
      <w:pPr>
        <w:numPr>
          <w:ilvl w:val="0"/>
          <w:numId w:val="0"/>
        </w:numPr>
        <w:jc w:val="both"/>
        <w:outlineLvl w:val="9"/>
        <w:rPr>
          <w:rFonts w:hint="default" w:eastAsia="宋体"/>
          <w:lang w:val="en-US" w:eastAsia="zh-CN"/>
        </w:rPr>
      </w:pPr>
      <w:r>
        <w:rPr>
          <w:rFonts w:hint="eastAsia"/>
          <w:lang w:val="en-US" w:eastAsia="zh-Hans"/>
        </w:rPr>
        <w:t>产品列表区（去掉一键推广按钮）</w:t>
      </w:r>
      <w:r>
        <w:rPr>
          <w:rFonts w:hint="eastAsia" w:eastAsia="宋体"/>
          <w:lang w:val="en-US" w:eastAsia="zh-CN"/>
        </w:rPr>
        <w:t>——新页面老页面均去掉一键推广、立即申请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最高额度控台输入改为数值</w:t>
      </w:r>
      <w:r>
        <w:rPr>
          <w:rFonts w:hint="eastAsia" w:eastAsia="宋体"/>
          <w:color w:val="FF0000"/>
          <w:lang w:val="en-US" w:eastAsia="zh-CN"/>
        </w:rPr>
        <w:t>单位万元</w:t>
      </w:r>
      <w:r>
        <w:rPr>
          <w:rFonts w:hint="eastAsia"/>
          <w:color w:val="FF0000"/>
          <w:lang w:val="en-US" w:eastAsia="zh-Hans"/>
        </w:rPr>
        <w:t>。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新增贷款计算器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t>3-1</w:t>
      </w:r>
      <w:r>
        <w:rPr>
          <w:rFonts w:hint="eastAsia"/>
          <w:lang w:val="en-US" w:eastAsia="zh-Hans"/>
        </w:rPr>
        <w:t>真实年化利率计算：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  <w:r>
        <w:drawing>
          <wp:inline distT="0" distB="0" distL="114300" distR="114300">
            <wp:extent cx="3834130" cy="3234055"/>
            <wp:effectExtent l="0" t="0" r="1270" b="1714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去掉到账金额输入框</w:t>
      </w:r>
      <w:bookmarkStart w:id="0" w:name="_GoBack"/>
      <w:bookmarkEnd w:id="0"/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可根据贷款金额，到账金额，月还款金额，还款期数，其它支出来计算真实年化利率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eastAsia="宋体"/>
          <w:lang w:val="en-US" w:eastAsia="zh-CN"/>
        </w:rPr>
      </w:pPr>
      <w:r>
        <w:rPr>
          <w:rFonts w:hint="eastAsia"/>
          <w:lang w:val="en-US" w:eastAsia="zh-Hans"/>
        </w:rPr>
        <w:t>公式：月利率</w:t>
      </w:r>
      <w:r>
        <w:rPr>
          <w:rFonts w:hint="default"/>
          <w:lang w:eastAsia="zh-Hans"/>
        </w:rPr>
        <w:t>=</w:t>
      </w:r>
      <w:r>
        <w:rPr>
          <w:rFonts w:hint="eastAsia" w:eastAsia="宋体"/>
          <w:lang w:val="en-US" w:eastAsia="zh-CN"/>
        </w:rPr>
        <w:t>[</w:t>
      </w:r>
      <w:r>
        <w:rPr>
          <w:rFonts w:hint="eastAsia"/>
          <w:lang w:val="en-US" w:eastAsia="zh-Hans"/>
        </w:rPr>
        <w:t>（月还款金额</w:t>
      </w:r>
      <w:r>
        <w:rPr>
          <w:rFonts w:hint="default"/>
          <w:lang w:eastAsia="zh-Hans"/>
        </w:rPr>
        <w:t>*</w:t>
      </w:r>
      <w:r>
        <w:rPr>
          <w:rFonts w:hint="eastAsia"/>
          <w:lang w:val="en-US" w:eastAsia="zh-Hans"/>
        </w:rPr>
        <w:t>还款期数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其它支出</w:t>
      </w:r>
      <w:r>
        <w:rPr>
          <w:rFonts w:hint="default"/>
          <w:lang w:eastAsia="zh-Hans"/>
        </w:rPr>
        <w:t>-</w:t>
      </w:r>
      <w:r>
        <w:rPr>
          <w:rFonts w:hint="eastAsia" w:eastAsia="宋体"/>
          <w:lang w:val="en-US" w:eastAsia="zh-CN"/>
        </w:rPr>
        <w:t>贷款</w:t>
      </w:r>
      <w:r>
        <w:rPr>
          <w:rFonts w:hint="eastAsia"/>
          <w:lang w:val="en-US" w:eastAsia="zh-Hans"/>
        </w:rPr>
        <w:t>金额）</w:t>
      </w:r>
      <w:r>
        <w:rPr>
          <w:rFonts w:hint="default"/>
          <w:lang w:eastAsia="zh-Hans"/>
        </w:rPr>
        <w:t>÷</w:t>
      </w:r>
      <w:r>
        <w:rPr>
          <w:rFonts w:hint="eastAsia"/>
          <w:lang w:val="en-US" w:eastAsia="zh-Hans"/>
        </w:rPr>
        <w:t>贷款金额</w:t>
      </w:r>
      <w:r>
        <w:rPr>
          <w:rFonts w:hint="eastAsia" w:eastAsia="宋体"/>
          <w:lang w:val="en-US" w:eastAsia="zh-CN"/>
        </w:rPr>
        <w:t>]</w:t>
      </w:r>
      <w:r>
        <w:rPr>
          <w:rFonts w:hint="default"/>
          <w:lang w:eastAsia="zh-Hans"/>
        </w:rPr>
        <w:t>÷</w:t>
      </w:r>
      <w:r>
        <w:rPr>
          <w:rFonts w:hint="eastAsia"/>
          <w:lang w:val="en-US" w:eastAsia="zh-Hans"/>
        </w:rPr>
        <w:t>还款期数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真实年化利率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月利率</w:t>
      </w:r>
      <w:r>
        <w:rPr>
          <w:rFonts w:hint="default"/>
          <w:lang w:eastAsia="zh-Hans"/>
        </w:rPr>
        <w:t>*12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输入所有信息后，点击计算得出结果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</w:pPr>
      <w:r>
        <w:drawing>
          <wp:inline distT="0" distB="0" distL="114300" distR="114300">
            <wp:extent cx="3771900" cy="3205480"/>
            <wp:effectExtent l="0" t="0" r="12700" b="203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eastAsia="Times New Roman"/>
          <w:lang w:val="en-US" w:eastAsia="zh-Hans"/>
        </w:rPr>
      </w:pPr>
      <w:r>
        <w:rPr>
          <w:rFonts w:hint="eastAsia"/>
          <w:lang w:val="en-US" w:eastAsia="zh-Hans"/>
        </w:rPr>
        <w:t>点击重新计算回到计算器空白状态页面，可再次输入信息进行计算。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numPr>
          <w:ilvl w:val="0"/>
          <w:numId w:val="0"/>
        </w:numPr>
        <w:jc w:val="both"/>
        <w:outlineLvl w:val="2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3-2</w:t>
      </w:r>
      <w:r>
        <w:rPr>
          <w:rFonts w:hint="eastAsia"/>
          <w:lang w:val="en-US" w:eastAsia="zh-Hans"/>
        </w:rPr>
        <w:t>贷款还款计算器</w:t>
      </w:r>
    </w:p>
    <w:p>
      <w:pPr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3606800" cy="30924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点击顶部标签页可切换计算器类型，中间标签为贷款还款计算器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可填写贷款金额，贷款期限，利率；选择还款方式，还款方式枚举值：等额本息，等额本金，先息后本，等本等息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点击计算后，展示每月还款表，可通过顶部按钮切换不同还款方式的还款表，进行对比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48895</wp:posOffset>
            </wp:positionV>
            <wp:extent cx="2078990" cy="4116070"/>
            <wp:effectExtent l="0" t="0" r="3810" b="24130"/>
            <wp:wrapSquare wrapText="bothSides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Hans"/>
        </w:rPr>
        <w:t>总还款额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月还款额</w:t>
      </w:r>
      <w:r>
        <w:rPr>
          <w:rFonts w:hint="default"/>
          <w:lang w:eastAsia="zh-Hans"/>
        </w:rPr>
        <w:t>×</w:t>
      </w:r>
      <w:r>
        <w:rPr>
          <w:rFonts w:hint="eastAsia"/>
          <w:lang w:val="en-US" w:eastAsia="zh-Hans"/>
        </w:rPr>
        <w:t>还款期数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贷款利息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总还款额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贷款金额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还款计划表：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行数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还款期数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月还款额：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等额本息</w:t>
      </w:r>
      <w:r>
        <w:rPr>
          <w:rFonts w:hint="default"/>
          <w:lang w:eastAsia="zh-Hans"/>
        </w:rPr>
        <w:t>=(</w:t>
      </w:r>
      <w:r>
        <w:rPr>
          <w:rFonts w:hint="eastAsia"/>
          <w:lang w:val="en-US" w:eastAsia="zh-Hans"/>
        </w:rPr>
        <w:t>贷款金额</w:t>
      </w:r>
      <w:r>
        <w:rPr>
          <w:rFonts w:hint="default"/>
          <w:lang w:eastAsia="zh-Hans"/>
        </w:rPr>
        <w:t>×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利率×(1+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利率)^还款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数)÷((1+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利率)^还款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数-1)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等额本金</w:t>
      </w:r>
      <w:r>
        <w:rPr>
          <w:rFonts w:hint="default"/>
          <w:lang w:eastAsia="zh-Hans"/>
        </w:rPr>
        <w:t>=贷款本金÷贷款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数+（本金-已归还本金累计额）×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利率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先息后本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贷款金额</w:t>
      </w:r>
      <w:r>
        <w:rPr>
          <w:rFonts w:hint="default"/>
          <w:lang w:eastAsia="zh-Hans"/>
        </w:rPr>
        <w:t>×</w:t>
      </w:r>
      <w:r>
        <w:rPr>
          <w:rFonts w:hint="eastAsia"/>
          <w:lang w:val="en-US" w:eastAsia="zh-Hans"/>
        </w:rPr>
        <w:t>月利率</w:t>
      </w:r>
      <w:r>
        <w:rPr>
          <w:rFonts w:hint="default"/>
          <w:lang w:eastAsia="zh-Hans"/>
        </w:rPr>
        <w:t>÷</w:t>
      </w:r>
      <w:r>
        <w:rPr>
          <w:rFonts w:hint="eastAsia"/>
          <w:lang w:val="en-US" w:eastAsia="zh-Hans"/>
        </w:rPr>
        <w:t>贷款月数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等本等息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贷款金额</w:t>
      </w:r>
      <w:r>
        <w:rPr>
          <w:rFonts w:hint="default"/>
          <w:lang w:eastAsia="zh-Hans"/>
        </w:rPr>
        <w:t>×</w:t>
      </w: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>1+</w:t>
      </w:r>
      <w:r>
        <w:rPr>
          <w:rFonts w:hint="eastAsia"/>
          <w:lang w:val="en-US" w:eastAsia="zh-Hans"/>
        </w:rPr>
        <w:t>月利率</w:t>
      </w:r>
      <w:r>
        <w:rPr>
          <w:rFonts w:hint="eastAsia"/>
          <w:lang w:eastAsia="zh-Hans"/>
        </w:rPr>
        <w:t>）</w:t>
      </w:r>
      <w:r>
        <w:rPr>
          <w:rFonts w:hint="default"/>
          <w:lang w:eastAsia="zh-Hans"/>
        </w:rPr>
        <w:t>÷</w:t>
      </w:r>
      <w:r>
        <w:rPr>
          <w:rFonts w:hint="eastAsia"/>
          <w:lang w:val="en-US" w:eastAsia="zh-Hans"/>
        </w:rPr>
        <w:t>贷款月数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月还款本金：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等额本息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月还款额</w:t>
      </w:r>
      <w:r>
        <w:rPr>
          <w:rFonts w:hint="default"/>
          <w:lang w:eastAsia="zh-Hans"/>
        </w:rPr>
        <w:t>-剩余本金 × 月利率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等额本金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贷款金额</w:t>
      </w:r>
      <w:r>
        <w:rPr>
          <w:rFonts w:hint="default"/>
          <w:lang w:eastAsia="zh-Hans"/>
        </w:rPr>
        <w:t>÷贷款</w:t>
      </w:r>
      <w:r>
        <w:rPr>
          <w:rFonts w:hint="eastAsia"/>
          <w:lang w:val="en-US" w:eastAsia="zh-Hans"/>
        </w:rPr>
        <w:t>月</w:t>
      </w:r>
      <w:r>
        <w:rPr>
          <w:rFonts w:hint="default"/>
          <w:lang w:eastAsia="zh-Hans"/>
        </w:rPr>
        <w:t>数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先息后本</w:t>
      </w:r>
      <w:r>
        <w:rPr>
          <w:rFonts w:hint="default"/>
          <w:lang w:eastAsia="zh-Hans"/>
        </w:rPr>
        <w:t>=0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等本等息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贷款金额</w:t>
      </w:r>
      <w:r>
        <w:rPr>
          <w:rFonts w:hint="default"/>
          <w:lang w:eastAsia="zh-Hans"/>
        </w:rPr>
        <w:t>÷</w:t>
      </w:r>
      <w:r>
        <w:rPr>
          <w:rFonts w:hint="eastAsia"/>
          <w:lang w:val="en-US" w:eastAsia="zh-Hans"/>
        </w:rPr>
        <w:t>贷款月数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月还款利息：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等额本息</w:t>
      </w:r>
      <w:r>
        <w:rPr>
          <w:rFonts w:hint="default"/>
          <w:lang w:eastAsia="zh-Hans"/>
        </w:rPr>
        <w:t>=剩余本金 × 月利率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等额本金</w:t>
      </w:r>
      <w:r>
        <w:rPr>
          <w:rFonts w:hint="default"/>
          <w:lang w:eastAsia="zh-Hans"/>
        </w:rPr>
        <w:t>=剩余本金 × 月利率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先息后本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贷款金额</w:t>
      </w:r>
      <w:r>
        <w:rPr>
          <w:rFonts w:hint="default"/>
          <w:lang w:eastAsia="zh-Hans"/>
        </w:rPr>
        <w:t xml:space="preserve"> × </w:t>
      </w:r>
      <w:r>
        <w:rPr>
          <w:rFonts w:hint="eastAsia"/>
          <w:lang w:val="en-US" w:eastAsia="zh-Hans"/>
        </w:rPr>
        <w:t>月利率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等本等息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贷款金额</w:t>
      </w:r>
      <w:r>
        <w:rPr>
          <w:rFonts w:hint="default"/>
          <w:lang w:eastAsia="zh-Hans"/>
        </w:rPr>
        <w:t xml:space="preserve"> × </w:t>
      </w:r>
      <w:r>
        <w:rPr>
          <w:rFonts w:hint="eastAsia"/>
          <w:lang w:val="en-US" w:eastAsia="zh-Hans"/>
        </w:rPr>
        <w:t>月利率</w:t>
      </w:r>
    </w:p>
    <w:p>
      <w:pPr>
        <w:numPr>
          <w:ilvl w:val="0"/>
          <w:numId w:val="0"/>
        </w:numPr>
        <w:jc w:val="both"/>
        <w:outlineLvl w:val="2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3-3 </w:t>
      </w:r>
      <w:r>
        <w:rPr>
          <w:rFonts w:hint="eastAsia"/>
          <w:lang w:val="en-US" w:eastAsia="zh-Hans"/>
        </w:rPr>
        <w:t>日利率计算器</w:t>
      </w:r>
    </w:p>
    <w:p>
      <w:pPr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1721485" cy="3432810"/>
            <wp:effectExtent l="0" t="0" r="5715" b="2159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点击计算得到结果</w:t>
      </w:r>
    </w:p>
    <w:p>
      <w:pPr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1744980" cy="3466465"/>
            <wp:effectExtent l="0" t="0" r="7620" b="133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年利率（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）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日利率（万分比）</w:t>
      </w:r>
      <w:r>
        <w:rPr>
          <w:rFonts w:hint="default"/>
          <w:sz w:val="18"/>
          <w:szCs w:val="24"/>
          <w:lang w:eastAsia="zh-Hans"/>
        </w:rPr>
        <w:t>×360</w:t>
      </w:r>
      <w:r>
        <w:rPr>
          <w:rFonts w:hint="default"/>
          <w:lang w:eastAsia="zh-Hans"/>
        </w:rPr>
        <w:t>÷100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得出结果后与</w:t>
      </w:r>
      <w:r>
        <w:rPr>
          <w:rFonts w:hint="default"/>
          <w:lang w:eastAsia="zh-Hans"/>
        </w:rPr>
        <w:t>3.55%</w:t>
      </w:r>
      <w:r>
        <w:rPr>
          <w:rFonts w:hint="eastAsia"/>
          <w:lang w:val="en-US" w:eastAsia="zh-Hans"/>
        </w:rPr>
        <w:t>比较大小并显示结果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贷款计算器需提供一个不需要验证用户身份的链接，用于C端公众号投放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朋友圈素材、推广攻略仅展示贷款产品相关内容（后台内容分开）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一键推广直接进入该渠道对应的默认海报或面对面推广页面，C端扫码或发送的欢迎语链接中仅有贷款产品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轮播图、弹窗、浮窗区分传统推广首页、贷款首页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产品列表中，点击产品进入产品详情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74930</wp:posOffset>
            </wp:positionV>
            <wp:extent cx="1902460" cy="4088130"/>
            <wp:effectExtent l="0" t="0" r="2540" b="1270"/>
            <wp:wrapSquare wrapText="bothSides"/>
            <wp:docPr id="13" name="图片 11" descr="/Users/hubo/Desktop/Snipaste_2023-08-16_16-54-38.pngSnipaste_2023-08-16_16-54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/Users/hubo/Desktop/Snipaste_2023-08-16_16-54-38.pngSnipaste_2023-08-16_16-54-38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新老入口的贷款、保险产品详情页均改为新样式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顶部展示内容同列表内容（无收益部分）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包括产品图片、产品名称、产品特征描述、最高额度、年化利率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下方展示贷款期数、还款方式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小喇叭后展示随机公告</w:t>
      </w:r>
      <w:r>
        <w:rPr>
          <w:rFonts w:hint="eastAsia" w:eastAsia="宋体"/>
          <w:lang w:val="en-US" w:eastAsia="zh-CN"/>
        </w:rPr>
        <w:t>以产品维度每4小时生成5条进行轮播，4小时内已有缓存的展示缓存内容</w:t>
      </w:r>
      <w:r>
        <w:rPr>
          <w:rFonts w:hint="eastAsia"/>
          <w:lang w:val="en-US" w:eastAsia="zh-Hans"/>
        </w:rPr>
        <w:t>：姓氏（以下姓氏顺序随机打乱）：赵钱孙李周吴郑王冯陈褚卫蒋沈韩杨朱秦尤许何吕施张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时间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天前，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天前，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小时前，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小时前，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小时前；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小时、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小时前的只展示进件；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天前</w:t>
      </w:r>
      <w:r>
        <w:rPr>
          <w:rFonts w:hint="default"/>
          <w:lang w:eastAsia="zh-Hans"/>
        </w:rPr>
        <w:t>-10</w:t>
      </w:r>
      <w:r>
        <w:rPr>
          <w:rFonts w:hint="eastAsia"/>
          <w:lang w:val="en-US" w:eastAsia="zh-Hans"/>
        </w:rPr>
        <w:t>小时前展示放款</w:t>
      </w:r>
      <w:r>
        <w:rPr>
          <w:rFonts w:hint="default"/>
          <w:lang w:eastAsia="zh-Hans"/>
        </w:rPr>
        <w:t>3-</w:t>
      </w:r>
      <w:r>
        <w:rPr>
          <w:rFonts w:hint="eastAsia"/>
          <w:lang w:val="en-US" w:eastAsia="zh-Hans"/>
        </w:rPr>
        <w:t>最高额度之间。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工具栏：计算器、申请流程、朋友圈素材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申请流程后台配置链接；朋友圈素材进入仅本产品相关的内容列表，若本产品无朋友圈素材发布内容，则不展示该入口。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推广奖励：展示控台配置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奖励名称描述（详情页）内容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产品公告展示当前后台配置的产品公告内容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按分组展示产品信息：申请区域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推广须知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根据控台各标题内容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当前城市显示当前定位城市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允许申请或无法申请；下方展示查看全部（不）允许申请地区入口——与产品的区域配置一致，配置可推广区域的，展示允许申请地区；配置不可推广区域的，展示不允许申请地区。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左侧点击分组，分组区域滑动至页面顶部，申请区域在页面中固定展示；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右侧滑动至对应区域，对应标题展示在顶部</w:t>
      </w:r>
    </w:p>
    <w:p>
      <w:pPr>
        <w:numPr>
          <w:ilvl w:val="0"/>
          <w:numId w:val="0"/>
        </w:numPr>
        <w:jc w:val="both"/>
        <w:outlineLvl w:val="9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底部按钮根据渠道权限配置，最多三个：固定的生成资料卡片，获取推广海报，立即申请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6350</wp:posOffset>
            </wp:positionV>
            <wp:extent cx="1609725" cy="3491230"/>
            <wp:effectExtent l="0" t="0" r="15875" b="13970"/>
            <wp:wrapSquare wrapText="bothSides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生成资料卡片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功能：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根据当前产品的</w:t>
      </w:r>
      <w:r>
        <w:rPr>
          <w:rFonts w:hint="eastAsia" w:eastAsia="宋体"/>
          <w:lang w:val="en-US" w:eastAsia="zh-CN"/>
        </w:rPr>
        <w:t>后台资料卡片配置内容</w:t>
      </w:r>
      <w:r>
        <w:rPr>
          <w:rFonts w:hint="eastAsia"/>
          <w:lang w:val="en-US" w:eastAsia="zh-Hans"/>
        </w:rPr>
        <w:t>生成</w:t>
      </w:r>
      <w:r>
        <w:rPr>
          <w:rFonts w:hint="eastAsia" w:eastAsia="宋体"/>
          <w:lang w:val="en-US" w:eastAsia="zh-CN"/>
        </w:rPr>
        <w:t>页面，再对页面截图，将截图生成</w:t>
      </w:r>
      <w:r>
        <w:rPr>
          <w:rFonts w:hint="eastAsia"/>
          <w:lang w:val="en-US" w:eastAsia="zh-Hans"/>
        </w:rPr>
        <w:t>一张图片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获取推广海报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原一键推广功能，进入渠道默认的推广方式页面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产品海报或面对面推广，扫码打开为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对应产品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宋体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CN" w:bidi="ar"/>
        </w:rPr>
        <w:t>保险、拉新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产品详情</w:t>
      </w:r>
    </w:p>
    <w:p>
      <w:pPr>
        <w:rPr>
          <w:rFonts w:hint="eastAsia"/>
          <w:lang w:val="en-US" w:eastAsia="zh-Hans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1838325" cy="3981450"/>
            <wp:effectExtent l="0" t="0" r="15875" b="6350"/>
            <wp:wrapSquare wrapText="bothSides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保险产品详情无期限、还款方式展示，无小喇叭随机公告</w:t>
      </w:r>
    </w:p>
    <w:p>
      <w:pPr>
        <w:rPr>
          <w:rFonts w:hint="eastAsia"/>
          <w:lang w:val="en-US" w:eastAsia="zh-Hans"/>
        </w:rPr>
      </w:pPr>
      <w:r>
        <w:rPr>
          <w:rFonts w:hint="eastAsia" w:eastAsia="宋体"/>
          <w:lang w:val="en-US" w:eastAsia="zh-CN"/>
        </w:rPr>
        <w:t>功能区无计算器</w:t>
      </w:r>
      <w:r>
        <w:rPr>
          <w:rFonts w:hint="eastAsia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选择区域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95885</wp:posOffset>
            </wp:positionV>
            <wp:extent cx="1828800" cy="3986530"/>
            <wp:effectExtent l="0" t="0" r="0" b="1270"/>
            <wp:wrapSquare wrapText="bothSides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当前定位城市右侧增加刷新定位按钮，点击后可进行重新定位（按钮旁增加文案）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/>
          <w:lang w:val="en-US" w:eastAsia="zh-Hans"/>
        </w:rPr>
        <w:t>查看全部（不）允许申请地区入口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eastAsia="zh-Hans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52705</wp:posOffset>
            </wp:positionV>
            <wp:extent cx="1795145" cy="3876040"/>
            <wp:effectExtent l="0" t="0" r="8255" b="10160"/>
            <wp:wrapSquare wrapText="bothSides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标题跟随后台配置变化：可申请区域——不可申请区域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eastAsia="zh-Hans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列表中展示全部可申请省份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城市，省份可展开收起，在省份展开时，省份下方展示该省份可申请城市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排序规则：北京、上海、天津、重庆、省第一个字拼音首字母正序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省第二个字拼音首字母正序；展开后城市名称排序为市第一个字拼音首字母正序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市第二个字拼音首字母正序。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生成资料卡片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29845</wp:posOffset>
            </wp:positionV>
            <wp:extent cx="1852930" cy="3996055"/>
            <wp:effectExtent l="0" t="0" r="1270" b="1714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顶部展示贷款产品图片、名称、推广二维码（海报二维码）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提示文案：长按图片选择识别图中二维码进行申请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宋体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内容为</w:t>
      </w:r>
      <w:r>
        <w:rPr>
          <w:rFonts w:hint="eastAsia" w:ascii="Lucida Grande" w:hAnsi="Lucida Grande" w:eastAsia="宋体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CN" w:bidi="ar"/>
        </w:rPr>
        <w:t>后台配置的资料卡片配置内容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宋体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CN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底部悬浮按钮取消为返回产品详情页，长按图片保存</w:t>
      </w:r>
      <w:r>
        <w:rPr>
          <w:rFonts w:hint="eastAsia" w:ascii="Lucida Grande" w:hAnsi="Lucida Grande" w:eastAsia="宋体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CN" w:bidi="ar"/>
        </w:rPr>
        <w:t>对后台配置为：调用app保存的渠道，使用拓客app保存接口保存图片至相册；对配置为长按保存的toast提示：请长按资料卡图片保存至相册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拆分“我的页面”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1670050" cy="3596640"/>
            <wp:effectExtent l="0" t="0" r="6350" b="1016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</w:p>
    <w:p>
      <w:pP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从推广首页进入我的，保持原有切换标签</w:t>
      </w:r>
    </w:p>
    <w:p>
      <w:pP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从贷款首页进入我的，无切换标签，仅展示贷款相关数据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结算时间更新至页面拆分</w:t>
      </w:r>
    </w:p>
    <w:p>
      <w:pPr>
        <w:pStyle w:val="18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贷款推广入口“我的”中的该页面，仅展示贷款产品的结算时间更新至时间，按照更新至日期由近到远排序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drawing>
          <wp:inline distT="0" distB="0" distL="114300" distR="114300">
            <wp:extent cx="1847850" cy="3996055"/>
            <wp:effectExtent l="0" t="0" r="6350" b="171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订单明细页面优化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1939290</wp:posOffset>
            </wp:positionH>
            <wp:positionV relativeFrom="paragraph">
              <wp:posOffset>106680</wp:posOffset>
            </wp:positionV>
            <wp:extent cx="1832610" cy="3963035"/>
            <wp:effectExtent l="0" t="0" r="21590" b="24765"/>
            <wp:wrapSquare wrapText="bothSides"/>
            <wp:docPr id="3" name="图片 3" descr="/Users/hubo/Desktop/Snipaste_2023-08-16_17-45-48.pngSnipaste_2023-08-16_17-4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Users/hubo/Desktop/Snipaste_2023-08-16_17-45-48.pngSnipaste_2023-08-16_17-45-48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90805</wp:posOffset>
            </wp:positionV>
            <wp:extent cx="1838325" cy="3980815"/>
            <wp:effectExtent l="0" t="0" r="15875" b="6985"/>
            <wp:wrapSquare wrapText="bothSides"/>
            <wp:docPr id="2" name="图片 2" descr="/Users/hubo/Desktop/Snipaste_2023-08-16_17-49-05.pngSnipaste_2023-08-16_17-49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/Users/hubo/Desktop/Snipaste_2023-08-16_17-49-05.pngSnipaste_2023-08-16_17-49-05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新老页面的贷款订单明细，均修改为新样式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从推广首页进入我的页面后，进入订单明细，展示产品标签，可切换不同产品。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从贷款首页进入我的页面后，进入订单明细，近展示贷款相关订单。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所有筛选不影响统计数据展示。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订单信息增加企业名称字段，若订单信息中无该信息，则不展示企业名称</w:t>
      </w:r>
      <w:r>
        <w:rPr>
          <w:rFonts w:hint="eastAsia" w:eastAsia="宋体"/>
          <w:lang w:val="en-US" w:eastAsia="zh-CN"/>
        </w:rPr>
        <w:t>（暂无）</w:t>
      </w:r>
      <w:r>
        <w:rPr>
          <w:rFonts w:hint="eastAsia"/>
          <w:lang w:val="en-US" w:eastAsia="zh-Hans"/>
        </w:rPr>
        <w:t>。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订单状态为放款成功、还款中的，展示还款详情入口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订单状态为放款成功、还款中的，展示放款详情入口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放款详情页面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45085</wp:posOffset>
            </wp:positionV>
            <wp:extent cx="1862455" cy="4005580"/>
            <wp:effectExtent l="0" t="0" r="17145" b="7620"/>
            <wp:wrapSquare wrapText="bothSides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数据仅展示奖励金额已发放的部分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结算金额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该次放款金额</w:t>
      </w:r>
      <w:r>
        <w:rPr>
          <w:rFonts w:hint="default"/>
          <w:lang w:eastAsia="zh-Hans"/>
        </w:rPr>
        <w:t>*</w:t>
      </w:r>
      <w:r>
        <w:rPr>
          <w:rFonts w:hint="eastAsia"/>
          <w:lang w:val="en-US" w:eastAsia="zh-Hans"/>
        </w:rPr>
        <w:t>结算规则中结算比例</w:t>
      </w:r>
      <w:r>
        <w:rPr>
          <w:rFonts w:hint="default"/>
          <w:lang w:eastAsia="zh-Hans"/>
        </w:rPr>
        <w:t>*</w:t>
      </w:r>
      <w:r>
        <w:rPr>
          <w:rFonts w:hint="eastAsia"/>
          <w:lang w:val="en-US" w:eastAsia="zh-Hans"/>
        </w:rPr>
        <w:t>渠道系数</w:t>
      </w:r>
      <w:r>
        <w:rPr>
          <w:rFonts w:hint="default"/>
          <w:lang w:eastAsia="zh-Hans"/>
        </w:rPr>
        <w:t>*</w:t>
      </w:r>
      <w:r>
        <w:rPr>
          <w:rFonts w:hint="eastAsia"/>
          <w:lang w:val="en-US" w:eastAsia="zh-Hans"/>
        </w:rPr>
        <w:t>业务员系数</w:t>
      </w:r>
      <w:r>
        <w:rPr>
          <w:rFonts w:hint="default"/>
          <w:lang w:eastAsia="zh-Hans"/>
        </w:rPr>
        <w:t>*</w:t>
      </w:r>
      <w:r>
        <w:rPr>
          <w:rFonts w:hint="eastAsia"/>
          <w:lang w:val="en-US" w:eastAsia="zh-Hans"/>
        </w:rPr>
        <w:t>业务员分润比例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结算时间字段取系统发放时间的日期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还款详情页面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结算时间字段取系统发放时间的日期</w:t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订单详情页面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161925</wp:posOffset>
            </wp:positionV>
            <wp:extent cx="1730375" cy="3746500"/>
            <wp:effectExtent l="0" t="0" r="22225" b="12700"/>
            <wp:wrapSquare wrapText="bothSides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新老页面的贷款、保险订单详情页均改为新样式，保险的无额度信息部分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顶部左侧增加贷款产品图片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第二行增加订单号（客诉订单号）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第一个模块增加额度信息展示：授信额度、放款额度（总）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额度信息数据有的情况下才展示，都为空就不展示这块数据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第二个模块展示进度信息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48260</wp:posOffset>
            </wp:positionV>
            <wp:extent cx="1739265" cy="3749040"/>
            <wp:effectExtent l="0" t="0" r="13335" b="10160"/>
            <wp:wrapSquare wrapText="bothSides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第三个模块展示申请人信息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第四个模块展示企业信息（暂无），无企业信息的订单跳过此模块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第五个模块展示结算信息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UI需强调：应结金额文案修改为奖励金额（所有产品类型订单均修改）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br w:type="page"/>
      </w: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C端贷款产品详情页面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36830</wp:posOffset>
            </wp:positionV>
            <wp:extent cx="1843405" cy="3986530"/>
            <wp:effectExtent l="0" t="0" r="10795" b="1270"/>
            <wp:wrapSquare wrapText="bothSides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t>新老页面的C端贷款、保险产品详情页均改为新样式</w:t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无朋友圈素材入口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无推广须知模块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</w:p>
    <w:p>
      <w:pPr>
        <w:pStyle w:val="18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1"/>
          <w:szCs w:val="21"/>
          <w:u w:val="none"/>
          <w:lang w:val="en-US" w:eastAsia="zh-Hans" w:bidi="ar"/>
        </w:rPr>
        <w:t>C端贷款产品列表页面</w:t>
      </w: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1870710" cy="3935730"/>
            <wp:effectExtent l="0" t="0" r="8890" b="1270"/>
            <wp:wrapSquare wrapText="bothSides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Hans"/>
        </w:rPr>
      </w:pPr>
    </w:p>
    <w:p>
      <w:pPr>
        <w:numPr>
          <w:ilvl w:val="0"/>
          <w:numId w:val="0"/>
        </w:numPr>
        <w:jc w:val="both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轮播图下方增加搜索栏</w:t>
      </w:r>
    </w:p>
    <w:p>
      <w:pPr>
        <w:rPr>
          <w:rFonts w:hint="default"/>
          <w:lang w:val="en-US" w:eastAsia="zh-Hans"/>
        </w:rPr>
      </w:pPr>
    </w:p>
    <w:sectPr>
      <w:headerReference r:id="rId4" w:type="default"/>
      <w:footerReference r:id="rId5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Lucida Grande">
    <w:panose1 w:val="020B0600040502020204"/>
    <w:charset w:val="00"/>
    <w:family w:val="auto"/>
    <w:pitch w:val="default"/>
    <w:sig w:usb0="E1000AEF" w:usb1="5000A1FF" w:usb2="00000000" w:usb3="00000000" w:csb0="200001B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rPr>
        <w:trHeight w:val="180" w:hRule="atLeast"/>
      </w:trP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restart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hint="default"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  <w:tr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  <w:tc>
        <w:tcPr>
          <w:tcW w:w="572" w:type="pct"/>
          <w:vMerge w:val="continue"/>
          <w:vAlign w:val="center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jc w:val="center"/>
            <w:rPr>
              <w:rFonts w:hint="default"/>
            </w:rPr>
          </w:pPr>
        </w:p>
      </w:tc>
      <w:tc>
        <w:tcPr>
          <w:tcW w:w="2214" w:type="pct"/>
        </w:tcPr>
        <w:p>
          <w:pPr>
            <w:pStyle w:val="13"/>
            <w:keepNext w:val="0"/>
            <w:keepLines w:val="0"/>
            <w:widowControl/>
            <w:suppressLineNumbers w:val="0"/>
            <w:spacing w:beforeAutospacing="0" w:afterAutospacing="0"/>
            <w:ind w:left="0" w:right="0"/>
            <w:rPr>
              <w:rFonts w:hint="default"/>
            </w:rPr>
          </w:pPr>
        </w:p>
      </w:tc>
    </w:tr>
  </w:tbl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rPr>
        <w:trHeight w:val="270" w:hRule="atLeast"/>
      </w:trPr>
      <w:tc>
        <w:tcPr>
          <w:tcW w:w="5000" w:type="pct"/>
        </w:tcPr>
        <w:sdt>
          <w:sdt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hint="default" w:cs="Times New Roman" w:asciiTheme="majorHAnsi" w:hAnsiTheme="majorHAnsi"/>
              <w:color w:val="404040" w:themeColor="text1" w:themeTint="BF"/>
              <w:sz w:val="20"/>
              <w:szCs w:val="20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6"/>
                <w:keepNext w:val="0"/>
                <w:keepLines w:val="0"/>
                <w:widowControl/>
                <w:suppressLineNumbers w:val="0"/>
                <w:spacing w:before="0" w:beforeAutospacing="0" w:after="0" w:afterAutospacing="0"/>
                <w:ind w:left="0" w:right="0"/>
                <w:rPr>
                  <w:rFonts w:hint="default" w:asciiTheme="majorHAnsi" w:hAnsiTheme="majorHAnsi"/>
                </w:rPr>
              </w:pPr>
              <w:r>
                <w:rPr>
                  <w:rFonts w:hint="default"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  <w:rPr>
        <w:rFonts w:hint="default"/>
        <w:color w:val="auto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  <w:color w:val="auto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4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5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6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7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OGQzM2U5ZjU5YTUyMTk3MmE1MzdiM2I0Zjk5YjcifQ=="/>
  </w:docVars>
  <w:rsids>
    <w:rsidRoot w:val="00172A27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4BD38C2"/>
    <w:rsid w:val="0B153DFF"/>
    <w:rsid w:val="0DD84DFE"/>
    <w:rsid w:val="0F3FBBA0"/>
    <w:rsid w:val="10635C65"/>
    <w:rsid w:val="122FF843"/>
    <w:rsid w:val="13DCFB99"/>
    <w:rsid w:val="15AF157A"/>
    <w:rsid w:val="179E67AB"/>
    <w:rsid w:val="1A1D6E85"/>
    <w:rsid w:val="1D911343"/>
    <w:rsid w:val="1F4B9F76"/>
    <w:rsid w:val="1F7051C4"/>
    <w:rsid w:val="1FFDE27F"/>
    <w:rsid w:val="227B3DFE"/>
    <w:rsid w:val="27DF21A2"/>
    <w:rsid w:val="28FE5094"/>
    <w:rsid w:val="2D6EC45E"/>
    <w:rsid w:val="2F7D09B8"/>
    <w:rsid w:val="2FF7145A"/>
    <w:rsid w:val="33FF9E79"/>
    <w:rsid w:val="352D95DA"/>
    <w:rsid w:val="36DA1DB0"/>
    <w:rsid w:val="36DFC955"/>
    <w:rsid w:val="37411FAD"/>
    <w:rsid w:val="37DDACC3"/>
    <w:rsid w:val="38A55CCB"/>
    <w:rsid w:val="3AAE7109"/>
    <w:rsid w:val="3BDE2B3B"/>
    <w:rsid w:val="3BED44B1"/>
    <w:rsid w:val="3BF53502"/>
    <w:rsid w:val="3D3F3B41"/>
    <w:rsid w:val="3D89020A"/>
    <w:rsid w:val="3DBF3EEC"/>
    <w:rsid w:val="3DD9DE67"/>
    <w:rsid w:val="3DFD37EE"/>
    <w:rsid w:val="3E7FAC2B"/>
    <w:rsid w:val="3EBE39D2"/>
    <w:rsid w:val="3EBF8964"/>
    <w:rsid w:val="3ECFF895"/>
    <w:rsid w:val="3EDF1828"/>
    <w:rsid w:val="3F3F39EA"/>
    <w:rsid w:val="3F7D15C5"/>
    <w:rsid w:val="3FB77B42"/>
    <w:rsid w:val="3FFBFAA3"/>
    <w:rsid w:val="3FFCD30D"/>
    <w:rsid w:val="3FFF45DE"/>
    <w:rsid w:val="443A2A91"/>
    <w:rsid w:val="45AECCC7"/>
    <w:rsid w:val="47FB1C56"/>
    <w:rsid w:val="4A82324B"/>
    <w:rsid w:val="4EF9BF58"/>
    <w:rsid w:val="4F7F4C58"/>
    <w:rsid w:val="4F7FCCCE"/>
    <w:rsid w:val="4FAB1650"/>
    <w:rsid w:val="4FFC76C8"/>
    <w:rsid w:val="53F7D019"/>
    <w:rsid w:val="53FD79A1"/>
    <w:rsid w:val="55DD93BC"/>
    <w:rsid w:val="55F7069D"/>
    <w:rsid w:val="573F0535"/>
    <w:rsid w:val="577FFFA6"/>
    <w:rsid w:val="57A75A04"/>
    <w:rsid w:val="57AF7F34"/>
    <w:rsid w:val="57FFF441"/>
    <w:rsid w:val="58AEF6AB"/>
    <w:rsid w:val="592B61C1"/>
    <w:rsid w:val="59374B66"/>
    <w:rsid w:val="5A4E382E"/>
    <w:rsid w:val="5BBFD0C0"/>
    <w:rsid w:val="5BE733F0"/>
    <w:rsid w:val="5BF78C4A"/>
    <w:rsid w:val="5D638F94"/>
    <w:rsid w:val="5D991C65"/>
    <w:rsid w:val="5DB8E684"/>
    <w:rsid w:val="5DBB8C98"/>
    <w:rsid w:val="5DBFEC95"/>
    <w:rsid w:val="5EAADE67"/>
    <w:rsid w:val="5ECC69D0"/>
    <w:rsid w:val="5EFD8577"/>
    <w:rsid w:val="5EFFA302"/>
    <w:rsid w:val="5F6311F6"/>
    <w:rsid w:val="5FC5111D"/>
    <w:rsid w:val="5FDD1BF4"/>
    <w:rsid w:val="5FFDEC69"/>
    <w:rsid w:val="62F45876"/>
    <w:rsid w:val="63ED469E"/>
    <w:rsid w:val="63FB87DF"/>
    <w:rsid w:val="64040FFF"/>
    <w:rsid w:val="64B77D28"/>
    <w:rsid w:val="65167D25"/>
    <w:rsid w:val="657F9B6D"/>
    <w:rsid w:val="67FE8166"/>
    <w:rsid w:val="6BFDADD3"/>
    <w:rsid w:val="6DE8ECF5"/>
    <w:rsid w:val="6E61A2CC"/>
    <w:rsid w:val="6EDCF3CC"/>
    <w:rsid w:val="6FBE1442"/>
    <w:rsid w:val="6FEE8442"/>
    <w:rsid w:val="6FFEACBF"/>
    <w:rsid w:val="73EF579A"/>
    <w:rsid w:val="74FB85AA"/>
    <w:rsid w:val="7568A413"/>
    <w:rsid w:val="75E717A1"/>
    <w:rsid w:val="779D7EAF"/>
    <w:rsid w:val="793D47DD"/>
    <w:rsid w:val="797FDA64"/>
    <w:rsid w:val="79CBA17E"/>
    <w:rsid w:val="79DBF48C"/>
    <w:rsid w:val="7B3F1108"/>
    <w:rsid w:val="7BF637EF"/>
    <w:rsid w:val="7BF7A20A"/>
    <w:rsid w:val="7BFF9F92"/>
    <w:rsid w:val="7DE7E541"/>
    <w:rsid w:val="7DF5DB6F"/>
    <w:rsid w:val="7E05038E"/>
    <w:rsid w:val="7E2EE1F8"/>
    <w:rsid w:val="7E6F760C"/>
    <w:rsid w:val="7EA76626"/>
    <w:rsid w:val="7EAFD3A2"/>
    <w:rsid w:val="7EB69D70"/>
    <w:rsid w:val="7ED348BC"/>
    <w:rsid w:val="7ED37CE2"/>
    <w:rsid w:val="7EEF3593"/>
    <w:rsid w:val="7EFED9F9"/>
    <w:rsid w:val="7F1729A4"/>
    <w:rsid w:val="7F6F052B"/>
    <w:rsid w:val="7F793FB4"/>
    <w:rsid w:val="7FA0939E"/>
    <w:rsid w:val="7FA5FBC5"/>
    <w:rsid w:val="7FAD203B"/>
    <w:rsid w:val="7FAD26D8"/>
    <w:rsid w:val="7FDF516A"/>
    <w:rsid w:val="7FE456E3"/>
    <w:rsid w:val="7FFD0735"/>
    <w:rsid w:val="7FFF0504"/>
    <w:rsid w:val="86F7B8E4"/>
    <w:rsid w:val="8EEA9FED"/>
    <w:rsid w:val="8EF7286B"/>
    <w:rsid w:val="8F31F7B1"/>
    <w:rsid w:val="8FCF4917"/>
    <w:rsid w:val="8FD0429A"/>
    <w:rsid w:val="8FFABDB8"/>
    <w:rsid w:val="977EFF14"/>
    <w:rsid w:val="97FB2544"/>
    <w:rsid w:val="9DF60031"/>
    <w:rsid w:val="9F3BD2A6"/>
    <w:rsid w:val="9F9F4049"/>
    <w:rsid w:val="9FF50FCE"/>
    <w:rsid w:val="9FFF0798"/>
    <w:rsid w:val="A97F818A"/>
    <w:rsid w:val="AEBED28B"/>
    <w:rsid w:val="AF3E1943"/>
    <w:rsid w:val="AF7D9DE3"/>
    <w:rsid w:val="AFCF22B5"/>
    <w:rsid w:val="AFEBF807"/>
    <w:rsid w:val="B3FAF705"/>
    <w:rsid w:val="B6F625C8"/>
    <w:rsid w:val="B747F614"/>
    <w:rsid w:val="BAEFC2B0"/>
    <w:rsid w:val="BAFDC9CD"/>
    <w:rsid w:val="BBFFD090"/>
    <w:rsid w:val="BE5D470D"/>
    <w:rsid w:val="BE9FA14C"/>
    <w:rsid w:val="BFBF0BF7"/>
    <w:rsid w:val="BFDF0D5E"/>
    <w:rsid w:val="BFDF99AE"/>
    <w:rsid w:val="C4FF6343"/>
    <w:rsid w:val="CDC994C0"/>
    <w:rsid w:val="CEEE23A6"/>
    <w:rsid w:val="CEEEB420"/>
    <w:rsid w:val="CFF53FA5"/>
    <w:rsid w:val="D2FC59D0"/>
    <w:rsid w:val="D57DD2B6"/>
    <w:rsid w:val="D79D606E"/>
    <w:rsid w:val="D7F37632"/>
    <w:rsid w:val="D7FB5624"/>
    <w:rsid w:val="D9AFF43F"/>
    <w:rsid w:val="D9FF1C85"/>
    <w:rsid w:val="DBBF6681"/>
    <w:rsid w:val="DBBFC11A"/>
    <w:rsid w:val="DBFEB87B"/>
    <w:rsid w:val="DBFF08C1"/>
    <w:rsid w:val="DC9DA977"/>
    <w:rsid w:val="DCEFF83E"/>
    <w:rsid w:val="DD8FA973"/>
    <w:rsid w:val="DDCBFD86"/>
    <w:rsid w:val="DEC724C0"/>
    <w:rsid w:val="DEFBD2BE"/>
    <w:rsid w:val="DF5F069A"/>
    <w:rsid w:val="DFEF303B"/>
    <w:rsid w:val="DFEF8AC2"/>
    <w:rsid w:val="DFFE927F"/>
    <w:rsid w:val="E49A7684"/>
    <w:rsid w:val="E6573DB3"/>
    <w:rsid w:val="E75ABF42"/>
    <w:rsid w:val="E7E9BA71"/>
    <w:rsid w:val="E7F46BBB"/>
    <w:rsid w:val="E7F7E697"/>
    <w:rsid w:val="E7FF082C"/>
    <w:rsid w:val="E7FF68E5"/>
    <w:rsid w:val="E9F75660"/>
    <w:rsid w:val="EBFF57E2"/>
    <w:rsid w:val="ECF5EEB2"/>
    <w:rsid w:val="EDABC5BB"/>
    <w:rsid w:val="EFB7BAF4"/>
    <w:rsid w:val="EFDA785B"/>
    <w:rsid w:val="EFFF7B6A"/>
    <w:rsid w:val="F3BF70B9"/>
    <w:rsid w:val="F3FD8381"/>
    <w:rsid w:val="F67EDA16"/>
    <w:rsid w:val="F6AB4A4F"/>
    <w:rsid w:val="F77FB540"/>
    <w:rsid w:val="F7DFFABA"/>
    <w:rsid w:val="FB77CD13"/>
    <w:rsid w:val="FB7F11BE"/>
    <w:rsid w:val="FB87A72E"/>
    <w:rsid w:val="FB9C9EE1"/>
    <w:rsid w:val="FBBB8722"/>
    <w:rsid w:val="FBEF8139"/>
    <w:rsid w:val="FBF7FC5B"/>
    <w:rsid w:val="FBFEE361"/>
    <w:rsid w:val="FBFF4F24"/>
    <w:rsid w:val="FD7FB607"/>
    <w:rsid w:val="FDBE7854"/>
    <w:rsid w:val="FDFFE825"/>
    <w:rsid w:val="FE7FE378"/>
    <w:rsid w:val="FEBB7710"/>
    <w:rsid w:val="FF3AF5CB"/>
    <w:rsid w:val="FF8985B8"/>
    <w:rsid w:val="FF9B7EFC"/>
    <w:rsid w:val="FF9FDA93"/>
    <w:rsid w:val="FFAE0C27"/>
    <w:rsid w:val="FFB3A4AE"/>
    <w:rsid w:val="FFB706F8"/>
    <w:rsid w:val="FFBFD1BD"/>
    <w:rsid w:val="FFCAAB5B"/>
    <w:rsid w:val="FFDBD492"/>
    <w:rsid w:val="FFEF5C74"/>
    <w:rsid w:val="FFFCB00C"/>
    <w:rsid w:val="FFFE3033"/>
    <w:rsid w:val="FFFEE3F3"/>
    <w:rsid w:val="FFFF475B"/>
    <w:rsid w:val="FFFFC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4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10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1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2">
    <w:name w:val="Balloon Text"/>
    <w:basedOn w:val="1"/>
    <w:link w:val="31"/>
    <w:qFormat/>
    <w:uiPriority w:val="0"/>
    <w:rPr>
      <w:rFonts w:ascii="Tahoma" w:hAnsi="Tahoma" w:cs="Tahoma"/>
      <w:sz w:val="16"/>
      <w:szCs w:val="16"/>
    </w:rPr>
  </w:style>
  <w:style w:type="paragraph" w:styleId="13">
    <w:name w:val="footer"/>
    <w:basedOn w:val="1"/>
    <w:link w:val="39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head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5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6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7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20">
    <w:name w:val="Table Grid"/>
    <w:basedOn w:val="19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qFormat/>
    <w:uiPriority w:val="99"/>
    <w:rPr>
      <w:color w:val="0000FF"/>
      <w:u w:val="single"/>
    </w:rPr>
  </w:style>
  <w:style w:type="paragraph" w:customStyle="1" w:styleId="23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8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9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30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Balloon Text Char"/>
    <w:basedOn w:val="21"/>
    <w:link w:val="12"/>
    <w:qFormat/>
    <w:uiPriority w:val="0"/>
    <w:rPr>
      <w:rFonts w:ascii="Tahoma" w:hAnsi="Tahoma" w:cs="Tahoma"/>
      <w:sz w:val="16"/>
      <w:szCs w:val="16"/>
    </w:rPr>
  </w:style>
  <w:style w:type="table" w:customStyle="1" w:styleId="32">
    <w:name w:val="AxureTableStyle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3">
    <w:name w:val="Heading 4 Char"/>
    <w:basedOn w:val="21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4">
    <w:name w:val="Heading 5 Char"/>
    <w:basedOn w:val="21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5">
    <w:name w:val="AxureImageParagraph"/>
    <w:basedOn w:val="1"/>
    <w:qFormat/>
    <w:uiPriority w:val="0"/>
    <w:pPr>
      <w:jc w:val="center"/>
    </w:pPr>
  </w:style>
  <w:style w:type="paragraph" w:styleId="36">
    <w:name w:val="No Spacing"/>
    <w:link w:val="37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7">
    <w:name w:val="No Spacing Char"/>
    <w:basedOn w:val="21"/>
    <w:link w:val="36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8">
    <w:name w:val="Header Char"/>
    <w:basedOn w:val="21"/>
    <w:link w:val="14"/>
    <w:qFormat/>
    <w:uiPriority w:val="99"/>
    <w:rPr>
      <w:rFonts w:ascii="Arial" w:hAnsi="Arial" w:cs="Arial"/>
      <w:sz w:val="18"/>
      <w:szCs w:val="24"/>
    </w:rPr>
  </w:style>
  <w:style w:type="character" w:customStyle="1" w:styleId="39">
    <w:name w:val="Footer Char"/>
    <w:basedOn w:val="21"/>
    <w:link w:val="13"/>
    <w:qFormat/>
    <w:uiPriority w:val="99"/>
    <w:rPr>
      <w:rFonts w:ascii="Arial" w:hAnsi="Arial" w:cs="Arial"/>
      <w:sz w:val="18"/>
      <w:szCs w:val="24"/>
    </w:rPr>
  </w:style>
  <w:style w:type="character" w:styleId="40">
    <w:name w:val="Placeholder Text"/>
    <w:basedOn w:val="21"/>
    <w:semiHidden/>
    <w:qFormat/>
    <w:uiPriority w:val="99"/>
    <w:rPr>
      <w:color w:val="808080"/>
    </w:rPr>
  </w:style>
  <w:style w:type="paragraph" w:customStyle="1" w:styleId="41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2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3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4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5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6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7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8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9">
    <w:name w:val="Axure表格样式"/>
    <w:basedOn w:val="19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</Pages>
  <Words>3494</Words>
  <Characters>3590</Characters>
  <Lines>1</Lines>
  <Paragraphs>1</Paragraphs>
  <TotalTime>1</TotalTime>
  <ScaleCrop>false</ScaleCrop>
  <LinksUpToDate>false</LinksUpToDate>
  <CharactersWithSpaces>3700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2010-10-16T05:47:00Z</dcterms:created>
  <dc:creator>[Your Name]</dc:creator>
  <cp:lastModifiedBy>风过之痕</cp:lastModifiedBy>
  <cp:lastPrinted>2010-10-15T08:33:00Z</cp:lastPrinted>
  <dcterms:modified xsi:type="dcterms:W3CDTF">2023-10-10T15:52:53Z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26E8800BB2A53D1EAD85F863DB4D9814</vt:lpwstr>
  </property>
</Properties>
</file>