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3"/>
        <w:keepNext/>
        <w:jc w:val="center"/>
        <w:outlineLvl w:val="9"/>
        <w:rPr>
          <w:rFonts w:hint="default"/>
          <w:sz w:val="36"/>
          <w:szCs w:val="36"/>
          <w:lang w:val="en-US" w:eastAsia="zh-Hans"/>
        </w:rPr>
      </w:pPr>
      <w:r>
        <w:rPr>
          <w:rFonts w:hint="eastAsia"/>
          <w:sz w:val="36"/>
          <w:szCs w:val="36"/>
          <w:lang w:val="en-US" w:eastAsia="zh-Hans"/>
        </w:rPr>
        <w:t>设置店员分润比例需求</w:t>
      </w:r>
      <w:bookmarkStart w:id="0" w:name="_GoBack"/>
      <w:bookmarkEnd w:id="0"/>
    </w:p>
    <w:p>
      <w:pPr>
        <w:pStyle w:val="18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拓客端有提供默认所有店员分润比例，不再本地存储所设置比例，全部以接口提供为准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设置店员默认分润比例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1343660" cy="2923540"/>
            <wp:effectExtent l="0" t="0" r="2540" b="228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660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3820" cy="2914650"/>
            <wp:effectExtent l="0" t="0" r="17780" b="635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382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弹窗中当前比例使用拓客提供接口查询，填写的比例值调用接口设置。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查询失败时当前比例展示获取失败字样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该比例设置后，未单独设置过店员比例的店员，包括新注册店员，均使用该比例进行分润。</w:t>
      </w:r>
    </w:p>
    <w:p>
      <w:pPr>
        <w:pStyle w:val="18"/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 w:line="30" w:lineRule="atLeast"/>
        <w:ind w:left="840" w:leftChars="0" w:right="0" w:hanging="420" w:firstLineChars="0"/>
        <w:jc w:val="left"/>
        <w:outlineLvl w:val="1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eastAsia="zh-Hans" w:bidi="ar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Hans" w:bidi="ar"/>
        </w:rPr>
        <w:t>设置单个店员分润比例</w:t>
      </w:r>
    </w:p>
    <w:p>
      <w:pPr>
        <w:numPr>
          <w:ilvl w:val="0"/>
          <w:numId w:val="0"/>
        </w:numPr>
        <w:jc w:val="both"/>
        <w:outlineLvl w:val="9"/>
      </w:pPr>
      <w:r>
        <w:drawing>
          <wp:inline distT="0" distB="0" distL="114300" distR="114300">
            <wp:extent cx="2886710" cy="2839720"/>
            <wp:effectExtent l="0" t="0" r="8890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页面展示的分润比例、弹窗中的当前比例以拓客接口查询到的为准</w:t>
      </w:r>
    </w:p>
    <w:p>
      <w:pPr>
        <w:numPr>
          <w:ilvl w:val="0"/>
          <w:numId w:val="0"/>
        </w:numPr>
        <w:jc w:val="both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查询失败时当前比例展示获取失败字样</w:t>
      </w:r>
    </w:p>
    <w:p>
      <w:pPr>
        <w:numPr>
          <w:ilvl w:val="0"/>
          <w:numId w:val="0"/>
        </w:numPr>
        <w:jc w:val="both"/>
        <w:outlineLvl w:val="9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填写的比例调用拓客接口设置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0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6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786B65CA"/>
    <w:multiLevelType w:val="multilevel"/>
    <w:tmpl w:val="786B65CA"/>
    <w:lvl w:ilvl="0" w:tentative="0">
      <w:start w:val="1"/>
      <w:numFmt w:val="decimal"/>
      <w:pStyle w:val="24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5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6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7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6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10635C65"/>
    <w:rsid w:val="122FF843"/>
    <w:rsid w:val="13DCFB99"/>
    <w:rsid w:val="15AF157A"/>
    <w:rsid w:val="179E67AB"/>
    <w:rsid w:val="1A1D6E85"/>
    <w:rsid w:val="1D911343"/>
    <w:rsid w:val="1F4B9F76"/>
    <w:rsid w:val="1F7051C4"/>
    <w:rsid w:val="1FFDE27F"/>
    <w:rsid w:val="227B3DFE"/>
    <w:rsid w:val="28FE5094"/>
    <w:rsid w:val="2F7D09B8"/>
    <w:rsid w:val="2FF7145A"/>
    <w:rsid w:val="33FFBC82"/>
    <w:rsid w:val="36DA1DB0"/>
    <w:rsid w:val="36DFC955"/>
    <w:rsid w:val="37411FAD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EF9BF58"/>
    <w:rsid w:val="4F7F4C58"/>
    <w:rsid w:val="4F7FCCCE"/>
    <w:rsid w:val="4FAB1650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D638F94"/>
    <w:rsid w:val="5D991C65"/>
    <w:rsid w:val="5DB8E684"/>
    <w:rsid w:val="5DBB8C98"/>
    <w:rsid w:val="5DBFEC95"/>
    <w:rsid w:val="5ECC69D0"/>
    <w:rsid w:val="5EFD8577"/>
    <w:rsid w:val="5EFFA302"/>
    <w:rsid w:val="5F6311F6"/>
    <w:rsid w:val="5FC5111D"/>
    <w:rsid w:val="5FDD1BF4"/>
    <w:rsid w:val="5FFDEC69"/>
    <w:rsid w:val="62F45876"/>
    <w:rsid w:val="63ED469E"/>
    <w:rsid w:val="63FB87DF"/>
    <w:rsid w:val="64040FFF"/>
    <w:rsid w:val="65167D25"/>
    <w:rsid w:val="657F9B6D"/>
    <w:rsid w:val="6BFDADD3"/>
    <w:rsid w:val="6DE8ECF5"/>
    <w:rsid w:val="6E61A2CC"/>
    <w:rsid w:val="6EDCF3CC"/>
    <w:rsid w:val="6FEE8442"/>
    <w:rsid w:val="6FFEACBF"/>
    <w:rsid w:val="74FB85AA"/>
    <w:rsid w:val="7568A413"/>
    <w:rsid w:val="75FD9A3D"/>
    <w:rsid w:val="797FDA64"/>
    <w:rsid w:val="79CBA17E"/>
    <w:rsid w:val="79DBF48C"/>
    <w:rsid w:val="7B3F1108"/>
    <w:rsid w:val="7BF637EF"/>
    <w:rsid w:val="7BF7A20A"/>
    <w:rsid w:val="7BFF9F92"/>
    <w:rsid w:val="7DE7E541"/>
    <w:rsid w:val="7DF5DB6F"/>
    <w:rsid w:val="7E05038E"/>
    <w:rsid w:val="7E2EE1F8"/>
    <w:rsid w:val="7EA76626"/>
    <w:rsid w:val="7EB69D70"/>
    <w:rsid w:val="7ED348BC"/>
    <w:rsid w:val="7ED37CE2"/>
    <w:rsid w:val="7EEF3593"/>
    <w:rsid w:val="7EFC6C9B"/>
    <w:rsid w:val="7EFED9F9"/>
    <w:rsid w:val="7F1729A4"/>
    <w:rsid w:val="7F6F052B"/>
    <w:rsid w:val="7F793FB4"/>
    <w:rsid w:val="7FA0939E"/>
    <w:rsid w:val="7FA5FBC5"/>
    <w:rsid w:val="7FAD203B"/>
    <w:rsid w:val="7FDF516A"/>
    <w:rsid w:val="7FE456E3"/>
    <w:rsid w:val="7FFD0735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CF22B5"/>
    <w:rsid w:val="AFEBF807"/>
    <w:rsid w:val="B3FAF705"/>
    <w:rsid w:val="B6F625C8"/>
    <w:rsid w:val="B747F614"/>
    <w:rsid w:val="BAEFC2B0"/>
    <w:rsid w:val="BAFDC9CD"/>
    <w:rsid w:val="BBFFD090"/>
    <w:rsid w:val="BE5D470D"/>
    <w:rsid w:val="BE9FA14C"/>
    <w:rsid w:val="BFBF0BF7"/>
    <w:rsid w:val="BFDF99AE"/>
    <w:rsid w:val="CEEE23A6"/>
    <w:rsid w:val="CEEEB420"/>
    <w:rsid w:val="CFF53FA5"/>
    <w:rsid w:val="D7F37632"/>
    <w:rsid w:val="D9AFF43F"/>
    <w:rsid w:val="D9FF1C85"/>
    <w:rsid w:val="DBBF6681"/>
    <w:rsid w:val="DBBFC11A"/>
    <w:rsid w:val="DBFF08C1"/>
    <w:rsid w:val="DCEFF83E"/>
    <w:rsid w:val="DD8FA973"/>
    <w:rsid w:val="DDCBFD86"/>
    <w:rsid w:val="DEC724C0"/>
    <w:rsid w:val="DEFBD2BE"/>
    <w:rsid w:val="DF5F069A"/>
    <w:rsid w:val="DFFE927F"/>
    <w:rsid w:val="E49A7684"/>
    <w:rsid w:val="E6573DB3"/>
    <w:rsid w:val="E75ABF42"/>
    <w:rsid w:val="E7F46BBB"/>
    <w:rsid w:val="E7F7E697"/>
    <w:rsid w:val="E7FF68E5"/>
    <w:rsid w:val="E9F75660"/>
    <w:rsid w:val="EBFF57E2"/>
    <w:rsid w:val="ECF5EEB2"/>
    <w:rsid w:val="EFB7BAF4"/>
    <w:rsid w:val="EFDA785B"/>
    <w:rsid w:val="EFFF7B6A"/>
    <w:rsid w:val="F3BF70B9"/>
    <w:rsid w:val="F5E269AB"/>
    <w:rsid w:val="F67EDA16"/>
    <w:rsid w:val="F7DFFABA"/>
    <w:rsid w:val="FB77CD13"/>
    <w:rsid w:val="FB87A72E"/>
    <w:rsid w:val="FB9C9EE1"/>
    <w:rsid w:val="FBBB8722"/>
    <w:rsid w:val="FBF7FC5B"/>
    <w:rsid w:val="FBFEE361"/>
    <w:rsid w:val="FBFF4F24"/>
    <w:rsid w:val="FD7FB607"/>
    <w:rsid w:val="FDBE7854"/>
    <w:rsid w:val="FDFFE825"/>
    <w:rsid w:val="FE7FE378"/>
    <w:rsid w:val="FEBB7710"/>
    <w:rsid w:val="FF3AF5CB"/>
    <w:rsid w:val="FF8985B8"/>
    <w:rsid w:val="FFAE0C27"/>
    <w:rsid w:val="FFBFD1BD"/>
    <w:rsid w:val="FFCAAB5B"/>
    <w:rsid w:val="FFDBD492"/>
    <w:rsid w:val="FFEF5C74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4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1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8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Hyperlink"/>
    <w:basedOn w:val="21"/>
    <w:qFormat/>
    <w:uiPriority w:val="99"/>
    <w:rPr>
      <w:color w:val="0000FF"/>
      <w:u w:val="single"/>
    </w:rPr>
  </w:style>
  <w:style w:type="paragraph" w:customStyle="1" w:styleId="23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4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29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0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Balloon Text Char"/>
    <w:basedOn w:val="21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2">
    <w:name w:val="AxureTableStyle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3">
    <w:name w:val="Heading 4 Char"/>
    <w:basedOn w:val="21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4">
    <w:name w:val="Heading 5 Char"/>
    <w:basedOn w:val="21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5">
    <w:name w:val="AxureImageParagraph"/>
    <w:basedOn w:val="1"/>
    <w:qFormat/>
    <w:uiPriority w:val="0"/>
    <w:pPr>
      <w:jc w:val="center"/>
    </w:pPr>
  </w:style>
  <w:style w:type="paragraph" w:styleId="36">
    <w:name w:val="No Spacing"/>
    <w:link w:val="37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7">
    <w:name w:val="No Spacing Char"/>
    <w:basedOn w:val="21"/>
    <w:link w:val="36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8">
    <w:name w:val="Header Char"/>
    <w:basedOn w:val="21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39">
    <w:name w:val="Footer Char"/>
    <w:basedOn w:val="21"/>
    <w:link w:val="13"/>
    <w:qFormat/>
    <w:uiPriority w:val="99"/>
    <w:rPr>
      <w:rFonts w:ascii="Arial" w:hAnsi="Arial" w:cs="Arial"/>
      <w:sz w:val="18"/>
      <w:szCs w:val="24"/>
    </w:rPr>
  </w:style>
  <w:style w:type="character" w:styleId="40">
    <w:name w:val="Placeholder Text"/>
    <w:basedOn w:val="21"/>
    <w:semiHidden/>
    <w:qFormat/>
    <w:uiPriority w:val="99"/>
    <w:rPr>
      <w:color w:val="808080"/>
    </w:rPr>
  </w:style>
  <w:style w:type="paragraph" w:customStyle="1" w:styleId="41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2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3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4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5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6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7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8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49">
    <w:name w:val="Axure表格样式"/>
    <w:basedOn w:val="19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0</TotalTime>
  <ScaleCrop>false</ScaleCrop>
  <LinksUpToDate>false</LinksUpToDate>
  <CharactersWithSpaces>3700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2010-10-09T05:47:00Z</dcterms:created>
  <dc:creator>[Your Name]</dc:creator>
  <cp:lastModifiedBy>风过之痕</cp:lastModifiedBy>
  <cp:lastPrinted>2010-10-08T08:33:00Z</cp:lastPrinted>
  <dcterms:modified xsi:type="dcterms:W3CDTF">2023-07-04T17:59:15Z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26E8800BB2A53D1EAD85F863DB4D9814</vt:lpwstr>
  </property>
</Properties>
</file>