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渠道自定义公众号需求</w:t>
      </w:r>
    </w:p>
    <w:p>
      <w:pPr>
        <w:rPr>
          <w:rFonts w:hint="eastAsia"/>
          <w:lang w:val="en-US" w:eastAsia="zh-Hans"/>
        </w:rPr>
      </w:pPr>
    </w:p>
    <w:p>
      <w:pPr>
        <w:numPr>
          <w:ilvl w:val="0"/>
          <w:numId w:val="2"/>
        </w:numPr>
        <w:outlineLvl w:val="0"/>
        <w:rPr>
          <w:rFonts w:hint="eastAsia"/>
          <w:sz w:val="28"/>
          <w:szCs w:val="28"/>
          <w:lang w:val="en-US" w:eastAsia="zh-Hans"/>
        </w:rPr>
      </w:pPr>
      <w:r>
        <w:rPr>
          <w:rFonts w:hint="eastAsia"/>
          <w:sz w:val="28"/>
          <w:szCs w:val="28"/>
          <w:lang w:val="en-US" w:eastAsia="zh-Hans"/>
        </w:rPr>
        <w:t>需求背景</w:t>
      </w:r>
    </w:p>
    <w:p>
      <w:pPr>
        <w:numPr>
          <w:ilvl w:val="0"/>
          <w:numId w:val="0"/>
        </w:numPr>
        <w:ind w:firstLine="720" w:firstLineChars="0"/>
        <w:outlineLvl w:val="0"/>
        <w:rPr>
          <w:rFonts w:hint="default"/>
          <w:sz w:val="28"/>
          <w:szCs w:val="28"/>
          <w:lang w:val="en-US" w:eastAsia="zh-Hans"/>
        </w:rPr>
      </w:pPr>
      <w:r>
        <w:rPr>
          <w:rFonts w:hint="eastAsia"/>
          <w:sz w:val="21"/>
          <w:szCs w:val="21"/>
          <w:lang w:val="en-US" w:eastAsia="zh-Hans"/>
        </w:rPr>
        <w:t>对业务量比较大的渠道或签约方，需为其运营专属公众号，使用其品牌进行获客推广</w:t>
      </w:r>
    </w:p>
    <w:p>
      <w:pPr>
        <w:numPr>
          <w:ilvl w:val="0"/>
          <w:numId w:val="2"/>
        </w:numPr>
        <w:outlineLvl w:val="0"/>
        <w:rPr>
          <w:rFonts w:hint="eastAsia"/>
          <w:sz w:val="28"/>
          <w:szCs w:val="28"/>
          <w:lang w:val="en-US" w:eastAsia="zh-Hans"/>
        </w:rPr>
      </w:pPr>
      <w:r>
        <w:rPr>
          <w:rFonts w:hint="eastAsia"/>
          <w:sz w:val="28"/>
          <w:szCs w:val="28"/>
          <w:lang w:val="en-US" w:eastAsia="zh-Hans"/>
        </w:rPr>
        <w:t>需求内容</w:t>
      </w:r>
    </w:p>
    <w:p>
      <w:pPr>
        <w:numPr>
          <w:ilvl w:val="0"/>
          <w:numId w:val="3"/>
        </w:numPr>
        <w:tabs>
          <w:tab w:val="left" w:pos="1222"/>
        </w:tabs>
        <w:bidi w:val="0"/>
        <w:ind w:left="0" w:leftChars="0" w:firstLine="720" w:firstLineChars="0"/>
        <w:jc w:val="left"/>
        <w:outlineLvl w:val="1"/>
        <w:rPr>
          <w:rFonts w:hint="default"/>
          <w:b/>
          <w:bCs/>
          <w:sz w:val="24"/>
          <w:szCs w:val="40"/>
          <w:lang w:eastAsia="zh-Hans"/>
        </w:rPr>
      </w:pPr>
      <w:r>
        <w:rPr>
          <w:rFonts w:hint="eastAsia"/>
          <w:b/>
          <w:bCs/>
          <w:sz w:val="24"/>
          <w:szCs w:val="40"/>
          <w:lang w:val="en-US" w:eastAsia="zh-Hans"/>
        </w:rPr>
        <w:t>趣伴卡推客H</w:t>
      </w:r>
      <w:r>
        <w:rPr>
          <w:rFonts w:hint="default"/>
          <w:b/>
          <w:bCs/>
          <w:sz w:val="24"/>
          <w:szCs w:val="40"/>
          <w:lang w:eastAsia="zh-Hans"/>
        </w:rPr>
        <w:t>5</w:t>
      </w:r>
    </w:p>
    <w:p>
      <w:pPr>
        <w:numPr>
          <w:ilvl w:val="0"/>
          <w:numId w:val="0"/>
        </w:numPr>
        <w:tabs>
          <w:tab w:val="left" w:pos="1222"/>
        </w:tabs>
        <w:bidi w:val="0"/>
        <w:ind w:left="720" w:leftChars="0"/>
        <w:jc w:val="left"/>
        <w:outlineLvl w:val="2"/>
        <w:rPr>
          <w:rFonts w:hint="default"/>
          <w:lang w:val="en-US" w:eastAsia="zh-Hans"/>
        </w:rPr>
      </w:pPr>
      <w:r>
        <w:rPr>
          <w:rFonts w:hint="default"/>
          <w:lang w:eastAsia="zh-Hans"/>
        </w:rPr>
        <w:tab/>
      </w:r>
      <w:r>
        <w:rPr>
          <w:rFonts w:hint="eastAsia"/>
          <w:b/>
          <w:bCs/>
          <w:sz w:val="21"/>
          <w:szCs w:val="32"/>
          <w:lang w:eastAsia="zh-Hans"/>
        </w:rPr>
        <w:t>（</w:t>
      </w:r>
      <w:r>
        <w:rPr>
          <w:rFonts w:hint="default"/>
          <w:b/>
          <w:bCs/>
          <w:sz w:val="21"/>
          <w:szCs w:val="32"/>
          <w:lang w:eastAsia="zh-Hans"/>
        </w:rPr>
        <w:t>1</w:t>
      </w:r>
      <w:r>
        <w:rPr>
          <w:rFonts w:hint="eastAsia"/>
          <w:b/>
          <w:bCs/>
          <w:sz w:val="21"/>
          <w:szCs w:val="32"/>
          <w:lang w:eastAsia="zh-Hans"/>
        </w:rPr>
        <w:t>）</w:t>
      </w:r>
      <w:r>
        <w:rPr>
          <w:rFonts w:hint="eastAsia"/>
          <w:b/>
          <w:bCs/>
          <w:sz w:val="21"/>
          <w:szCs w:val="32"/>
          <w:lang w:val="en-US" w:eastAsia="zh-Hans"/>
        </w:rPr>
        <w:t>推广入口</w:t>
      </w:r>
    </w:p>
    <w:p>
      <w:pPr>
        <w:numPr>
          <w:ilvl w:val="0"/>
          <w:numId w:val="0"/>
        </w:numPr>
        <w:tabs>
          <w:tab w:val="left" w:pos="1222"/>
        </w:tabs>
        <w:bidi w:val="0"/>
        <w:ind w:left="720" w:leftChars="0"/>
        <w:jc w:val="left"/>
        <w:rPr>
          <w:rFonts w:hint="eastAsia"/>
          <w:lang w:val="en-US" w:eastAsia="zh-Hans"/>
        </w:rPr>
      </w:pPr>
      <w:r>
        <w:rPr>
          <w:rFonts w:hint="default"/>
          <w:lang w:eastAsia="zh-Hans"/>
        </w:rPr>
        <w:tab/>
      </w:r>
      <w:r>
        <w:rPr>
          <w:rFonts w:hint="eastAsia"/>
          <w:lang w:val="en-US" w:eastAsia="zh-Hans"/>
        </w:rPr>
        <w:t>全产品推广、单产品推广的面对面推广页面，二维码根据渠道对应的公众号，生成对应的二维码。</w:t>
      </w:r>
    </w:p>
    <w:p>
      <w:pPr>
        <w:numPr>
          <w:ilvl w:val="0"/>
          <w:numId w:val="0"/>
        </w:numPr>
        <w:tabs>
          <w:tab w:val="left" w:pos="1222"/>
        </w:tabs>
        <w:bidi w:val="0"/>
        <w:ind w:left="720" w:leftChars="0"/>
        <w:jc w:val="left"/>
        <w:rPr>
          <w:rFonts w:hint="default"/>
          <w:lang w:val="en-US" w:eastAsia="zh-Hans"/>
        </w:rPr>
      </w:pPr>
      <w:r>
        <w:rPr>
          <w:rFonts w:hint="default"/>
          <w:lang w:eastAsia="zh-Hans"/>
        </w:rPr>
        <w:tab/>
      </w:r>
      <w:r>
        <w:rPr>
          <w:rFonts w:hint="eastAsia"/>
          <w:lang w:val="en-US" w:eastAsia="zh-Hans"/>
        </w:rPr>
        <w:t>雅琪朵推客跳转至同悦付公众号，appid（wx012330b9b4e774ee）</w:t>
      </w:r>
    </w:p>
    <w:p>
      <w:pPr>
        <w:numPr>
          <w:ilvl w:val="0"/>
          <w:numId w:val="0"/>
        </w:numPr>
        <w:tabs>
          <w:tab w:val="left" w:pos="1222"/>
        </w:tabs>
        <w:bidi w:val="0"/>
        <w:ind w:left="720" w:leftChars="0"/>
        <w:jc w:val="left"/>
        <w:rPr>
          <w:rFonts w:hint="default"/>
          <w:lang w:eastAsia="zh-Hans"/>
        </w:rPr>
      </w:pPr>
      <w:r>
        <w:rPr>
          <w:rFonts w:hint="default"/>
          <w:lang w:eastAsia="zh-Hans"/>
        </w:rPr>
        <w:drawing>
          <wp:inline distT="0" distB="0" distL="114300" distR="114300">
            <wp:extent cx="2282190" cy="4940935"/>
            <wp:effectExtent l="0" t="0" r="3810" b="12065"/>
            <wp:docPr id="3" name="图片 3" descr="IMG_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3471"/>
                    <pic:cNvPicPr>
                      <a:picLocks noChangeAspect="1"/>
                    </pic:cNvPicPr>
                  </pic:nvPicPr>
                  <pic:blipFill>
                    <a:blip r:embed="rId7"/>
                    <a:stretch>
                      <a:fillRect/>
                    </a:stretch>
                  </pic:blipFill>
                  <pic:spPr>
                    <a:xfrm>
                      <a:off x="0" y="0"/>
                      <a:ext cx="2282190" cy="4940935"/>
                    </a:xfrm>
                    <a:prstGeom prst="rect">
                      <a:avLst/>
                    </a:prstGeom>
                  </pic:spPr>
                </pic:pic>
              </a:graphicData>
            </a:graphic>
          </wp:inline>
        </w:drawing>
      </w:r>
    </w:p>
    <w:p>
      <w:pPr>
        <w:rPr>
          <w:rFonts w:hint="eastAsia"/>
          <w:b/>
          <w:bCs/>
          <w:sz w:val="24"/>
          <w:szCs w:val="40"/>
          <w:lang w:val="en-US" w:eastAsia="zh-Hans"/>
        </w:rPr>
      </w:pPr>
      <w:r>
        <w:rPr>
          <w:rFonts w:hint="default"/>
          <w:b/>
          <w:bCs/>
          <w:sz w:val="24"/>
          <w:szCs w:val="40"/>
          <w:lang w:eastAsia="zh-Hans"/>
        </w:rPr>
        <w:t>2</w:t>
      </w:r>
      <w:r>
        <w:rPr>
          <w:rFonts w:hint="eastAsia"/>
          <w:b/>
          <w:bCs/>
          <w:sz w:val="24"/>
          <w:szCs w:val="40"/>
          <w:lang w:eastAsia="zh-Hans"/>
        </w:rPr>
        <w:t>、</w:t>
      </w:r>
      <w:r>
        <w:rPr>
          <w:rFonts w:hint="eastAsia"/>
          <w:b/>
          <w:bCs/>
          <w:sz w:val="24"/>
          <w:szCs w:val="40"/>
          <w:lang w:val="en-US" w:eastAsia="zh-Hans"/>
        </w:rPr>
        <w:t>结算逻辑变动</w:t>
      </w:r>
    </w:p>
    <w:p>
      <w:pPr>
        <w:numPr>
          <w:ilvl w:val="0"/>
          <w:numId w:val="0"/>
        </w:numPr>
        <w:tabs>
          <w:tab w:val="left" w:pos="1222"/>
        </w:tabs>
        <w:bidi w:val="0"/>
        <w:spacing w:before="120" w:after="120"/>
        <w:ind w:left="1222" w:leftChars="0"/>
        <w:jc w:val="left"/>
        <w:outlineLvl w:val="9"/>
        <w:rPr>
          <w:rFonts w:hint="default"/>
          <w:lang w:val="en-US" w:eastAsia="zh-Hans"/>
        </w:rPr>
      </w:pPr>
      <w:bookmarkStart w:id="0" w:name="_GoBack"/>
      <w:r>
        <w:rPr>
          <w:rFonts w:hint="eastAsia"/>
          <w:lang w:val="en-US" w:eastAsia="zh-Hans"/>
        </w:rPr>
        <w:t>在Apollo中配置指定渠道</w:t>
      </w:r>
      <w:r>
        <w:rPr>
          <w:rFonts w:hint="default"/>
          <w:lang w:eastAsia="zh-Hans"/>
        </w:rPr>
        <w:t>=</w:t>
      </w:r>
      <w:r>
        <w:rPr>
          <w:rFonts w:hint="eastAsia"/>
          <w:lang w:val="en-US" w:eastAsia="zh-Hans"/>
        </w:rPr>
        <w:t>雅琪朵推客产生的客户经营收益对应的客户经营收益比例与控台银行结算规则中的不同，客户经营收益比例也可以在Apollo中配置，所设置的比例会分配至业务员结算数据中（信用卡、贷款），用卡评测和活动奖励不影响，剩余比例由趣伴卡保留，与雅琪朵进行月结。</w:t>
      </w:r>
    </w:p>
    <w:bookmarkEnd w:id="0"/>
    <w:sectPr>
      <w:headerReference r:id="rId4" w:type="default"/>
      <w:footerReference r:id="rId5" w:type="default"/>
      <w:type w:val="continuous"/>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404040" w:themeColor="text1" w:themeTint="BF"/>
              <w:sz w:val="22"/>
              <w:szCs w:val="22"/>
              <w14:textFill>
                <w14:solidFill>
                  <w14:schemeClr w14:val="tx1">
                    <w14:lumMod w14:val="75000"/>
                    <w14:lumOff w14:val="25000"/>
                  </w14:schemeClr>
                </w14:solidFill>
              </w14:textFill>
            </w:rPr>
          </w:pPr>
          <w:r>
            <w:rPr>
              <w:rFonts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asciiTheme="majorHAnsi" w:hAnsiTheme="majorHAnsi"/>
              <w:color w:val="404040" w:themeColor="text1" w:themeTint="BF"/>
              <w:sz w:val="22"/>
              <w:szCs w:val="22"/>
              <w14:textFill>
                <w14:solidFill>
                  <w14:schemeClr w14:val="tx1">
                    <w14:lumMod w14:val="75000"/>
                    <w14:lumOff w14:val="25000"/>
                  </w14:schemeClr>
                </w14:solidFill>
              </w14:textFill>
            </w:rPr>
            <w:t>3</w:t>
          </w:r>
          <w:r>
            <w:rPr>
              <w:rFonts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404040" w:themeColor="text1" w:themeTint="BF"/>
              <w14:textFill>
                <w14:solidFill>
                  <w14:schemeClr w14:val="tx1">
                    <w14:lumMod w14:val="75000"/>
                    <w14:lumOff w14:val="25000"/>
                  </w14:schemeClr>
                </w14:solidFill>
              </w14:textFill>
            </w:rPr>
            <w:alias w:val="Title"/>
            <w:id w:val="436407044"/>
            <w:text/>
          </w:sdtPr>
          <w:sdtEndPr>
            <w:rPr>
              <w:rFonts w:asciiTheme="majorHAnsi" w:hAnsiTheme="majorHAnsi"/>
              <w:color w:val="404040" w:themeColor="text1" w:themeTint="BF"/>
              <w14:textFill>
                <w14:solidFill>
                  <w14:schemeClr w14:val="tx1">
                    <w14:lumMod w14:val="75000"/>
                    <w14:lumOff w14:val="25000"/>
                  </w14:schemeClr>
                </w14:solidFill>
              </w14:textFill>
            </w:rPr>
          </w:sdtEndPr>
          <w:sdtContent>
            <w:p>
              <w:pPr>
                <w:pStyle w:val="33"/>
                <w:rPr>
                  <w:rFonts w:asciiTheme="majorHAnsi" w:hAnsiTheme="majorHAnsi"/>
                </w:rPr>
              </w:pPr>
              <w:r>
                <w:rPr>
                  <w:rFonts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BF694C"/>
    <w:multiLevelType w:val="multilevel"/>
    <w:tmpl w:val="EFBF694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2399674"/>
    <w:multiLevelType w:val="multilevel"/>
    <w:tmpl w:val="62399674"/>
    <w:lvl w:ilvl="0" w:tentative="0">
      <w:start w:val="1"/>
      <w:numFmt w:val="chineseCounting"/>
      <w:suff w:val="nothing"/>
      <w:lvlText w:val="%1、"/>
      <w:lvlJc w:val="left"/>
      <w:rPr>
        <w:rFonts w:hint="eastAsia"/>
        <w:sz w:val="28"/>
        <w:szCs w:val="28"/>
      </w:rPr>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2">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0A341"/>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22FED367"/>
    <w:rsid w:val="23EE5046"/>
    <w:rsid w:val="3B373D89"/>
    <w:rsid w:val="3EF289E1"/>
    <w:rsid w:val="3FFF055D"/>
    <w:rsid w:val="3FFFD2A8"/>
    <w:rsid w:val="4ACBB8AF"/>
    <w:rsid w:val="4FFC699B"/>
    <w:rsid w:val="58AFBB3E"/>
    <w:rsid w:val="5B59964A"/>
    <w:rsid w:val="65EFE6B3"/>
    <w:rsid w:val="674B12E8"/>
    <w:rsid w:val="6B797A95"/>
    <w:rsid w:val="6EF5948B"/>
    <w:rsid w:val="7DCA8D76"/>
    <w:rsid w:val="7DEF763B"/>
    <w:rsid w:val="7DFE05AF"/>
    <w:rsid w:val="7E7B4C0D"/>
    <w:rsid w:val="7EFD369D"/>
    <w:rsid w:val="7F33E196"/>
    <w:rsid w:val="7F7D444D"/>
    <w:rsid w:val="7F7FA926"/>
    <w:rsid w:val="7F93577F"/>
    <w:rsid w:val="7FD8958D"/>
    <w:rsid w:val="8B7F3242"/>
    <w:rsid w:val="91DE2AB4"/>
    <w:rsid w:val="97FFB181"/>
    <w:rsid w:val="A7FFB6E5"/>
    <w:rsid w:val="ADFDF052"/>
    <w:rsid w:val="B4FCEF70"/>
    <w:rsid w:val="CF951D73"/>
    <w:rsid w:val="D7EDFE10"/>
    <w:rsid w:val="D7F5C9DD"/>
    <w:rsid w:val="DB7769B7"/>
    <w:rsid w:val="DDF76F20"/>
    <w:rsid w:val="DED662AF"/>
    <w:rsid w:val="DFC74F1C"/>
    <w:rsid w:val="EFBBB157"/>
    <w:rsid w:val="EFF716F7"/>
    <w:rsid w:val="EFFFD297"/>
    <w:rsid w:val="F30F4CE7"/>
    <w:rsid w:val="F7A21D96"/>
    <w:rsid w:val="F7F26B54"/>
    <w:rsid w:val="F7FA14DC"/>
    <w:rsid w:val="F97D534D"/>
    <w:rsid w:val="FA7D5788"/>
    <w:rsid w:val="FA9E8846"/>
    <w:rsid w:val="FBBFEA0C"/>
    <w:rsid w:val="FEAEB842"/>
    <w:rsid w:val="FFFFCC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qFormat/>
    <w:uiPriority w:val="99"/>
    <w:rPr>
      <w:color w:val="0000FF"/>
      <w:u w:val="single"/>
    </w:rPr>
  </w:style>
  <w:style w:type="paragraph" w:customStyle="1" w:styleId="20">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1">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2">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3">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4">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qFormat/>
    <w:uiPriority w:val="0"/>
    <w:pPr>
      <w:spacing w:before="60" w:after="60"/>
    </w:pPr>
    <w:rPr>
      <w:sz w:val="16"/>
    </w:rPr>
  </w:style>
  <w:style w:type="paragraph" w:customStyle="1" w:styleId="27">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28">
    <w:name w:val="Balloon Text Char"/>
    <w:basedOn w:val="18"/>
    <w:link w:val="10"/>
    <w:qFormat/>
    <w:uiPriority w:val="0"/>
    <w:rPr>
      <w:rFonts w:ascii="Tahoma" w:hAnsi="Tahoma" w:cs="Tahoma"/>
      <w:sz w:val="16"/>
      <w:szCs w:val="16"/>
    </w:rPr>
  </w:style>
  <w:style w:type="table" w:customStyle="1" w:styleId="29">
    <w:name w:val="AxureTableStyle"/>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8"/>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1">
    <w:name w:val="Heading 5 Char"/>
    <w:basedOn w:val="18"/>
    <w:link w:val="6"/>
    <w:qFormat/>
    <w:uiPriority w:val="0"/>
    <w:rPr>
      <w:rFonts w:asciiTheme="majorHAnsi" w:hAnsiTheme="majorHAnsi" w:eastAsiaTheme="majorEastAsia" w:cstheme="majorBidi"/>
      <w:color w:val="254061" w:themeColor="accent1" w:themeShade="80"/>
      <w:sz w:val="18"/>
      <w:szCs w:val="24"/>
    </w:rPr>
  </w:style>
  <w:style w:type="paragraph" w:customStyle="1" w:styleId="32">
    <w:name w:val="AxureImageParagraph"/>
    <w:basedOn w:val="1"/>
    <w:qFormat/>
    <w:uiPriority w:val="0"/>
    <w:pPr>
      <w:jc w:val="center"/>
    </w:pPr>
  </w:style>
  <w:style w:type="paragraph" w:customStyle="1"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8"/>
    <w:link w:val="33"/>
    <w:qFormat/>
    <w:uiPriority w:val="1"/>
    <w:rPr>
      <w:rFonts w:asciiTheme="minorHAnsi" w:hAnsiTheme="minorHAnsi" w:eastAsiaTheme="minorEastAsia" w:cstheme="minorBidi"/>
      <w:sz w:val="22"/>
      <w:szCs w:val="22"/>
    </w:rPr>
  </w:style>
  <w:style w:type="character" w:customStyle="1" w:styleId="35">
    <w:name w:val="Header Char"/>
    <w:basedOn w:val="18"/>
    <w:link w:val="12"/>
    <w:qFormat/>
    <w:uiPriority w:val="99"/>
    <w:rPr>
      <w:rFonts w:ascii="Arial" w:hAnsi="Arial" w:cs="Arial"/>
      <w:sz w:val="18"/>
      <w:szCs w:val="24"/>
    </w:rPr>
  </w:style>
  <w:style w:type="character" w:customStyle="1" w:styleId="36">
    <w:name w:val="Footer Char"/>
    <w:basedOn w:val="18"/>
    <w:link w:val="11"/>
    <w:qFormat/>
    <w:uiPriority w:val="99"/>
    <w:rPr>
      <w:rFonts w:ascii="Arial" w:hAnsi="Arial" w:cs="Arial"/>
      <w:sz w:val="18"/>
      <w:szCs w:val="24"/>
    </w:rPr>
  </w:style>
  <w:style w:type="character" w:customStyle="1" w:styleId="37">
    <w:name w:val="Placeholder Text"/>
    <w:basedOn w:val="18"/>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qFormat/>
    <w:uiPriority w:val="0"/>
    <w:pPr>
      <w:outlineLvl w:val="1"/>
    </w:pPr>
    <w:rPr>
      <w:b/>
      <w:color w:val="auto"/>
      <w:sz w:val="26"/>
    </w:rPr>
  </w:style>
  <w:style w:type="paragraph" w:customStyle="1" w:styleId="41">
    <w:name w:val="AxureHeading31"/>
    <w:basedOn w:val="1"/>
    <w:qFormat/>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qFormat/>
    <w:uiPriority w:val="0"/>
    <w:pPr>
      <w:spacing w:before="60" w:after="60"/>
    </w:pPr>
    <w:rPr>
      <w:b/>
      <w:sz w:val="16"/>
    </w:rPr>
  </w:style>
  <w:style w:type="paragraph" w:customStyle="1" w:styleId="44">
    <w:name w:val="Axure表格常规文字"/>
    <w:basedOn w:val="1"/>
    <w:qFormat/>
    <w:uiPriority w:val="0"/>
    <w:pPr>
      <w:spacing w:before="60" w:after="60"/>
    </w:pPr>
    <w:rPr>
      <w:sz w:val="16"/>
    </w:rPr>
  </w:style>
  <w:style w:type="paragraph" w:customStyle="1" w:styleId="45">
    <w:name w:val="Axure基本标题"/>
    <w:basedOn w:val="1"/>
    <w:qFormat/>
    <w:uiPriority w:val="0"/>
    <w:pPr>
      <w:spacing w:before="240"/>
    </w:pPr>
    <w:rPr>
      <w:b/>
      <w:u w:val="single"/>
    </w:rPr>
  </w:style>
  <w:style w:type="table" w:customStyle="1" w:styleId="46">
    <w:name w:val="Axure表格样式"/>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TotalTime>48</TotalTime>
  <ScaleCrop>false</ScaleCrop>
  <LinksUpToDate>false</LinksUpToDate>
  <CharactersWithSpaces>615</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2010-09-14T13:47:00Z</dcterms:created>
  <dc:creator>[Your Name]</dc:creator>
  <cp:lastModifiedBy>风过之痕</cp:lastModifiedBy>
  <cp:lastPrinted>2010-09-13T16:33:00Z</cp:lastPrinted>
  <dcterms:modified xsi:type="dcterms:W3CDTF">2022-09-05T18:10:07Z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87549133497FE5804279CE6213BA0E95</vt:lpwstr>
  </property>
</Properties>
</file>