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  <w:outlineLvl w:val="9"/>
        <w:rPr>
          <w:rFonts w:hint="eastAsia" w:eastAsia="Times New Roman"/>
          <w:b/>
          <w:bCs/>
          <w:sz w:val="30"/>
          <w:szCs w:val="30"/>
          <w:lang w:val="en-US" w:eastAsia="zh-Hans"/>
        </w:rPr>
      </w:pPr>
      <w:bookmarkStart w:id="0" w:name="_GoBack"/>
      <w:r>
        <w:rPr>
          <w:rFonts w:hint="eastAsia"/>
          <w:b/>
          <w:bCs/>
          <w:sz w:val="30"/>
          <w:szCs w:val="30"/>
          <w:lang w:val="en-US" w:eastAsia="zh-Hans"/>
        </w:rPr>
        <w:t>首页、卡种中心展示优化需求</w:t>
      </w:r>
      <w:bookmarkEnd w:id="0"/>
    </w:p>
    <w:p>
      <w:pPr>
        <w:pStyle w:val="32"/>
        <w:numPr>
          <w:ilvl w:val="0"/>
          <w:numId w:val="2"/>
        </w:numPr>
        <w:jc w:val="left"/>
        <w:outlineLvl w:val="0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需求背景</w:t>
      </w:r>
    </w:p>
    <w:p>
      <w:pPr>
        <w:pStyle w:val="32"/>
        <w:numPr>
          <w:ilvl w:val="0"/>
          <w:numId w:val="3"/>
        </w:numPr>
        <w:ind w:firstLine="720" w:firstLineChars="0"/>
        <w:jc w:val="left"/>
        <w:outlineLvl w:val="9"/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兴业银行</w:t>
      </w:r>
      <w:r>
        <w:rPr>
          <w:rFonts w:hint="default"/>
          <w:sz w:val="28"/>
          <w:szCs w:val="28"/>
          <w:lang w:eastAsia="zh-Hans"/>
        </w:rPr>
        <w:t>4</w:t>
      </w:r>
      <w:r>
        <w:rPr>
          <w:rFonts w:hint="eastAsia"/>
          <w:sz w:val="28"/>
          <w:szCs w:val="28"/>
          <w:lang w:val="en-US" w:eastAsia="zh-Hans"/>
        </w:rPr>
        <w:t>月起仅剩首刷链接，首刷达标金额</w:t>
      </w:r>
      <w:r>
        <w:rPr>
          <w:rFonts w:hint="default"/>
          <w:sz w:val="28"/>
          <w:szCs w:val="28"/>
          <w:lang w:eastAsia="zh-Hans"/>
        </w:rPr>
        <w:t>15</w:t>
      </w:r>
      <w:r>
        <w:rPr>
          <w:rFonts w:hint="eastAsia"/>
          <w:sz w:val="28"/>
          <w:szCs w:val="28"/>
          <w:lang w:val="en-US" w:eastAsia="zh-Hans"/>
        </w:rPr>
        <w:t>元目前无处展示，同时很重要的办卡须知内容必须点击才能查看，需修改展示方式，更方便拓客查看；另办卡须知中内容涉及结算等内容，需在申请人端屏蔽</w:t>
      </w:r>
    </w:p>
    <w:p>
      <w:pPr>
        <w:pStyle w:val="32"/>
        <w:numPr>
          <w:ilvl w:val="0"/>
          <w:numId w:val="3"/>
        </w:numPr>
        <w:ind w:firstLine="720" w:firstLineChars="0"/>
        <w:jc w:val="left"/>
        <w:outlineLvl w:val="9"/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结算金额带小数时可能出现奖励部分换行，调整设计</w:t>
      </w:r>
    </w:p>
    <w:p>
      <w:pPr>
        <w:pStyle w:val="32"/>
        <w:numPr>
          <w:ilvl w:val="0"/>
          <w:numId w:val="2"/>
        </w:numPr>
        <w:jc w:val="left"/>
        <w:outlineLvl w:val="0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需求范围</w:t>
      </w:r>
    </w:p>
    <w:p>
      <w:pPr>
        <w:pStyle w:val="32"/>
        <w:numPr>
          <w:ilvl w:val="0"/>
          <w:numId w:val="4"/>
        </w:numPr>
        <w:ind w:firstLine="720" w:firstLineChars="0"/>
        <w:jc w:val="left"/>
        <w:outlineLvl w:val="9"/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推客端页面、申请人端页面</w:t>
      </w:r>
    </w:p>
    <w:p>
      <w:pPr>
        <w:pStyle w:val="32"/>
        <w:numPr>
          <w:ilvl w:val="0"/>
          <w:numId w:val="4"/>
        </w:numPr>
        <w:ind w:firstLine="720" w:firstLineChars="0"/>
        <w:jc w:val="left"/>
        <w:outlineLvl w:val="9"/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趣伴卡控台</w:t>
      </w:r>
    </w:p>
    <w:p>
      <w:pPr>
        <w:pStyle w:val="32"/>
        <w:numPr>
          <w:ilvl w:val="0"/>
          <w:numId w:val="2"/>
        </w:numPr>
        <w:jc w:val="left"/>
        <w:outlineLvl w:val="0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需求内容</w:t>
      </w:r>
    </w:p>
    <w:p>
      <w:pPr>
        <w:pStyle w:val="32"/>
        <w:numPr>
          <w:ilvl w:val="0"/>
          <w:numId w:val="5"/>
        </w:numPr>
        <w:ind w:firstLine="720" w:firstLineChars="0"/>
        <w:jc w:val="left"/>
        <w:outlineLvl w:val="9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卡种中心推广须知展示优化</w:t>
      </w:r>
    </w:p>
    <w:p>
      <w:pPr>
        <w:pStyle w:val="32"/>
        <w:numPr>
          <w:numId w:val="0"/>
        </w:numPr>
        <w:ind w:left="720" w:leftChars="0" w:firstLine="720" w:firstLineChars="0"/>
        <w:jc w:val="left"/>
        <w:outlineLvl w:val="9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进入卡种中心后默认展示推广须知（原办卡须知）</w:t>
      </w:r>
      <w:r>
        <w:rPr>
          <w:rFonts w:hint="default"/>
          <w:sz w:val="28"/>
          <w:szCs w:val="28"/>
          <w:lang w:eastAsia="zh-Hans"/>
        </w:rPr>
        <w:t>3</w:t>
      </w:r>
      <w:r>
        <w:rPr>
          <w:rFonts w:hint="eastAsia"/>
          <w:sz w:val="28"/>
          <w:szCs w:val="28"/>
          <w:lang w:val="en-US" w:eastAsia="zh-Hans"/>
        </w:rPr>
        <w:t>行文本内容，用户可点击查看更多展开全部内容，展开后点击收起可恢复</w:t>
      </w:r>
    </w:p>
    <w:p>
      <w:pPr>
        <w:pStyle w:val="32"/>
        <w:numPr>
          <w:numId w:val="0"/>
        </w:numPr>
        <w:ind w:left="720" w:leftChars="0" w:firstLine="720" w:firstLineChars="0"/>
        <w:jc w:val="left"/>
        <w:outlineLvl w:val="9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在申请人端，屏蔽推广须知内容展示</w:t>
      </w:r>
    </w:p>
    <w:p>
      <w:pPr>
        <w:pStyle w:val="32"/>
        <w:numPr>
          <w:numId w:val="0"/>
        </w:numPr>
        <w:ind w:left="720" w:leftChars="0" w:firstLine="720" w:firstLineChars="0"/>
        <w:jc w:val="left"/>
        <w:outlineLvl w:val="9"/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drawing>
          <wp:inline distT="0" distB="0" distL="114300" distR="114300">
            <wp:extent cx="2051685" cy="4538345"/>
            <wp:effectExtent l="0" t="0" r="5715" b="8255"/>
            <wp:docPr id="2" name="图片 2" descr="卡种中心推广须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种中心推广须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zh-Hans"/>
        </w:rPr>
        <w:drawing>
          <wp:inline distT="0" distB="0" distL="114300" distR="114300">
            <wp:extent cx="2052955" cy="4539615"/>
            <wp:effectExtent l="0" t="0" r="4445" b="6985"/>
            <wp:docPr id="3" name="图片 3" descr="卡种中心推广须知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卡种中心推广须知详情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5"/>
        </w:numPr>
        <w:ind w:firstLine="720" w:firstLineChars="0"/>
        <w:jc w:val="left"/>
        <w:outlineLvl w:val="9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首页调整红色奖金区域条目宽度，以容纳带小数后的奖励金额</w:t>
      </w:r>
    </w:p>
    <w:p>
      <w:pPr>
        <w:pStyle w:val="32"/>
        <w:numPr>
          <w:numId w:val="0"/>
        </w:numPr>
        <w:ind w:left="1440" w:leftChars="0" w:firstLine="720" w:firstLineChars="0"/>
        <w:jc w:val="left"/>
        <w:outlineLvl w:val="9"/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drawing>
          <wp:inline distT="0" distB="0" distL="114300" distR="114300">
            <wp:extent cx="3940175" cy="3593465"/>
            <wp:effectExtent l="0" t="0" r="22225" b="13335"/>
            <wp:docPr id="4" name="图片 4" descr="卡片推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卡片推广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以上需求设计图已上传至蓝湖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Hans"/>
        </w:rPr>
      </w:pPr>
    </w:p>
    <w:sectPr>
      <w:headerReference r:id="rId3" w:type="default"/>
      <w:footerReference r:id="rId4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</w:tblPrEx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A5F9C"/>
    <w:multiLevelType w:val="singleLevel"/>
    <w:tmpl w:val="61EA5F9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2172D9D"/>
    <w:multiLevelType w:val="singleLevel"/>
    <w:tmpl w:val="62172D9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2172DE4"/>
    <w:multiLevelType w:val="singleLevel"/>
    <w:tmpl w:val="62172DE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3D93AD"/>
    <w:multiLevelType w:val="singleLevel"/>
    <w:tmpl w:val="623D93A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86B65CA"/>
    <w:multiLevelType w:val="multilevel"/>
    <w:tmpl w:val="786B65CA"/>
    <w:lvl w:ilvl="0" w:tentative="0">
      <w:start w:val="1"/>
      <w:numFmt w:val="decimal"/>
      <w:pStyle w:val="2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attachedTemplate r:id="rId1"/>
  <w:documentProtection w:enforcement="0"/>
  <w:defaultTabStop w:val="720"/>
  <w:drawingGridHorizontalSpacing w:val="9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3F8E2A74"/>
    <w:rsid w:val="4FAB517E"/>
    <w:rsid w:val="5FDB4196"/>
    <w:rsid w:val="5FE73F0F"/>
    <w:rsid w:val="6B93A839"/>
    <w:rsid w:val="6FBBC287"/>
    <w:rsid w:val="74FAE70A"/>
    <w:rsid w:val="75373EEC"/>
    <w:rsid w:val="76BF4295"/>
    <w:rsid w:val="7ABFF619"/>
    <w:rsid w:val="7ECF127F"/>
    <w:rsid w:val="7F317CC4"/>
    <w:rsid w:val="9FF3BB31"/>
    <w:rsid w:val="AFBE5262"/>
    <w:rsid w:val="BD376D29"/>
    <w:rsid w:val="BFDFB1DE"/>
    <w:rsid w:val="BFFF6681"/>
    <w:rsid w:val="BFFF94B0"/>
    <w:rsid w:val="CF7CF883"/>
    <w:rsid w:val="D1EE9E74"/>
    <w:rsid w:val="DFFC6148"/>
    <w:rsid w:val="ECF3A252"/>
    <w:rsid w:val="ED7F12E6"/>
    <w:rsid w:val="EEFF676C"/>
    <w:rsid w:val="EEFF7EAE"/>
    <w:rsid w:val="EFCA4314"/>
    <w:rsid w:val="F2FE07CB"/>
    <w:rsid w:val="F7BE0E55"/>
    <w:rsid w:val="F7DB973C"/>
    <w:rsid w:val="F7EDBCC7"/>
    <w:rsid w:val="FBF714A9"/>
    <w:rsid w:val="FCFFFD0F"/>
    <w:rsid w:val="FDEFEEDB"/>
    <w:rsid w:val="FDFC8D03"/>
    <w:rsid w:val="FF7D9B87"/>
    <w:rsid w:val="FFEFA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5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character" w:styleId="17">
    <w:name w:val="Hyperlink"/>
    <w:basedOn w:val="16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1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6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7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Balloon Text Char"/>
    <w:basedOn w:val="16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29">
    <w:name w:val="AxureTableStyle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0">
    <w:name w:val="Heading 4 Char"/>
    <w:basedOn w:val="16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1">
    <w:name w:val="Heading 5 Char"/>
    <w:basedOn w:val="16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2">
    <w:name w:val="AxureImageParagraph"/>
    <w:basedOn w:val="1"/>
    <w:qFormat/>
    <w:uiPriority w:val="0"/>
    <w:pPr>
      <w:jc w:val="center"/>
    </w:pPr>
  </w:style>
  <w:style w:type="paragraph" w:customStyle="1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4">
    <w:name w:val="No Spacing Char"/>
    <w:basedOn w:val="16"/>
    <w:link w:val="33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5">
    <w:name w:val="Header Char"/>
    <w:basedOn w:val="16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6">
    <w:name w:val="Footer Char"/>
    <w:basedOn w:val="16"/>
    <w:link w:val="11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Placeholder Text"/>
    <w:basedOn w:val="16"/>
    <w:semiHidden/>
    <w:qFormat/>
    <w:uiPriority w:val="99"/>
    <w:rPr>
      <w:color w:val="808080"/>
    </w:rPr>
  </w:style>
  <w:style w:type="paragraph" w:customStyle="1" w:styleId="38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39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0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1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2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3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4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5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6">
    <w:name w:val="Axure表格样式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bo/Library/Containers/com.kingsoft.wpsoffice.mac/Data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</Pages>
  <Words>91</Words>
  <Characters>525</Characters>
  <Lines>4</Lines>
  <Paragraphs>1</Paragraphs>
  <ScaleCrop>false</ScaleCrop>
  <LinksUpToDate>false</LinksUpToDate>
  <CharactersWithSpaces>615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2010-09-14T05:47:00Z</dcterms:created>
  <dc:creator>[Your Name]</dc:creator>
  <cp:lastModifiedBy>hubo</cp:lastModifiedBy>
  <cp:lastPrinted>2010-09-13T08:33:00Z</cp:lastPrinted>
  <dcterms:modified xsi:type="dcterms:W3CDTF">2022-03-25T18:28:50Z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