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hint="eastAsia" w:eastAsia="Times New Roman"/>
          <w:sz w:val="32"/>
          <w:szCs w:val="32"/>
          <w:lang w:val="en-US" w:eastAsia="zh-Hans"/>
        </w:rPr>
      </w:pPr>
      <w:r>
        <w:rPr>
          <w:rFonts w:hint="eastAsia"/>
          <w:sz w:val="32"/>
          <w:szCs w:val="32"/>
          <w:lang w:val="en-US" w:eastAsia="zh-Hans"/>
        </w:rPr>
        <w:t>使用客户登记日期政策并按对应间隔分段结算发放奖励需求</w:t>
      </w:r>
    </w:p>
    <w:p>
      <w:pPr>
        <w:outlineLvl w:val="0"/>
        <w:rPr>
          <w:sz w:val="21"/>
          <w:szCs w:val="32"/>
        </w:rPr>
      </w:pPr>
      <w:r>
        <w:rPr>
          <w:rFonts w:hint="eastAsia" w:ascii="PingFang SC" w:hAnsi="PingFang SC"/>
          <w:b/>
          <w:color w:val="333333"/>
          <w:sz w:val="21"/>
          <w:szCs w:val="32"/>
          <w:lang w:val="en-US" w:eastAsia="zh-Hans"/>
        </w:rPr>
        <w:t>一、</w:t>
      </w:r>
      <w:r>
        <w:rPr>
          <w:rFonts w:ascii="PingFang SC" w:hAnsi="PingFang SC"/>
          <w:b/>
          <w:color w:val="333333"/>
          <w:sz w:val="21"/>
          <w:szCs w:val="32"/>
        </w:rPr>
        <w:t>需求背景</w:t>
      </w:r>
    </w:p>
    <w:p>
      <w:pPr>
        <w:rPr>
          <w:sz w:val="21"/>
          <w:szCs w:val="32"/>
        </w:rPr>
      </w:pPr>
      <w:r>
        <w:rPr>
          <w:rFonts w:ascii="PingFang SC" w:hAnsi="PingFang SC"/>
          <w:b/>
          <w:color w:val="333333"/>
          <w:sz w:val="21"/>
          <w:szCs w:val="32"/>
        </w:rPr>
        <w:t>1、为解决可能得上级恶意调整分润比例，让业务员在推广时可以根据当时的政策确定奖励</w:t>
      </w:r>
    </w:p>
    <w:p>
      <w:pPr>
        <w:rPr>
          <w:sz w:val="21"/>
          <w:szCs w:val="32"/>
        </w:rPr>
      </w:pPr>
      <w:r>
        <w:rPr>
          <w:rFonts w:ascii="PingFang SC" w:hAnsi="PingFang SC"/>
          <w:b/>
          <w:color w:val="333333"/>
          <w:sz w:val="21"/>
          <w:szCs w:val="32"/>
        </w:rPr>
        <w:t>2、银行变动奖励规则，如单次奖励变为两次，按登记日期可避免问题产生</w:t>
      </w:r>
    </w:p>
    <w:p>
      <w:pPr>
        <w:rPr>
          <w:rFonts w:ascii="PingFang SC" w:hAnsi="PingFang SC"/>
          <w:b/>
          <w:color w:val="333333"/>
          <w:sz w:val="21"/>
          <w:szCs w:val="32"/>
        </w:rPr>
      </w:pPr>
      <w:r>
        <w:rPr>
          <w:rFonts w:ascii="PingFang SC" w:hAnsi="PingFang SC"/>
          <w:b/>
          <w:color w:val="333333"/>
          <w:sz w:val="21"/>
          <w:szCs w:val="32"/>
        </w:rPr>
        <w:t>3、为</w:t>
      </w:r>
      <w:r>
        <w:rPr>
          <w:rFonts w:hint="eastAsia" w:ascii="PingFang SC" w:hAnsi="PingFang SC"/>
          <w:b/>
          <w:color w:val="333333"/>
          <w:sz w:val="21"/>
          <w:szCs w:val="32"/>
          <w:lang w:val="en-US" w:eastAsia="zh-Hans"/>
        </w:rPr>
        <w:t>业务员在订单中提供应结金额展示，方便核对</w:t>
      </w:r>
    </w:p>
    <w:p>
      <w:pPr>
        <w:rPr>
          <w:rFonts w:ascii="PingFang SC" w:hAnsi="PingFang SC"/>
          <w:b/>
          <w:color w:val="333333"/>
          <w:sz w:val="21"/>
          <w:szCs w:val="32"/>
        </w:rPr>
      </w:pPr>
      <w:r>
        <w:rPr>
          <w:rFonts w:hint="default" w:ascii="PingFang SC" w:hAnsi="PingFang SC"/>
          <w:b/>
          <w:color w:val="333333"/>
          <w:sz w:val="21"/>
          <w:szCs w:val="32"/>
        </w:rPr>
        <w:t>4</w:t>
      </w:r>
      <w:r>
        <w:rPr>
          <w:rFonts w:hint="eastAsia" w:ascii="PingFang SC" w:hAnsi="PingFang SC"/>
          <w:b/>
          <w:color w:val="333333"/>
          <w:sz w:val="21"/>
          <w:szCs w:val="32"/>
          <w:lang w:eastAsia="zh-Hans"/>
        </w:rPr>
        <w:t>、</w:t>
      </w:r>
      <w:r>
        <w:rPr>
          <w:rFonts w:hint="eastAsia" w:ascii="PingFang SC" w:hAnsi="PingFang SC"/>
          <w:b/>
          <w:color w:val="333333"/>
          <w:sz w:val="21"/>
          <w:szCs w:val="32"/>
        </w:rPr>
        <w:t>趣伴卡现在结算是没有规定结算周期，在可结算范围内都会进行结算。代理商反馈，其余平台价格相对较高。整理外部平台价格后，发现外部平台：是不同周期对应不同价格，凸显高价。如中信首刷280，为0-15天内280，16-30天内110元。经过沟通，代理商对于结算周期拉长后他们的整体收益较高这一客观事实认可度较低，故需要对平台的结算部分进行优化，凸显价格优势</w:t>
      </w:r>
    </w:p>
    <w:p>
      <w:pPr>
        <w:outlineLvl w:val="0"/>
        <w:rPr>
          <w:sz w:val="21"/>
          <w:szCs w:val="32"/>
        </w:rPr>
      </w:pPr>
      <w:r>
        <w:rPr>
          <w:rFonts w:hint="eastAsia" w:ascii="PingFang SC" w:hAnsi="PingFang SC"/>
          <w:b/>
          <w:color w:val="333333"/>
          <w:sz w:val="21"/>
          <w:szCs w:val="32"/>
          <w:lang w:val="en-US" w:eastAsia="zh-Hans"/>
        </w:rPr>
        <w:t>二、</w:t>
      </w:r>
      <w:r>
        <w:rPr>
          <w:rFonts w:ascii="PingFang SC" w:hAnsi="PingFang SC"/>
          <w:b/>
          <w:color w:val="333333"/>
          <w:sz w:val="21"/>
          <w:szCs w:val="32"/>
        </w:rPr>
        <w:t>需求范围</w:t>
      </w:r>
    </w:p>
    <w:p>
      <w:pPr>
        <w:rPr>
          <w:sz w:val="21"/>
          <w:szCs w:val="32"/>
        </w:rPr>
      </w:pPr>
      <w:r>
        <w:rPr>
          <w:rFonts w:ascii="PingFang SC" w:hAnsi="PingFang SC"/>
          <w:b/>
          <w:color w:val="333333"/>
          <w:sz w:val="21"/>
          <w:szCs w:val="32"/>
        </w:rPr>
        <w:t>1</w:t>
      </w:r>
      <w:r>
        <w:rPr>
          <w:rFonts w:hint="eastAsia" w:ascii="PingFang SC" w:hAnsi="PingFang SC"/>
          <w:b/>
          <w:color w:val="333333"/>
          <w:sz w:val="21"/>
          <w:szCs w:val="32"/>
          <w:lang w:eastAsia="zh-Hans"/>
        </w:rPr>
        <w:t>、</w:t>
      </w:r>
      <w:r>
        <w:rPr>
          <w:rFonts w:ascii="PingFang SC" w:hAnsi="PingFang SC"/>
          <w:b/>
          <w:color w:val="333333"/>
          <w:sz w:val="21"/>
          <w:szCs w:val="32"/>
        </w:rPr>
        <w:t>所有趣伴卡推客端页面，包括汇拓客、好拓客、招财考拉、外部对接推客平台</w:t>
      </w:r>
    </w:p>
    <w:p>
      <w:pPr>
        <w:rPr>
          <w:sz w:val="21"/>
          <w:szCs w:val="32"/>
        </w:rPr>
      </w:pPr>
      <w:r>
        <w:rPr>
          <w:rFonts w:ascii="PingFang SC" w:hAnsi="PingFang SC"/>
          <w:b/>
          <w:color w:val="333333"/>
          <w:sz w:val="21"/>
          <w:szCs w:val="32"/>
        </w:rPr>
        <w:t>2、拓客saas使用客户登记日期分润比例进行分润</w:t>
      </w:r>
    </w:p>
    <w:p>
      <w:pPr>
        <w:outlineLvl w:val="0"/>
        <w:rPr>
          <w:sz w:val="21"/>
          <w:szCs w:val="32"/>
        </w:rPr>
      </w:pPr>
      <w:r>
        <w:rPr>
          <w:rFonts w:hint="eastAsia" w:ascii="PingFang SC" w:hAnsi="PingFang SC"/>
          <w:b/>
          <w:color w:val="333333"/>
          <w:sz w:val="21"/>
          <w:szCs w:val="32"/>
          <w:lang w:val="en-US" w:eastAsia="zh-Hans"/>
        </w:rPr>
        <w:t>三、</w:t>
      </w:r>
      <w:r>
        <w:rPr>
          <w:rFonts w:ascii="PingFang SC" w:hAnsi="PingFang SC"/>
          <w:b/>
          <w:color w:val="333333"/>
          <w:sz w:val="21"/>
          <w:szCs w:val="32"/>
        </w:rPr>
        <w:t>需求描述</w:t>
      </w:r>
    </w:p>
    <w:p>
      <w:pPr>
        <w:rPr>
          <w:sz w:val="21"/>
          <w:szCs w:val="32"/>
        </w:rPr>
      </w:pPr>
      <w:r>
        <w:rPr>
          <w:rFonts w:ascii="PingFang SC" w:hAnsi="PingFang SC"/>
          <w:b/>
          <w:color w:val="333333"/>
          <w:sz w:val="21"/>
          <w:szCs w:val="32"/>
        </w:rPr>
        <w:t>1、推广首页</w:t>
      </w:r>
      <w:r>
        <w:rPr>
          <w:rFonts w:hint="eastAsia" w:ascii="PingFang SC" w:hAnsi="PingFang SC"/>
          <w:b/>
          <w:color w:val="333333"/>
          <w:sz w:val="21"/>
          <w:szCs w:val="32"/>
          <w:lang w:val="en-US" w:eastAsia="zh-Hans"/>
        </w:rPr>
        <w:t>，</w:t>
      </w:r>
      <w:r>
        <w:rPr>
          <w:rFonts w:ascii="PingFang SC" w:hAnsi="PingFang SC"/>
          <w:b/>
          <w:color w:val="333333"/>
          <w:sz w:val="21"/>
          <w:szCs w:val="32"/>
        </w:rPr>
        <w:t>给</w:t>
      </w:r>
      <w:r>
        <w:rPr>
          <w:rFonts w:hint="eastAsia" w:ascii="PingFang SC" w:hAnsi="PingFang SC"/>
          <w:b/>
          <w:color w:val="333333"/>
          <w:sz w:val="21"/>
          <w:szCs w:val="32"/>
          <w:lang w:val="en-US" w:eastAsia="zh-Hans"/>
        </w:rPr>
        <w:t>自营推客所有用户，包括</w:t>
      </w:r>
      <w:r>
        <w:rPr>
          <w:rFonts w:ascii="PingFang SC" w:hAnsi="PingFang SC"/>
          <w:b/>
          <w:color w:val="333333"/>
          <w:sz w:val="21"/>
          <w:szCs w:val="32"/>
        </w:rPr>
        <w:t>一代也展示奖励金额</w:t>
      </w:r>
      <w:r>
        <w:rPr>
          <w:rFonts w:hint="eastAsia" w:ascii="PingFang SC" w:hAnsi="PingFang SC"/>
          <w:b/>
          <w:color w:val="333333"/>
          <w:sz w:val="21"/>
          <w:szCs w:val="32"/>
          <w:lang w:eastAsia="zh-Hans"/>
        </w:rPr>
        <w:t>，</w:t>
      </w:r>
      <w:r>
        <w:rPr>
          <w:rFonts w:hint="eastAsia" w:ascii="PingFang SC" w:hAnsi="PingFang SC"/>
          <w:b/>
          <w:color w:val="333333"/>
          <w:sz w:val="21"/>
          <w:szCs w:val="32"/>
          <w:lang w:val="en-US" w:eastAsia="zh-Hans"/>
        </w:rPr>
        <w:t>外部推客平台的用户不展示奖励金额</w:t>
      </w:r>
    </w:p>
    <w:p>
      <w:pPr>
        <w:rPr>
          <w:sz w:val="21"/>
          <w:szCs w:val="32"/>
        </w:rPr>
      </w:pPr>
      <w:r>
        <w:rPr>
          <w:rFonts w:hint="default" w:ascii="PingFang SC" w:hAnsi="PingFang SC"/>
          <w:b/>
          <w:color w:val="333333"/>
          <w:sz w:val="21"/>
          <w:szCs w:val="32"/>
        </w:rPr>
        <w:t>2</w:t>
      </w:r>
      <w:r>
        <w:rPr>
          <w:rFonts w:ascii="PingFang SC" w:hAnsi="PingFang SC"/>
          <w:b/>
          <w:color w:val="333333"/>
          <w:sz w:val="21"/>
          <w:szCs w:val="32"/>
        </w:rPr>
        <w:t>、业务员结算</w:t>
      </w:r>
      <w:r>
        <w:rPr>
          <w:rFonts w:hint="eastAsia" w:ascii="PingFang SC" w:hAnsi="PingFang SC"/>
          <w:b/>
          <w:color w:val="333333"/>
          <w:sz w:val="21"/>
          <w:szCs w:val="32"/>
          <w:lang w:val="en-US" w:eastAsia="zh-Hans"/>
        </w:rPr>
        <w:t>表</w:t>
      </w:r>
      <w:r>
        <w:rPr>
          <w:rFonts w:ascii="PingFang SC" w:hAnsi="PingFang SC"/>
          <w:b/>
          <w:color w:val="333333"/>
          <w:sz w:val="21"/>
          <w:szCs w:val="32"/>
        </w:rPr>
        <w:t>复核中的奖励金额要根据客户登记日期的政策中的金额给出</w:t>
      </w:r>
    </w:p>
    <w:p>
      <w:pPr>
        <w:rPr>
          <w:rFonts w:ascii="PingFang SC" w:hAnsi="PingFang SC"/>
          <w:b/>
          <w:color w:val="333333"/>
          <w:sz w:val="21"/>
          <w:szCs w:val="32"/>
        </w:rPr>
      </w:pPr>
      <w:r>
        <w:rPr>
          <w:rFonts w:hint="default" w:ascii="PingFang SC" w:hAnsi="PingFang SC"/>
          <w:b/>
          <w:color w:val="333333"/>
          <w:sz w:val="21"/>
          <w:szCs w:val="32"/>
        </w:rPr>
        <w:t>3</w:t>
      </w:r>
      <w:r>
        <w:rPr>
          <w:rFonts w:ascii="PingFang SC" w:hAnsi="PingFang SC"/>
          <w:b/>
          <w:color w:val="333333"/>
          <w:sz w:val="21"/>
          <w:szCs w:val="32"/>
        </w:rPr>
        <w:t>、拓客saas计算分润时根据客户登记日期的分润比例计算</w:t>
      </w:r>
    </w:p>
    <w:p>
      <w:pPr>
        <w:rPr>
          <w:rFonts w:ascii="PingFang SC" w:hAnsi="PingFang SC"/>
          <w:b/>
          <w:color w:val="333333"/>
          <w:sz w:val="21"/>
          <w:szCs w:val="32"/>
        </w:rPr>
      </w:pPr>
      <w:r>
        <w:rPr>
          <w:rFonts w:ascii="PingFang SC" w:hAnsi="PingFang SC"/>
          <w:b/>
          <w:color w:val="333333"/>
          <w:sz w:val="21"/>
          <w:szCs w:val="32"/>
        </w:rPr>
        <w:br w:type="page"/>
      </w:r>
    </w:p>
    <w:p>
      <w:pPr>
        <w:outlineLvl w:val="0"/>
        <w:rPr>
          <w:rFonts w:hint="eastAsia" w:eastAsia="Times New Roman"/>
          <w:sz w:val="21"/>
          <w:szCs w:val="32"/>
          <w:lang w:val="en-US" w:eastAsia="zh-Hans"/>
        </w:rPr>
      </w:pPr>
      <w:r>
        <w:rPr>
          <w:rFonts w:hint="eastAsia"/>
          <w:sz w:val="21"/>
          <w:szCs w:val="32"/>
          <w:lang w:val="en-US" w:eastAsia="zh-Hans"/>
        </w:rPr>
        <w:t>四、需求内容：</w:t>
      </w:r>
    </w:p>
    <w:p>
      <w:pPr>
        <w:pStyle w:val="32"/>
        <w:numPr>
          <w:ilvl w:val="0"/>
          <w:numId w:val="0"/>
        </w:numPr>
        <w:jc w:val="left"/>
        <w:outlineLvl w:val="1"/>
        <w:rPr>
          <w:rFonts w:hint="default" w:ascii="Times New Roman Bold" w:hAnsi="Times New Roman Bold" w:cs="Times New Roman Bold"/>
          <w:b/>
          <w:bCs/>
          <w:sz w:val="24"/>
          <w:szCs w:val="24"/>
          <w:lang w:val="en-US" w:eastAsia="zh-Hans"/>
        </w:rPr>
      </w:pPr>
      <w:r>
        <w:rPr>
          <w:rFonts w:hint="default" w:ascii="Times New Roman Bold" w:hAnsi="Times New Roman Bold" w:cs="Times New Roman Bold"/>
          <w:b/>
          <w:bCs/>
          <w:sz w:val="24"/>
          <w:szCs w:val="24"/>
          <w:lang w:eastAsia="zh-Hans"/>
        </w:rPr>
        <w:t>1</w:t>
      </w:r>
      <w:r>
        <w:rPr>
          <w:rFonts w:hint="eastAsia" w:ascii="Times New Roman Bold" w:hAnsi="Times New Roman Bold" w:cs="Times New Roman Bold"/>
          <w:b/>
          <w:bCs/>
          <w:sz w:val="24"/>
          <w:szCs w:val="24"/>
          <w:lang w:eastAsia="zh-Hans"/>
        </w:rPr>
        <w:t>、</w:t>
      </w:r>
      <w:r>
        <w:rPr>
          <w:rFonts w:hint="default" w:ascii="Times New Roman Bold" w:hAnsi="Times New Roman Bold" w:cs="Times New Roman Bold"/>
          <w:b/>
          <w:bCs/>
          <w:sz w:val="24"/>
          <w:szCs w:val="24"/>
          <w:lang w:val="en-US" w:eastAsia="zh-Hans"/>
        </w:rPr>
        <w:t>订单详情</w:t>
      </w:r>
    </w:p>
    <w:p>
      <w:pPr>
        <w:pStyle w:val="32"/>
        <w:numPr>
          <w:ilvl w:val="0"/>
          <w:numId w:val="0"/>
        </w:numPr>
        <w:spacing w:before="120" w:after="120"/>
        <w:jc w:val="left"/>
        <w:outlineLvl w:val="9"/>
        <w:rPr>
          <w:rFonts w:hint="eastAsia"/>
          <w:sz w:val="21"/>
          <w:szCs w:val="32"/>
          <w:lang w:val="en-US" w:eastAsia="zh-Hans"/>
        </w:rPr>
      </w:pPr>
      <w:r>
        <w:rPr>
          <w:rFonts w:hint="eastAsia"/>
          <w:sz w:val="21"/>
          <w:szCs w:val="32"/>
          <w:lang w:val="en-US" w:eastAsia="zh-Hans"/>
        </w:rPr>
        <w:t>结算信息增加应结金额。</w:t>
      </w:r>
    </w:p>
    <w:p>
      <w:pPr>
        <w:pStyle w:val="32"/>
        <w:numPr>
          <w:ilvl w:val="0"/>
          <w:numId w:val="0"/>
        </w:numPr>
        <w:spacing w:before="120" w:after="120"/>
        <w:jc w:val="center"/>
        <w:outlineLvl w:val="9"/>
      </w:pPr>
      <w:r>
        <w:drawing>
          <wp:inline distT="0" distB="0" distL="114300" distR="114300">
            <wp:extent cx="1885950" cy="4124960"/>
            <wp:effectExtent l="0" t="0" r="1905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885950" cy="4124960"/>
                    </a:xfrm>
                    <a:prstGeom prst="rect">
                      <a:avLst/>
                    </a:prstGeom>
                    <a:noFill/>
                    <a:ln>
                      <a:noFill/>
                    </a:ln>
                  </pic:spPr>
                </pic:pic>
              </a:graphicData>
            </a:graphic>
          </wp:inline>
        </w:drawing>
      </w:r>
    </w:p>
    <w:p>
      <w:pPr>
        <w:pStyle w:val="32"/>
        <w:numPr>
          <w:ilvl w:val="0"/>
          <w:numId w:val="0"/>
        </w:numPr>
        <w:spacing w:before="120" w:after="120"/>
        <w:jc w:val="center"/>
        <w:outlineLvl w:val="9"/>
      </w:pPr>
    </w:p>
    <w:p>
      <w:pPr>
        <w:pStyle w:val="32"/>
        <w:numPr>
          <w:ilvl w:val="0"/>
          <w:numId w:val="0"/>
        </w:numPr>
        <w:spacing w:before="120" w:after="120"/>
        <w:jc w:val="left"/>
        <w:outlineLvl w:val="9"/>
        <w:rPr>
          <w:rFonts w:hint="eastAsia" w:eastAsia="Times New Roman"/>
          <w:lang w:val="en-US" w:eastAsia="zh-Hans"/>
        </w:rPr>
        <w:sectPr>
          <w:headerReference r:id="rId4" w:type="default"/>
          <w:footerReference r:id="rId5" w:type="default"/>
          <w:pgSz w:w="12240" w:h="15840"/>
          <w:pgMar w:top="720" w:right="720" w:bottom="720" w:left="720" w:header="720" w:footer="432" w:gutter="0"/>
          <w:cols w:space="720" w:num="1"/>
        </w:sectPr>
      </w:pPr>
      <w:r>
        <w:rPr>
          <w:rFonts w:hint="eastAsia"/>
          <w:lang w:val="en-US" w:eastAsia="zh-Hans"/>
        </w:rPr>
        <w:t>结算</w:t>
      </w:r>
      <w:bookmarkStart w:id="0" w:name="_GoBack"/>
      <w:bookmarkEnd w:id="0"/>
      <w:r>
        <w:rPr>
          <w:rFonts w:hint="eastAsia"/>
          <w:lang w:val="en-US" w:eastAsia="zh-Hans"/>
        </w:rPr>
        <w:t>金额：展示当前用户达标可得奖励金额（取推广日期的银行奖励规则+分润比例）比例为0的显示0元</w:t>
      </w:r>
    </w:p>
    <w:p>
      <w:pPr>
        <w:pStyle w:val="32"/>
        <w:rPr>
          <w:sz w:val="21"/>
          <w:szCs w:val="32"/>
        </w:rPr>
      </w:pPr>
    </w:p>
    <w:p>
      <w:pPr>
        <w:pStyle w:val="40"/>
        <w:keepNext/>
        <w:outlineLvl w:val="1"/>
        <w:rPr>
          <w:sz w:val="24"/>
          <w:szCs w:val="24"/>
        </w:rPr>
      </w:pPr>
      <w:r>
        <w:rPr>
          <w:rFonts w:hint="default"/>
          <w:sz w:val="24"/>
          <w:szCs w:val="24"/>
        </w:rPr>
        <w:t>2</w:t>
      </w:r>
      <w:r>
        <w:rPr>
          <w:rFonts w:hint="eastAsia"/>
          <w:sz w:val="24"/>
          <w:szCs w:val="24"/>
          <w:lang w:eastAsia="zh-Hans"/>
        </w:rPr>
        <w:t>、</w:t>
      </w:r>
      <w:r>
        <w:rPr>
          <w:sz w:val="24"/>
          <w:szCs w:val="24"/>
        </w:rPr>
        <w:t>控台-银行奖励规则配置</w:t>
      </w:r>
    </w:p>
    <w:p>
      <w:pPr>
        <w:pStyle w:val="45"/>
        <w:keepNext/>
        <w:rPr>
          <w:sz w:val="21"/>
          <w:szCs w:val="32"/>
        </w:rPr>
      </w:pPr>
      <w:r>
        <w:rPr>
          <w:sz w:val="21"/>
          <w:szCs w:val="32"/>
        </w:rPr>
        <w:t>页面概述</w:t>
      </w:r>
    </w:p>
    <w:p>
      <w:pPr>
        <w:rPr>
          <w:rFonts w:hint="eastAsia" w:eastAsia="Times New Roman"/>
          <w:sz w:val="21"/>
          <w:szCs w:val="32"/>
          <w:lang w:eastAsia="zh-Hans"/>
        </w:rPr>
      </w:pPr>
      <w:r>
        <w:rPr>
          <w:rFonts w:ascii="PingFang SC" w:hAnsi="PingFang SC"/>
          <w:sz w:val="21"/>
          <w:szCs w:val="32"/>
        </w:rPr>
        <w:t>新增、修改时增加</w:t>
      </w:r>
      <w:r>
        <w:rPr>
          <w:rFonts w:hint="eastAsia" w:ascii="PingFang SC" w:hAnsi="PingFang SC"/>
          <w:sz w:val="21"/>
          <w:szCs w:val="32"/>
          <w:lang w:val="en-US" w:eastAsia="zh-Hans"/>
        </w:rPr>
        <w:t>三档结算规则</w:t>
      </w:r>
    </w:p>
    <w:p>
      <w:pPr>
        <w:pStyle w:val="41"/>
        <w:keepNext/>
        <w:outlineLvl w:val="9"/>
        <w:rPr>
          <w:sz w:val="21"/>
          <w:szCs w:val="22"/>
        </w:rPr>
      </w:pPr>
      <w:r>
        <w:rPr>
          <w:sz w:val="21"/>
          <w:szCs w:val="22"/>
        </w:rPr>
        <w:t>用户界面</w:t>
      </w:r>
    </w:p>
    <w:p>
      <w:pPr>
        <w:pStyle w:val="32"/>
        <w:rPr>
          <w:sz w:val="21"/>
          <w:szCs w:val="32"/>
        </w:rPr>
      </w:pPr>
      <w:r>
        <w:drawing>
          <wp:inline distT="0" distB="0" distL="114300" distR="114300">
            <wp:extent cx="3352800" cy="3224530"/>
            <wp:effectExtent l="0" t="0" r="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352800" cy="3224530"/>
                    </a:xfrm>
                    <a:prstGeom prst="rect">
                      <a:avLst/>
                    </a:prstGeom>
                    <a:noFill/>
                    <a:ln>
                      <a:noFill/>
                    </a:ln>
                  </pic:spPr>
                </pic:pic>
              </a:graphicData>
            </a:graphic>
          </wp:inline>
        </w:drawing>
      </w:r>
    </w:p>
    <w:p>
      <w:pPr>
        <w:rPr>
          <w:rFonts w:hint="eastAsia"/>
          <w:lang w:val="en-US" w:eastAsia="zh-Hans"/>
        </w:rPr>
      </w:pPr>
      <w:r>
        <w:rPr>
          <w:sz w:val="32"/>
          <w:szCs w:val="32"/>
        </w:rPr>
        <w:br w:type="page"/>
      </w:r>
      <w:r>
        <w:rPr>
          <w:rFonts w:hint="default"/>
        </w:rPr>
        <w:t>1</w:t>
      </w:r>
      <w:r>
        <w:rPr>
          <w:rFonts w:hint="eastAsia"/>
          <w:lang w:eastAsia="zh-Hans"/>
        </w:rPr>
        <w:t>）</w:t>
      </w:r>
      <w:r>
        <w:rPr>
          <w:rFonts w:hint="eastAsia"/>
          <w:lang w:val="en-US" w:eastAsia="zh-Hans"/>
        </w:rPr>
        <w:t>结算金额与补贴金额，可输入相对核卡日期的间隔和对应的结算金额</w:t>
      </w:r>
    </w:p>
    <w:p>
      <w:pPr>
        <w:rPr>
          <w:rFonts w:hint="eastAsia"/>
          <w:lang w:val="en-US" w:eastAsia="zh-Hans"/>
        </w:rPr>
      </w:pPr>
      <w:r>
        <w:rPr>
          <w:rFonts w:hint="default"/>
          <w:lang w:eastAsia="zh-Hans"/>
        </w:rPr>
        <w:t>2</w:t>
      </w:r>
      <w:r>
        <w:rPr>
          <w:rFonts w:hint="eastAsia"/>
          <w:lang w:eastAsia="zh-Hans"/>
        </w:rPr>
        <w:t>）</w:t>
      </w:r>
      <w:r>
        <w:rPr>
          <w:rFonts w:hint="eastAsia"/>
          <w:lang w:val="en-US" w:eastAsia="zh-Hans"/>
        </w:rPr>
        <w:t>结算标准选择激活、首刷、核卡</w:t>
      </w:r>
      <w:r>
        <w:rPr>
          <w:rFonts w:hint="default"/>
          <w:lang w:eastAsia="zh-Hans"/>
        </w:rPr>
        <w:t>+</w:t>
      </w:r>
      <w:r>
        <w:rPr>
          <w:rFonts w:hint="eastAsia"/>
          <w:lang w:val="en-US" w:eastAsia="zh-Hans"/>
        </w:rPr>
        <w:t>激活、核卡</w:t>
      </w:r>
      <w:r>
        <w:rPr>
          <w:rFonts w:hint="default"/>
          <w:lang w:eastAsia="zh-Hans"/>
        </w:rPr>
        <w:t>+</w:t>
      </w:r>
      <w:r>
        <w:rPr>
          <w:rFonts w:hint="eastAsia"/>
          <w:lang w:val="en-US" w:eastAsia="zh-Hans"/>
        </w:rPr>
        <w:t>首刷、激活</w:t>
      </w:r>
      <w:r>
        <w:rPr>
          <w:rFonts w:hint="default"/>
          <w:lang w:eastAsia="zh-Hans"/>
        </w:rPr>
        <w:t>+</w:t>
      </w:r>
      <w:r>
        <w:rPr>
          <w:rFonts w:hint="eastAsia"/>
          <w:lang w:val="en-US" w:eastAsia="zh-Hans"/>
        </w:rPr>
        <w:t>首刷时，第二档、第三档允许输入；选择核卡、新邦卡、有效绑卡、新邦卡</w:t>
      </w:r>
      <w:r>
        <w:rPr>
          <w:rFonts w:hint="default"/>
          <w:lang w:eastAsia="zh-Hans"/>
        </w:rPr>
        <w:t>+</w:t>
      </w:r>
      <w:r>
        <w:rPr>
          <w:rFonts w:hint="eastAsia"/>
          <w:lang w:val="en-US" w:eastAsia="zh-Hans"/>
        </w:rPr>
        <w:t>有效绑卡时，只允许输入第一档。</w:t>
      </w:r>
    </w:p>
    <w:p>
      <w:pPr>
        <w:rPr>
          <w:rFonts w:hint="default"/>
          <w:lang w:eastAsia="zh-Hans"/>
        </w:rPr>
      </w:pPr>
      <w:r>
        <w:rPr>
          <w:rFonts w:hint="default"/>
          <w:lang w:eastAsia="zh-Hans"/>
        </w:rPr>
        <w:t>3</w:t>
      </w:r>
      <w:r>
        <w:rPr>
          <w:rFonts w:hint="eastAsia"/>
          <w:lang w:eastAsia="zh-Hans"/>
        </w:rPr>
        <w:t>）</w:t>
      </w:r>
      <w:r>
        <w:rPr>
          <w:rFonts w:hint="eastAsia"/>
          <w:lang w:val="en-US" w:eastAsia="zh-Hans"/>
        </w:rPr>
        <w:t>相对核卡日期只允许输入正整数，且只要允许输入时均为必填，对于核卡结算或不需要判断天数的，可输入</w:t>
      </w:r>
      <w:r>
        <w:rPr>
          <w:rFonts w:hint="default"/>
          <w:lang w:eastAsia="zh-Hans"/>
        </w:rPr>
        <w:t>9999</w:t>
      </w:r>
    </w:p>
    <w:p>
      <w:pPr>
        <w:rPr>
          <w:rFonts w:hint="eastAsia"/>
          <w:lang w:eastAsia="zh-Hans"/>
        </w:rPr>
      </w:pPr>
      <w:r>
        <w:rPr>
          <w:rFonts w:hint="default"/>
          <w:lang w:eastAsia="zh-Hans"/>
        </w:rPr>
        <w:t>4</w:t>
      </w:r>
      <w:r>
        <w:rPr>
          <w:rFonts w:hint="eastAsia"/>
          <w:lang w:eastAsia="zh-Hans"/>
        </w:rPr>
        <w:t>）</w:t>
      </w:r>
      <w:r>
        <w:rPr>
          <w:rFonts w:hint="eastAsia"/>
          <w:lang w:val="en-US" w:eastAsia="zh-Hans"/>
        </w:rPr>
        <w:t>金额判断逻辑：示例，第一档间隔</w:t>
      </w:r>
      <w:r>
        <w:rPr>
          <w:rFonts w:hint="default"/>
          <w:lang w:eastAsia="zh-Hans"/>
        </w:rPr>
        <w:t>15</w:t>
      </w:r>
      <w:r>
        <w:rPr>
          <w:rFonts w:hint="eastAsia"/>
          <w:lang w:eastAsia="zh-Hans"/>
        </w:rPr>
        <w:t>，</w:t>
      </w:r>
      <w:r>
        <w:rPr>
          <w:rFonts w:hint="eastAsia"/>
          <w:lang w:val="en-US" w:eastAsia="zh-Hans"/>
        </w:rPr>
        <w:t>金额</w:t>
      </w:r>
      <w:r>
        <w:rPr>
          <w:rFonts w:hint="default"/>
          <w:lang w:eastAsia="zh-Hans"/>
        </w:rPr>
        <w:t>300</w:t>
      </w:r>
      <w:r>
        <w:rPr>
          <w:rFonts w:hint="eastAsia"/>
          <w:lang w:eastAsia="zh-Hans"/>
        </w:rPr>
        <w:t>；</w:t>
      </w:r>
      <w:r>
        <w:rPr>
          <w:rFonts w:hint="eastAsia"/>
          <w:lang w:val="en-US" w:eastAsia="zh-Hans"/>
        </w:rPr>
        <w:t>第二档间隔</w:t>
      </w:r>
      <w:r>
        <w:rPr>
          <w:rFonts w:hint="default"/>
          <w:lang w:eastAsia="zh-Hans"/>
        </w:rPr>
        <w:t>30</w:t>
      </w:r>
      <w:r>
        <w:rPr>
          <w:rFonts w:hint="eastAsia"/>
          <w:lang w:eastAsia="zh-Hans"/>
        </w:rPr>
        <w:t>，</w:t>
      </w:r>
      <w:r>
        <w:rPr>
          <w:rFonts w:hint="eastAsia"/>
          <w:lang w:val="en-US" w:eastAsia="zh-Hans"/>
        </w:rPr>
        <w:t>金额</w:t>
      </w:r>
      <w:r>
        <w:rPr>
          <w:rFonts w:hint="default"/>
          <w:lang w:eastAsia="zh-Hans"/>
        </w:rPr>
        <w:t>120</w:t>
      </w:r>
      <w:r>
        <w:rPr>
          <w:rFonts w:hint="eastAsia"/>
          <w:lang w:eastAsia="zh-Hans"/>
        </w:rPr>
        <w:t>；</w:t>
      </w:r>
      <w:r>
        <w:rPr>
          <w:rFonts w:hint="eastAsia"/>
          <w:lang w:val="en-US" w:eastAsia="zh-Hans"/>
        </w:rPr>
        <w:t>第三档间隔</w:t>
      </w:r>
      <w:r>
        <w:rPr>
          <w:rFonts w:hint="default"/>
          <w:lang w:eastAsia="zh-Hans"/>
        </w:rPr>
        <w:t>60</w:t>
      </w:r>
      <w:r>
        <w:rPr>
          <w:rFonts w:hint="eastAsia"/>
          <w:lang w:eastAsia="zh-Hans"/>
        </w:rPr>
        <w:t>，</w:t>
      </w:r>
      <w:r>
        <w:rPr>
          <w:rFonts w:hint="eastAsia"/>
          <w:lang w:val="en-US" w:eastAsia="zh-Hans"/>
        </w:rPr>
        <w:t>金额</w:t>
      </w:r>
      <w:r>
        <w:rPr>
          <w:rFonts w:hint="default"/>
          <w:lang w:eastAsia="zh-Hans"/>
        </w:rPr>
        <w:t>0</w:t>
      </w:r>
      <w:r>
        <w:rPr>
          <w:rFonts w:hint="eastAsia"/>
          <w:lang w:eastAsia="zh-Hans"/>
        </w:rPr>
        <w:t>。</w:t>
      </w:r>
      <w:r>
        <w:rPr>
          <w:rFonts w:hint="eastAsia"/>
          <w:lang w:val="en-US" w:eastAsia="zh-Hans"/>
        </w:rPr>
        <w:t>则在触发结算时，判断X</w:t>
      </w:r>
      <w:r>
        <w:rPr>
          <w:rFonts w:hint="default"/>
          <w:lang w:eastAsia="zh-Hans"/>
        </w:rPr>
        <w:t>=</w:t>
      </w:r>
      <w:r>
        <w:rPr>
          <w:rFonts w:hint="eastAsia"/>
          <w:lang w:val="en-US" w:eastAsia="zh-Hans"/>
        </w:rPr>
        <w:t>对应触发结算条件的日期（激活、首刷）</w:t>
      </w:r>
      <w:r>
        <w:rPr>
          <w:rFonts w:hint="default"/>
          <w:lang w:eastAsia="zh-Hans"/>
        </w:rPr>
        <w:t>-</w:t>
      </w:r>
      <w:r>
        <w:rPr>
          <w:rFonts w:hint="eastAsia"/>
          <w:lang w:val="en-US" w:eastAsia="zh-Hans"/>
        </w:rPr>
        <w:t>核卡日期，若</w:t>
      </w:r>
      <w:r>
        <w:rPr>
          <w:rFonts w:hint="default"/>
          <w:lang w:eastAsia="zh-Hans"/>
        </w:rPr>
        <w:t>0&lt;</w:t>
      </w:r>
      <w:r>
        <w:rPr>
          <w:rFonts w:hint="eastAsia"/>
          <w:lang w:val="en-US" w:eastAsia="zh-Hans"/>
        </w:rPr>
        <w:t>X</w:t>
      </w:r>
      <w:r>
        <w:rPr>
          <w:rFonts w:hint="default"/>
          <w:lang w:eastAsia="zh-Hans"/>
        </w:rPr>
        <w:t>&lt;=15,</w:t>
      </w:r>
      <w:r>
        <w:rPr>
          <w:rFonts w:hint="eastAsia"/>
          <w:lang w:val="en-US" w:eastAsia="zh-Hans"/>
        </w:rPr>
        <w:t>则结算金额</w:t>
      </w:r>
      <w:r>
        <w:rPr>
          <w:rFonts w:hint="default"/>
          <w:lang w:eastAsia="zh-Hans"/>
        </w:rPr>
        <w:t>300</w:t>
      </w:r>
      <w:r>
        <w:rPr>
          <w:rFonts w:hint="eastAsia"/>
          <w:lang w:eastAsia="zh-Hans"/>
        </w:rPr>
        <w:t>，</w:t>
      </w:r>
      <w:r>
        <w:rPr>
          <w:rFonts w:hint="eastAsia"/>
          <w:lang w:val="en-US" w:eastAsia="zh-Hans"/>
        </w:rPr>
        <w:t>若</w:t>
      </w:r>
      <w:r>
        <w:rPr>
          <w:rFonts w:hint="default"/>
          <w:lang w:eastAsia="zh-Hans"/>
        </w:rPr>
        <w:t>15&lt;X&lt;=60</w:t>
      </w:r>
      <w:r>
        <w:rPr>
          <w:rFonts w:hint="eastAsia"/>
          <w:lang w:eastAsia="zh-Hans"/>
        </w:rPr>
        <w:t>，</w:t>
      </w:r>
      <w:r>
        <w:rPr>
          <w:rFonts w:hint="eastAsia"/>
          <w:lang w:val="en-US" w:eastAsia="zh-Hans"/>
        </w:rPr>
        <w:t>则结算金额</w:t>
      </w:r>
      <w:r>
        <w:rPr>
          <w:rFonts w:hint="default"/>
          <w:lang w:eastAsia="zh-Hans"/>
        </w:rPr>
        <w:t>120</w:t>
      </w:r>
      <w:r>
        <w:rPr>
          <w:rFonts w:hint="eastAsia"/>
          <w:lang w:eastAsia="zh-Hans"/>
        </w:rPr>
        <w:t>，</w:t>
      </w:r>
      <w:r>
        <w:rPr>
          <w:rFonts w:hint="eastAsia"/>
          <w:lang w:val="en-US" w:eastAsia="zh-Hans"/>
        </w:rPr>
        <w:t>若</w:t>
      </w:r>
      <w:r>
        <w:rPr>
          <w:rFonts w:hint="default"/>
          <w:lang w:eastAsia="zh-Hans"/>
        </w:rPr>
        <w:t>60&lt;</w:t>
      </w:r>
      <w:r>
        <w:rPr>
          <w:rFonts w:hint="eastAsia"/>
          <w:lang w:val="en-US" w:eastAsia="zh-Hans"/>
        </w:rPr>
        <w:t>X</w:t>
      </w:r>
      <w:r>
        <w:rPr>
          <w:rFonts w:hint="default"/>
          <w:lang w:eastAsia="zh-Hans"/>
        </w:rPr>
        <w:t>,</w:t>
      </w:r>
      <w:r>
        <w:rPr>
          <w:rFonts w:hint="eastAsia"/>
          <w:lang w:val="en-US" w:eastAsia="zh-Hans"/>
        </w:rPr>
        <w:t>则结算金额</w:t>
      </w:r>
      <w:r>
        <w:rPr>
          <w:rFonts w:hint="default"/>
          <w:lang w:eastAsia="zh-Hans"/>
        </w:rPr>
        <w:t>0</w:t>
      </w:r>
      <w:r>
        <w:rPr>
          <w:rFonts w:hint="eastAsia"/>
          <w:lang w:eastAsia="zh-Hans"/>
        </w:rPr>
        <w:t>。</w:t>
      </w:r>
    </w:p>
    <w:p>
      <w:pPr>
        <w:rPr>
          <w:rFonts w:hint="eastAsia"/>
          <w:lang w:val="en-US" w:eastAsia="zh-Hans"/>
        </w:rPr>
      </w:pPr>
      <w:r>
        <w:rPr>
          <w:rFonts w:hint="default"/>
          <w:lang w:eastAsia="zh-Hans"/>
        </w:rPr>
        <w:t>5</w:t>
      </w:r>
      <w:r>
        <w:rPr>
          <w:rFonts w:hint="eastAsia"/>
          <w:lang w:eastAsia="zh-Hans"/>
        </w:rPr>
        <w:t>）</w:t>
      </w:r>
      <w:r>
        <w:rPr>
          <w:rFonts w:hint="eastAsia"/>
          <w:lang w:val="en-US" w:eastAsia="zh-Hans"/>
        </w:rPr>
        <w:t>前端奖励金额展示，使用第一档对应结算金额展示。</w:t>
      </w:r>
    </w:p>
    <w:p>
      <w:pPr>
        <w:rPr>
          <w:rFonts w:hint="eastAsia"/>
          <w:lang w:val="en-US" w:eastAsia="zh-Hans"/>
        </w:rPr>
      </w:pPr>
      <w:r>
        <w:rPr>
          <w:rFonts w:hint="default"/>
          <w:lang w:eastAsia="zh-Hans"/>
        </w:rPr>
        <w:t>6</w:t>
      </w:r>
      <w:r>
        <w:rPr>
          <w:rFonts w:hint="eastAsia"/>
          <w:lang w:eastAsia="zh-Hans"/>
        </w:rPr>
        <w:t>）</w:t>
      </w:r>
      <w:r>
        <w:rPr>
          <w:rFonts w:hint="eastAsia"/>
          <w:lang w:val="en-US" w:eastAsia="zh-Hans"/>
        </w:rPr>
        <w:t>对于无核卡日期的订单，使用第一档结算金额进行结算。</w:t>
      </w:r>
    </w:p>
    <w:p>
      <w:pPr>
        <w:rPr>
          <w:rFonts w:hint="default"/>
          <w:lang w:val="en-US" w:eastAsia="zh-Hans"/>
        </w:rPr>
      </w:pPr>
      <w:r>
        <w:rPr>
          <w:rFonts w:hint="default"/>
          <w:lang w:eastAsia="zh-Hans"/>
        </w:rPr>
        <w:t>7</w:t>
      </w:r>
      <w:r>
        <w:rPr>
          <w:rFonts w:hint="eastAsia"/>
          <w:lang w:eastAsia="zh-Hans"/>
        </w:rPr>
        <w:t>）</w:t>
      </w:r>
      <w:r>
        <w:rPr>
          <w:rFonts w:hint="eastAsia"/>
          <w:lang w:val="en-US" w:eastAsia="zh-Hans"/>
        </w:rPr>
        <w:t>对历史结算规则数据，统一维护为间隔时间</w:t>
      </w:r>
      <w:r>
        <w:rPr>
          <w:rFonts w:hint="default"/>
          <w:lang w:eastAsia="zh-Hans"/>
        </w:rPr>
        <w:t>999</w:t>
      </w:r>
      <w:r>
        <w:rPr>
          <w:rFonts w:hint="eastAsia"/>
          <w:lang w:val="en-US" w:eastAsia="zh-Hans"/>
        </w:rPr>
        <w:t>天，三档金额维护为原规则对应金额。</w:t>
      </w:r>
    </w:p>
    <w:p>
      <w:r>
        <w:drawing>
          <wp:inline distT="0" distB="0" distL="114300" distR="114300">
            <wp:extent cx="6857365" cy="1029335"/>
            <wp:effectExtent l="0" t="0" r="635" b="1206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6857365" cy="1029335"/>
                    </a:xfrm>
                    <a:prstGeom prst="rect">
                      <a:avLst/>
                    </a:prstGeom>
                    <a:noFill/>
                    <a:ln>
                      <a:noFill/>
                    </a:ln>
                  </pic:spPr>
                </pic:pic>
              </a:graphicData>
            </a:graphic>
          </wp:inline>
        </w:drawing>
      </w:r>
    </w:p>
    <w:p>
      <w:pPr>
        <w:numPr>
          <w:ilvl w:val="0"/>
          <w:numId w:val="0"/>
        </w:numPr>
        <w:rPr>
          <w:rFonts w:hint="eastAsia"/>
          <w:lang w:val="en-US" w:eastAsia="zh-Hans"/>
        </w:rPr>
      </w:pPr>
      <w:r>
        <w:rPr>
          <w:rFonts w:hint="default"/>
          <w:lang w:eastAsia="zh-Hans"/>
        </w:rPr>
        <w:t>8</w:t>
      </w:r>
      <w:r>
        <w:rPr>
          <w:rFonts w:hint="eastAsia"/>
          <w:lang w:eastAsia="zh-Hans"/>
        </w:rPr>
        <w:t>）</w:t>
      </w:r>
      <w:r>
        <w:rPr>
          <w:rFonts w:hint="eastAsia"/>
          <w:lang w:val="en-US" w:eastAsia="zh-Hans"/>
        </w:rPr>
        <w:t>规则配置查询页面，查询字段对结算金额和补贴金额，分别展示三档间隔和三档金额</w:t>
      </w:r>
    </w:p>
    <w:p>
      <w:pPr>
        <w:numPr>
          <w:ilvl w:val="0"/>
          <w:numId w:val="0"/>
        </w:numPr>
        <w:rPr>
          <w:rFonts w:hint="default"/>
          <w:lang w:val="en-US" w:eastAsia="zh-Hans"/>
        </w:rPr>
      </w:pPr>
      <w:r>
        <w:rPr>
          <w:rFonts w:hint="default"/>
          <w:lang w:eastAsia="zh-Hans"/>
        </w:rPr>
        <w:t>9</w:t>
      </w:r>
      <w:r>
        <w:rPr>
          <w:rFonts w:hint="eastAsia"/>
          <w:lang w:eastAsia="zh-Hans"/>
        </w:rPr>
        <w:t>）</w:t>
      </w:r>
      <w:r>
        <w:rPr>
          <w:rFonts w:hint="eastAsia"/>
          <w:lang w:val="en-US" w:eastAsia="zh-Hans"/>
        </w:rPr>
        <w:t>业务员结算表复核展示字段增加结算档位、补贴档位字段，分别展示对应的结算档位</w:t>
      </w:r>
    </w:p>
    <w:p>
      <w:pPr>
        <w:numPr>
          <w:ilvl w:val="0"/>
          <w:numId w:val="0"/>
        </w:numPr>
        <w:rPr>
          <w:rFonts w:hint="eastAsia"/>
          <w:lang w:val="en-US" w:eastAsia="zh-CN"/>
        </w:rPr>
      </w:pPr>
      <w:r>
        <w:rPr>
          <w:rFonts w:hint="default"/>
          <w:lang w:eastAsia="zh-CN"/>
        </w:rPr>
        <w:t>10</w:t>
      </w:r>
      <w:r>
        <w:rPr>
          <w:rFonts w:hint="eastAsia"/>
          <w:lang w:val="en-US" w:eastAsia="zh-Hans"/>
        </w:rPr>
        <w:t>）</w:t>
      </w:r>
      <w:r>
        <w:rPr>
          <w:rFonts w:hint="eastAsia"/>
          <w:lang w:val="en-US" w:eastAsia="zh-CN"/>
        </w:rPr>
        <w:t>【API银行数据查询】和【推客办卡订单查询】页面，需增加字段“首刷时间”的展示</w:t>
      </w:r>
    </w:p>
    <w:p>
      <w:pPr>
        <w:numPr>
          <w:ilvl w:val="0"/>
          <w:numId w:val="0"/>
        </w:numPr>
        <w:rPr>
          <w:rFonts w:hint="default"/>
          <w:lang w:val="en-US" w:eastAsia="zh-CN"/>
        </w:rPr>
      </w:pPr>
      <w:r>
        <w:rPr>
          <w:rFonts w:hint="eastAsia"/>
          <w:lang w:val="en-US" w:eastAsia="zh-CN"/>
        </w:rPr>
        <w:t>【银行模板配置】新增/编辑页面，映射关系中“趣伴卡字段列”需增加“首刷时间”。</w:t>
      </w:r>
    </w:p>
    <w:p>
      <w:pPr>
        <w:numPr>
          <w:ilvl w:val="0"/>
          <w:numId w:val="0"/>
        </w:numPr>
        <w:rPr>
          <w:rFonts w:hint="eastAsia"/>
          <w:lang w:val="en-US" w:eastAsia="zh-CN"/>
        </w:rPr>
      </w:pPr>
      <w:r>
        <w:rPr>
          <w:rFonts w:hint="default"/>
          <w:lang w:eastAsia="zh-CN"/>
        </w:rPr>
        <w:t>11</w:t>
      </w:r>
      <w:r>
        <w:rPr>
          <w:rFonts w:hint="eastAsia"/>
          <w:lang w:val="en-US" w:eastAsia="zh-Hans"/>
        </w:rPr>
        <w:t>）</w:t>
      </w:r>
      <w:r>
        <w:rPr>
          <w:rFonts w:hint="eastAsia"/>
          <w:lang w:val="en-US" w:eastAsia="zh-CN"/>
        </w:rPr>
        <w:t>API对接银行，更新状态时需同时更新对应的状态时间</w:t>
      </w:r>
    </w:p>
    <w:p>
      <w:pPr>
        <w:numPr>
          <w:ilvl w:val="0"/>
          <w:numId w:val="0"/>
        </w:numPr>
        <w:rPr>
          <w:rFonts w:hint="eastAsia"/>
          <w:lang w:val="en-US" w:eastAsia="zh-CN"/>
        </w:rPr>
      </w:pPr>
      <w:r>
        <w:rPr>
          <w:rFonts w:hint="eastAsia"/>
          <w:lang w:val="en-US" w:eastAsia="zh-CN"/>
        </w:rPr>
        <w:t>包含以下API对接银行：</w:t>
      </w:r>
    </w:p>
    <w:p>
      <w:pPr>
        <w:numPr>
          <w:ilvl w:val="0"/>
          <w:numId w:val="0"/>
        </w:numPr>
        <w:rPr>
          <w:rFonts w:hint="eastAsia"/>
          <w:lang w:val="en-US" w:eastAsia="zh-CN"/>
        </w:rPr>
      </w:pPr>
      <w:r>
        <w:rPr>
          <w:rFonts w:hint="eastAsia"/>
          <w:lang w:val="en-US" w:eastAsia="zh-CN"/>
        </w:rPr>
        <w:t>光大银行（GDYH）</w:t>
      </w:r>
    </w:p>
    <w:p>
      <w:pPr>
        <w:numPr>
          <w:ilvl w:val="0"/>
          <w:numId w:val="0"/>
        </w:numPr>
        <w:rPr>
          <w:rFonts w:hint="eastAsia"/>
          <w:lang w:val="en-US" w:eastAsia="zh-CN"/>
        </w:rPr>
      </w:pPr>
      <w:r>
        <w:rPr>
          <w:rFonts w:hint="eastAsia"/>
          <w:lang w:val="en-US" w:eastAsia="zh-CN"/>
        </w:rPr>
        <w:t>中信银行（ZXYH，ZXYHSS）</w:t>
      </w:r>
    </w:p>
    <w:p>
      <w:pPr>
        <w:numPr>
          <w:ilvl w:val="0"/>
          <w:numId w:val="0"/>
        </w:numPr>
        <w:rPr>
          <w:rFonts w:hint="eastAsia"/>
          <w:lang w:val="en-US" w:eastAsia="zh-CN"/>
        </w:rPr>
      </w:pPr>
      <w:r>
        <w:rPr>
          <w:rFonts w:hint="eastAsia"/>
          <w:lang w:val="en-US" w:eastAsia="zh-CN"/>
        </w:rPr>
        <w:t>华夏银行（HXYH）</w:t>
      </w:r>
    </w:p>
    <w:p>
      <w:pPr>
        <w:numPr>
          <w:ilvl w:val="0"/>
          <w:numId w:val="0"/>
        </w:numPr>
        <w:rPr>
          <w:rFonts w:hint="default"/>
          <w:lang w:val="en-US" w:eastAsia="zh-CN"/>
        </w:rPr>
      </w:pPr>
      <w:r>
        <w:rPr>
          <w:rFonts w:hint="eastAsia"/>
          <w:lang w:val="en-US" w:eastAsia="zh-CN"/>
        </w:rPr>
        <w:t>长安银行（CAYH）</w:t>
      </w:r>
    </w:p>
    <w:p>
      <w:pPr>
        <w:bidi w:val="0"/>
        <w:rPr>
          <w:rFonts w:hint="default"/>
          <w:lang w:val="en-US" w:eastAsia="zh-CN"/>
        </w:rPr>
      </w:pPr>
      <w:r>
        <w:rPr>
          <w:rFonts w:hint="eastAsia"/>
          <w:lang w:val="en-US" w:eastAsia="zh-CN"/>
        </w:rPr>
        <w:t>以上API对接银行，若查询到对应的状态，例如核卡成功，需更新API银行数据查询和办卡订单里对应的核卡状态，同时需更新核卡时间为第一次查询到核卡状态的时间。且以第一次查询到的时间为准，后期若再次查询到核卡状态，不再更新核卡时间。</w:t>
      </w:r>
    </w:p>
    <w:p>
      <w:pPr>
        <w:bidi w:val="0"/>
        <w:rPr>
          <w:rFonts w:hint="default"/>
          <w:lang w:val="en-US" w:eastAsia="zh-CN"/>
        </w:rPr>
      </w:pPr>
      <w:r>
        <w:rPr>
          <w:rFonts w:hint="eastAsia"/>
          <w:lang w:val="en-US" w:eastAsia="zh-CN"/>
        </w:rPr>
        <w:t>同理，若查询到流水的状态为激活成功/首刷成功，则在更新激活或首刷状态的同时，需要更新API银行数据查询和办卡订单里对应的“激活时间”/“首刷时间”，以第一次查询状态的时间为准。</w:t>
      </w:r>
    </w:p>
    <w:p>
      <w:pPr>
        <w:numPr>
          <w:ilvl w:val="0"/>
          <w:numId w:val="0"/>
        </w:numPr>
        <w:rPr>
          <w:rFonts w:hint="eastAsia"/>
          <w:sz w:val="21"/>
          <w:szCs w:val="32"/>
          <w:lang w:val="en-US" w:eastAsia="zh-Hans"/>
        </w:rPr>
      </w:pPr>
    </w:p>
    <w:sectPr>
      <w:headerReference r:id="rId6" w:type="default"/>
      <w:footerReference r:id="rId7" w:type="default"/>
      <w:type w:val="continuous"/>
      <w:pgSz w:w="12240" w:h="15840"/>
      <w:pgMar w:top="720" w:right="720" w:bottom="720" w:left="720" w:header="720" w:footer="432"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3F3F3F" w:themeColor="text1" w:themeTint="BF"/>
              <w:sz w:val="22"/>
              <w:szCs w:val="22"/>
            </w:rPr>
          </w:pPr>
          <w:r>
            <w:rPr>
              <w:rFonts w:asciiTheme="majorHAnsi" w:hAnsiTheme="majorHAnsi"/>
              <w:color w:val="3F3F3F" w:themeColor="text1" w:themeTint="BF"/>
              <w:sz w:val="22"/>
              <w:szCs w:val="22"/>
            </w:rPr>
            <w:t xml:space="preserve">Page </w:t>
          </w:r>
          <w:r>
            <w:rPr>
              <w:rFonts w:asciiTheme="majorHAnsi" w:hAnsiTheme="majorHAnsi"/>
              <w:color w:val="3F3F3F" w:themeColor="text1" w:themeTint="BF"/>
              <w:sz w:val="22"/>
              <w:szCs w:val="22"/>
            </w:rPr>
            <w:fldChar w:fldCharType="begin"/>
          </w:r>
          <w:r>
            <w:rPr>
              <w:rFonts w:asciiTheme="majorHAnsi" w:hAnsiTheme="majorHAnsi"/>
              <w:color w:val="3F3F3F" w:themeColor="text1" w:themeTint="BF"/>
              <w:sz w:val="22"/>
              <w:szCs w:val="22"/>
            </w:rPr>
            <w:instrText xml:space="preserve"> PAGE  \* MERGEFORMAT </w:instrText>
          </w:r>
          <w:r>
            <w:rPr>
              <w:rFonts w:asciiTheme="majorHAnsi" w:hAnsiTheme="majorHAnsi"/>
              <w:color w:val="3F3F3F" w:themeColor="text1" w:themeTint="BF"/>
              <w:sz w:val="22"/>
              <w:szCs w:val="22"/>
            </w:rPr>
            <w:fldChar w:fldCharType="separate"/>
          </w:r>
          <w:r>
            <w:rPr>
              <w:rFonts w:asciiTheme="majorHAnsi" w:hAnsiTheme="majorHAnsi"/>
              <w:color w:val="3F3F3F" w:themeColor="text1" w:themeTint="BF"/>
              <w:sz w:val="22"/>
              <w:szCs w:val="22"/>
            </w:rPr>
            <w:t>3</w:t>
          </w:r>
          <w:r>
            <w:rPr>
              <w:rFonts w:asciiTheme="majorHAnsi" w:hAnsiTheme="majorHAnsi"/>
              <w:color w:val="3F3F3F" w:themeColor="text1" w:themeTint="BF"/>
              <w:sz w:val="22"/>
              <w:szCs w:val="22"/>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Layout w:type="autofit"/>
      <w:tblCellMar>
        <w:top w:w="0" w:type="dxa"/>
        <w:left w:w="108" w:type="dxa"/>
        <w:bottom w:w="0" w:type="dxa"/>
        <w:right w:w="108" w:type="dxa"/>
      </w:tblCellMar>
    </w:tblPr>
    <w:tblGrid>
      <w:gridCol w:w="4878"/>
      <w:gridCol w:w="1260"/>
      <w:gridCol w:w="4878"/>
    </w:tblGrid>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rPr>
        <w:trHeight w:val="180" w:hRule="atLeast"/>
      </w:trPr>
      <w:tc>
        <w:tcPr>
          <w:tcW w:w="2214" w:type="pct"/>
        </w:tcPr>
        <w:p>
          <w:pPr>
            <w:pStyle w:val="11"/>
          </w:pPr>
        </w:p>
      </w:tc>
      <w:tc>
        <w:tcPr>
          <w:tcW w:w="572" w:type="pct"/>
          <w:vMerge w:val="restart"/>
          <w:vAlign w:val="center"/>
        </w:tcPr>
        <w:p>
          <w:pPr>
            <w:pStyle w:val="11"/>
            <w:jc w:val="center"/>
            <w:rPr>
              <w:rFonts w:asciiTheme="majorHAnsi" w:hAnsiTheme="majorHAnsi"/>
              <w:color w:val="3F3F3F" w:themeColor="text1" w:themeTint="BF"/>
              <w:sz w:val="22"/>
              <w:szCs w:val="22"/>
            </w:rPr>
          </w:pPr>
          <w:r>
            <w:rPr>
              <w:rFonts w:asciiTheme="majorHAnsi" w:hAnsiTheme="majorHAnsi"/>
              <w:color w:val="3F3F3F" w:themeColor="text1" w:themeTint="BF"/>
              <w:sz w:val="22"/>
              <w:szCs w:val="22"/>
            </w:rPr>
            <w:t xml:space="preserve">Page </w:t>
          </w:r>
          <w:r>
            <w:rPr>
              <w:rFonts w:asciiTheme="majorHAnsi" w:hAnsiTheme="majorHAnsi"/>
              <w:color w:val="3F3F3F" w:themeColor="text1" w:themeTint="BF"/>
              <w:sz w:val="22"/>
              <w:szCs w:val="22"/>
            </w:rPr>
            <w:fldChar w:fldCharType="begin"/>
          </w:r>
          <w:r>
            <w:rPr>
              <w:rFonts w:asciiTheme="majorHAnsi" w:hAnsiTheme="majorHAnsi"/>
              <w:color w:val="3F3F3F" w:themeColor="text1" w:themeTint="BF"/>
              <w:sz w:val="22"/>
              <w:szCs w:val="22"/>
            </w:rPr>
            <w:instrText xml:space="preserve"> PAGE  \* MERGEFORMAT </w:instrText>
          </w:r>
          <w:r>
            <w:rPr>
              <w:rFonts w:asciiTheme="majorHAnsi" w:hAnsiTheme="majorHAnsi"/>
              <w:color w:val="3F3F3F" w:themeColor="text1" w:themeTint="BF"/>
              <w:sz w:val="22"/>
              <w:szCs w:val="22"/>
            </w:rPr>
            <w:fldChar w:fldCharType="separate"/>
          </w:r>
          <w:r>
            <w:rPr>
              <w:rFonts w:asciiTheme="majorHAnsi" w:hAnsiTheme="majorHAnsi"/>
              <w:color w:val="3F3F3F" w:themeColor="text1" w:themeTint="BF"/>
              <w:sz w:val="22"/>
              <w:szCs w:val="22"/>
            </w:rPr>
            <w:t>3</w:t>
          </w:r>
          <w:r>
            <w:rPr>
              <w:rFonts w:asciiTheme="majorHAnsi" w:hAnsiTheme="majorHAnsi"/>
              <w:color w:val="3F3F3F" w:themeColor="text1" w:themeTint="BF"/>
              <w:sz w:val="22"/>
              <w:szCs w:val="22"/>
            </w:rPr>
            <w:fldChar w:fldCharType="end"/>
          </w:r>
        </w:p>
      </w:tc>
      <w:tc>
        <w:tcPr>
          <w:tcW w:w="2214" w:type="pct"/>
        </w:tcPr>
        <w:p>
          <w:pPr>
            <w:pStyle w:val="11"/>
          </w:pPr>
        </w:p>
      </w:tc>
    </w:tr>
    <w:tr>
      <w:tblPrEx>
        <w:tblBorders>
          <w:top w:val="none" w:color="auto" w:sz="0" w:space="0"/>
          <w:left w:val="none" w:color="auto" w:sz="0" w:space="0"/>
          <w:bottom w:val="none" w:color="auto" w:sz="0" w:space="0"/>
          <w:right w:val="none" w:color="auto" w:sz="0" w:space="0"/>
          <w:insideH w:val="single" w:color="3F3F3F" w:themeColor="text1" w:themeTint="BF" w:sz="4" w:space="0"/>
          <w:insideV w:val="none" w:color="auto" w:sz="0" w:space="0"/>
        </w:tblBorders>
      </w:tblPrEx>
      <w:tc>
        <w:tcPr>
          <w:tcW w:w="2214" w:type="pct"/>
        </w:tcPr>
        <w:p>
          <w:pPr>
            <w:pStyle w:val="11"/>
          </w:pPr>
        </w:p>
      </w:tc>
      <w:tc>
        <w:tcPr>
          <w:tcW w:w="572" w:type="pct"/>
          <w:vMerge w:val="continue"/>
          <w:vAlign w:val="center"/>
        </w:tcPr>
        <w:p>
          <w:pPr>
            <w:pStyle w:val="11"/>
            <w:jc w:val="center"/>
          </w:pPr>
        </w:p>
      </w:tc>
      <w:tc>
        <w:tcPr>
          <w:tcW w:w="2214" w:type="pct"/>
        </w:tcPr>
        <w:p>
          <w:pPr>
            <w:pStyle w:val="11"/>
          </w:pPr>
        </w:p>
      </w:tc>
    </w:tr>
  </w:tbl>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rPr>
        <w:trHeight w:val="270" w:hRule="atLeast"/>
      </w:trPr>
      <w:tc>
        <w:tcPr>
          <w:tcW w:w="5000" w:type="pct"/>
        </w:tcPr>
        <w:sdt>
          <w:sdtPr>
            <w:rPr>
              <w:rFonts w:asciiTheme="majorHAnsi" w:hAnsiTheme="majorHAnsi"/>
              <w:color w:val="3F3F3F" w:themeColor="text1" w:themeTint="BF"/>
            </w:rPr>
            <w:alias w:val="Title"/>
            <w:id w:val="436407044"/>
            <w:text/>
          </w:sdtPr>
          <w:sdtEndPr>
            <w:rPr>
              <w:rFonts w:asciiTheme="majorHAnsi" w:hAnsiTheme="majorHAnsi"/>
              <w:color w:val="3F3F3F" w:themeColor="text1" w:themeTint="BF"/>
            </w:rPr>
          </w:sdtEndPr>
          <w:sdtContent>
            <w:p>
              <w:pPr>
                <w:pStyle w:val="33"/>
                <w:rPr>
                  <w:rFonts w:asciiTheme="majorHAnsi" w:hAnsiTheme="majorHAnsi"/>
                </w:rPr>
              </w:pPr>
              <w:r>
                <w:rPr>
                  <w:rFonts w:asciiTheme="majorHAnsi" w:hAnsiTheme="majorHAnsi"/>
                  <w:color w:val="3F3F3F" w:themeColor="text1" w:themeTint="BF"/>
                </w:rPr>
                <w:t>The Documentation</w:t>
              </w:r>
            </w:p>
          </w:sdtContent>
        </w:sdt>
      </w:tc>
    </w:tr>
  </w:tbl>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5000" w:type="pct"/>
      <w:tblInd w:w="0" w:type="dxa"/>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1016"/>
    </w:tblGrid>
    <w:tr>
      <w:tblPrEx>
        <w:tblBorders>
          <w:top w:val="none" w:color="auto" w:sz="0" w:space="0"/>
          <w:left w:val="none" w:color="auto" w:sz="0" w:space="0"/>
          <w:bottom w:val="single" w:color="3F3F3F" w:themeColor="text1" w:themeTint="BF" w:sz="4" w:space="0"/>
          <w:right w:val="none" w:color="auto" w:sz="0" w:space="0"/>
          <w:insideH w:val="single" w:color="auto" w:sz="4" w:space="0"/>
          <w:insideV w:val="single" w:color="auto" w:sz="4" w:space="0"/>
        </w:tblBorders>
      </w:tblPrEx>
      <w:trPr>
        <w:trHeight w:val="270" w:hRule="atLeast"/>
      </w:trPr>
      <w:tc>
        <w:tcPr>
          <w:tcW w:w="5000" w:type="pct"/>
        </w:tcPr>
        <w:sdt>
          <w:sdtPr>
            <w:rPr>
              <w:rFonts w:asciiTheme="majorHAnsi" w:hAnsiTheme="majorHAnsi"/>
              <w:color w:val="3F3F3F" w:themeColor="text1" w:themeTint="BF"/>
            </w:rPr>
            <w:alias w:val="Title"/>
            <w:id w:val="436407044"/>
            <w:text/>
          </w:sdtPr>
          <w:sdtEndPr>
            <w:rPr>
              <w:rFonts w:asciiTheme="majorHAnsi" w:hAnsiTheme="majorHAnsi"/>
              <w:color w:val="3F3F3F" w:themeColor="text1" w:themeTint="BF"/>
            </w:rPr>
          </w:sdtEndPr>
          <w:sdtContent>
            <w:p>
              <w:pPr>
                <w:pStyle w:val="33"/>
                <w:rPr>
                  <w:rFonts w:asciiTheme="majorHAnsi" w:hAnsiTheme="majorHAnsi"/>
                </w:rPr>
              </w:pPr>
              <w:r>
                <w:rPr>
                  <w:rFonts w:asciiTheme="majorHAnsi" w:hAnsiTheme="majorHAnsi"/>
                  <w:color w:val="3F3F3F" w:themeColor="text1" w:themeTint="BF"/>
                </w:rPr>
                <w:t>The Documentation</w:t>
              </w:r>
            </w:p>
          </w:sdtContent>
        </w:sdt>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6B65CA"/>
    <w:multiLevelType w:val="multilevel"/>
    <w:tmpl w:val="786B65CA"/>
    <w:lvl w:ilvl="0" w:tentative="0">
      <w:start w:val="1"/>
      <w:numFmt w:val="decimal"/>
      <w:pStyle w:val="21"/>
      <w:suff w:val="space"/>
      <w:lvlText w:val="%1."/>
      <w:lvlJc w:val="left"/>
      <w:pPr>
        <w:tabs>
          <w:tab w:val="left" w:pos="360"/>
        </w:tabs>
        <w:ind w:left="0" w:firstLine="0"/>
      </w:pPr>
    </w:lvl>
    <w:lvl w:ilvl="1" w:tentative="0">
      <w:start w:val="1"/>
      <w:numFmt w:val="decimal"/>
      <w:pStyle w:val="22"/>
      <w:suff w:val="space"/>
      <w:lvlText w:val="%1.%2."/>
      <w:lvlJc w:val="left"/>
      <w:pPr>
        <w:tabs>
          <w:tab w:val="left" w:pos="792"/>
        </w:tabs>
        <w:ind w:left="0" w:firstLine="0"/>
      </w:pPr>
    </w:lvl>
    <w:lvl w:ilvl="2" w:tentative="0">
      <w:start w:val="1"/>
      <w:numFmt w:val="decimal"/>
      <w:pStyle w:val="23"/>
      <w:suff w:val="space"/>
      <w:lvlText w:val="%1.%2.%3."/>
      <w:lvlJc w:val="left"/>
      <w:pPr>
        <w:tabs>
          <w:tab w:val="left" w:pos="1440"/>
        </w:tabs>
        <w:ind w:left="0" w:firstLine="0"/>
      </w:pPr>
    </w:lvl>
    <w:lvl w:ilvl="3" w:tentative="0">
      <w:start w:val="1"/>
      <w:numFmt w:val="decimal"/>
      <w:pStyle w:val="24"/>
      <w:suff w:val="space"/>
      <w:lvlText w:val="%1.%2.%3.%4."/>
      <w:lvlJc w:val="left"/>
      <w:pPr>
        <w:tabs>
          <w:tab w:val="left" w:pos="1800"/>
        </w:tabs>
        <w:ind w:left="0" w:firstLine="0"/>
      </w:pPr>
    </w:lvl>
    <w:lvl w:ilvl="4" w:tentative="0">
      <w:start w:val="1"/>
      <w:numFmt w:val="decimal"/>
      <w:suff w:val="space"/>
      <w:lvlText w:val="%1.%2.%3.%4.%5."/>
      <w:lvlJc w:val="left"/>
      <w:pPr>
        <w:tabs>
          <w:tab w:val="left" w:pos="2520"/>
        </w:tabs>
        <w:ind w:left="0" w:firstLine="0"/>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attachedTemplate r:id="rId1"/>
  <w:documentProtection w:enforcement="0"/>
  <w:defaultTabStop w:val="720"/>
  <w:drawingGridHorizontalSpacing w:val="90"/>
  <w:displayHorizontalDrawingGridEvery w:val="2"/>
  <w:characterSpacingControl w:val="doNotCompress"/>
  <w:footnotePr>
    <w:footnote w:id="0"/>
    <w:footnote w:id="1"/>
  </w:footnotePr>
  <w:compat>
    <w:useFELayout/>
    <w:compatSetting w:name="compatibilityMode" w:uri="http://schemas.microsoft.com/office/word" w:val="12"/>
  </w:compat>
  <w:rsids>
    <w:rsidRoot w:val="0059757A"/>
    <w:rsid w:val="00050CE1"/>
    <w:rsid w:val="0005473D"/>
    <w:rsid w:val="00057B70"/>
    <w:rsid w:val="00075991"/>
    <w:rsid w:val="00093BE1"/>
    <w:rsid w:val="000A0635"/>
    <w:rsid w:val="000A4636"/>
    <w:rsid w:val="000C07F5"/>
    <w:rsid w:val="000C1D1F"/>
    <w:rsid w:val="000C5777"/>
    <w:rsid w:val="000E72B0"/>
    <w:rsid w:val="00117A19"/>
    <w:rsid w:val="001204D0"/>
    <w:rsid w:val="0013113E"/>
    <w:rsid w:val="0014359B"/>
    <w:rsid w:val="001672E3"/>
    <w:rsid w:val="001B3AFE"/>
    <w:rsid w:val="001C5100"/>
    <w:rsid w:val="001F050D"/>
    <w:rsid w:val="00212884"/>
    <w:rsid w:val="0021530D"/>
    <w:rsid w:val="0021768A"/>
    <w:rsid w:val="00221722"/>
    <w:rsid w:val="0023791B"/>
    <w:rsid w:val="00257AD2"/>
    <w:rsid w:val="0028301E"/>
    <w:rsid w:val="00297DB6"/>
    <w:rsid w:val="002C29B9"/>
    <w:rsid w:val="002C512F"/>
    <w:rsid w:val="003040CD"/>
    <w:rsid w:val="00317D15"/>
    <w:rsid w:val="00360CB9"/>
    <w:rsid w:val="003734C9"/>
    <w:rsid w:val="00377999"/>
    <w:rsid w:val="00395368"/>
    <w:rsid w:val="003A0EE9"/>
    <w:rsid w:val="003E5A01"/>
    <w:rsid w:val="003E6F8C"/>
    <w:rsid w:val="00414300"/>
    <w:rsid w:val="004144D0"/>
    <w:rsid w:val="00473CA9"/>
    <w:rsid w:val="004852C3"/>
    <w:rsid w:val="004A0066"/>
    <w:rsid w:val="004A1967"/>
    <w:rsid w:val="004B3D7A"/>
    <w:rsid w:val="004C1052"/>
    <w:rsid w:val="004C1B23"/>
    <w:rsid w:val="004D04E9"/>
    <w:rsid w:val="004E4B27"/>
    <w:rsid w:val="004F3FB3"/>
    <w:rsid w:val="005164E1"/>
    <w:rsid w:val="00526A97"/>
    <w:rsid w:val="00536F6D"/>
    <w:rsid w:val="00557485"/>
    <w:rsid w:val="00563365"/>
    <w:rsid w:val="0059757A"/>
    <w:rsid w:val="005B166B"/>
    <w:rsid w:val="005B740F"/>
    <w:rsid w:val="005B7DEE"/>
    <w:rsid w:val="005C76A0"/>
    <w:rsid w:val="00627250"/>
    <w:rsid w:val="00630B41"/>
    <w:rsid w:val="00631480"/>
    <w:rsid w:val="00634D62"/>
    <w:rsid w:val="006A16B9"/>
    <w:rsid w:val="006A2A7D"/>
    <w:rsid w:val="006B4EC6"/>
    <w:rsid w:val="006B6EA2"/>
    <w:rsid w:val="006C1134"/>
    <w:rsid w:val="006C4158"/>
    <w:rsid w:val="006D201C"/>
    <w:rsid w:val="006F663D"/>
    <w:rsid w:val="00712696"/>
    <w:rsid w:val="00772CBA"/>
    <w:rsid w:val="007738B0"/>
    <w:rsid w:val="0077501F"/>
    <w:rsid w:val="00775200"/>
    <w:rsid w:val="00781080"/>
    <w:rsid w:val="00797384"/>
    <w:rsid w:val="007A6BBB"/>
    <w:rsid w:val="007B1C0B"/>
    <w:rsid w:val="007C0206"/>
    <w:rsid w:val="007D1422"/>
    <w:rsid w:val="00812B47"/>
    <w:rsid w:val="00813BF6"/>
    <w:rsid w:val="00841874"/>
    <w:rsid w:val="00865911"/>
    <w:rsid w:val="0086676B"/>
    <w:rsid w:val="008840E7"/>
    <w:rsid w:val="0089027D"/>
    <w:rsid w:val="008C502E"/>
    <w:rsid w:val="00904913"/>
    <w:rsid w:val="009276DC"/>
    <w:rsid w:val="0095118F"/>
    <w:rsid w:val="00953C09"/>
    <w:rsid w:val="009C1C8E"/>
    <w:rsid w:val="009F6624"/>
    <w:rsid w:val="00A67C9A"/>
    <w:rsid w:val="00AA7145"/>
    <w:rsid w:val="00AC49FE"/>
    <w:rsid w:val="00B007A7"/>
    <w:rsid w:val="00B14927"/>
    <w:rsid w:val="00B44158"/>
    <w:rsid w:val="00B77DA9"/>
    <w:rsid w:val="00BB4EDF"/>
    <w:rsid w:val="00BE24BC"/>
    <w:rsid w:val="00BF5069"/>
    <w:rsid w:val="00C3790F"/>
    <w:rsid w:val="00C5657F"/>
    <w:rsid w:val="00C56E90"/>
    <w:rsid w:val="00C62A92"/>
    <w:rsid w:val="00CA69B0"/>
    <w:rsid w:val="00CB1DD0"/>
    <w:rsid w:val="00CC63DF"/>
    <w:rsid w:val="00D328AF"/>
    <w:rsid w:val="00D35989"/>
    <w:rsid w:val="00D41AD6"/>
    <w:rsid w:val="00D90021"/>
    <w:rsid w:val="00DB12BA"/>
    <w:rsid w:val="00DB3DAE"/>
    <w:rsid w:val="00DB6D53"/>
    <w:rsid w:val="00DC596A"/>
    <w:rsid w:val="00DF707E"/>
    <w:rsid w:val="00E11AC0"/>
    <w:rsid w:val="00E34BE2"/>
    <w:rsid w:val="00E835B7"/>
    <w:rsid w:val="00F47C4F"/>
    <w:rsid w:val="00F86413"/>
    <w:rsid w:val="00F876E6"/>
    <w:rsid w:val="00F91127"/>
    <w:rsid w:val="00FA3BE0"/>
    <w:rsid w:val="00FA4609"/>
    <w:rsid w:val="00FB48F5"/>
    <w:rsid w:val="00FE62E5"/>
    <w:rsid w:val="3F77778E"/>
    <w:rsid w:val="5F4FB32F"/>
    <w:rsid w:val="6B3FCA18"/>
    <w:rsid w:val="6B9EE706"/>
    <w:rsid w:val="79DF80E9"/>
    <w:rsid w:val="7EFE1C87"/>
    <w:rsid w:val="B6CBF1E7"/>
    <w:rsid w:val="BDFEA10E"/>
    <w:rsid w:val="BF7F0515"/>
    <w:rsid w:val="CF6F16FF"/>
    <w:rsid w:val="FB0F4007"/>
    <w:rsid w:val="FB973383"/>
    <w:rsid w:val="FFFF637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Arial" w:hAnsi="Arial" w:eastAsia="Times New Roman" w:cs="Arial"/>
      <w:sz w:val="18"/>
      <w:szCs w:val="24"/>
      <w:lang w:val="en-US" w:eastAsia="en-US" w:bidi="ar-SA"/>
    </w:rPr>
  </w:style>
  <w:style w:type="paragraph" w:styleId="2">
    <w:name w:val="heading 1"/>
    <w:basedOn w:val="1"/>
    <w:next w:val="1"/>
    <w:qFormat/>
    <w:uiPriority w:val="0"/>
    <w:pPr>
      <w:keepNext/>
      <w:spacing w:before="240" w:after="60"/>
      <w:outlineLvl w:val="0"/>
    </w:pPr>
    <w:rPr>
      <w:b/>
      <w:bCs/>
      <w:kern w:val="32"/>
      <w:sz w:val="32"/>
      <w:szCs w:val="32"/>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spacing w:before="240" w:after="60"/>
      <w:outlineLvl w:val="2"/>
    </w:pPr>
    <w:rPr>
      <w:b/>
      <w:bCs/>
      <w:sz w:val="26"/>
      <w:szCs w:val="26"/>
    </w:rPr>
  </w:style>
  <w:style w:type="paragraph" w:styleId="5">
    <w:name w:val="heading 4"/>
    <w:basedOn w:val="1"/>
    <w:next w:val="1"/>
    <w:link w:val="30"/>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31"/>
    <w:unhideWhenUsed/>
    <w:qFormat/>
    <w:uiPriority w:val="0"/>
    <w:pPr>
      <w:keepNext/>
      <w:keepLines/>
      <w:spacing w:before="200"/>
      <w:outlineLvl w:val="4"/>
    </w:pPr>
    <w:rPr>
      <w:rFonts w:asciiTheme="majorHAnsi" w:hAnsiTheme="majorHAnsi" w:eastAsiaTheme="majorEastAsia" w:cstheme="majorBidi"/>
      <w:color w:val="243F61" w:themeColor="accent1" w:themeShade="7F"/>
    </w:rPr>
  </w:style>
  <w:style w:type="character" w:default="1" w:styleId="18">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7">
    <w:name w:val="Document Map"/>
    <w:basedOn w:val="1"/>
    <w:semiHidden/>
    <w:qFormat/>
    <w:uiPriority w:val="0"/>
    <w:pPr>
      <w:shd w:val="clear" w:color="auto" w:fill="000080"/>
    </w:pPr>
    <w:rPr>
      <w:rFonts w:ascii="Tahoma" w:hAnsi="Tahoma" w:cs="Tahoma"/>
      <w:sz w:val="20"/>
      <w:szCs w:val="20"/>
    </w:rPr>
  </w:style>
  <w:style w:type="paragraph" w:styleId="8">
    <w:name w:val="toc 5"/>
    <w:basedOn w:val="1"/>
    <w:next w:val="1"/>
    <w:semiHidden/>
    <w:qFormat/>
    <w:uiPriority w:val="0"/>
    <w:pPr>
      <w:spacing w:line="360" w:lineRule="auto"/>
      <w:ind w:left="960"/>
    </w:pPr>
  </w:style>
  <w:style w:type="paragraph" w:styleId="9">
    <w:name w:val="toc 3"/>
    <w:basedOn w:val="1"/>
    <w:next w:val="1"/>
    <w:qFormat/>
    <w:uiPriority w:val="39"/>
    <w:pPr>
      <w:spacing w:line="360" w:lineRule="auto"/>
      <w:ind w:left="480"/>
    </w:pPr>
  </w:style>
  <w:style w:type="paragraph" w:styleId="10">
    <w:name w:val="Balloon Text"/>
    <w:basedOn w:val="1"/>
    <w:link w:val="28"/>
    <w:qFormat/>
    <w:uiPriority w:val="0"/>
    <w:rPr>
      <w:rFonts w:ascii="Tahoma" w:hAnsi="Tahoma" w:cs="Tahoma"/>
      <w:sz w:val="16"/>
      <w:szCs w:val="16"/>
    </w:rPr>
  </w:style>
  <w:style w:type="paragraph" w:styleId="11">
    <w:name w:val="footer"/>
    <w:basedOn w:val="1"/>
    <w:link w:val="36"/>
    <w:qFormat/>
    <w:uiPriority w:val="99"/>
    <w:pPr>
      <w:tabs>
        <w:tab w:val="center" w:pos="4680"/>
        <w:tab w:val="right" w:pos="9360"/>
      </w:tabs>
      <w:spacing w:before="0" w:after="0"/>
    </w:pPr>
  </w:style>
  <w:style w:type="paragraph" w:styleId="12">
    <w:name w:val="header"/>
    <w:basedOn w:val="1"/>
    <w:link w:val="35"/>
    <w:qFormat/>
    <w:uiPriority w:val="99"/>
    <w:pPr>
      <w:tabs>
        <w:tab w:val="center" w:pos="4680"/>
        <w:tab w:val="right" w:pos="9360"/>
      </w:tabs>
      <w:spacing w:before="0" w:after="0"/>
    </w:pPr>
  </w:style>
  <w:style w:type="paragraph" w:styleId="13">
    <w:name w:val="toc 1"/>
    <w:basedOn w:val="1"/>
    <w:next w:val="1"/>
    <w:qFormat/>
    <w:uiPriority w:val="39"/>
    <w:pPr>
      <w:spacing w:line="360" w:lineRule="auto"/>
    </w:pPr>
    <w:rPr>
      <w:b/>
    </w:rPr>
  </w:style>
  <w:style w:type="paragraph" w:styleId="14">
    <w:name w:val="toc 4"/>
    <w:basedOn w:val="1"/>
    <w:next w:val="1"/>
    <w:qFormat/>
    <w:uiPriority w:val="39"/>
    <w:pPr>
      <w:spacing w:line="360" w:lineRule="auto"/>
      <w:ind w:left="720"/>
    </w:pPr>
  </w:style>
  <w:style w:type="paragraph" w:styleId="15">
    <w:name w:val="toc 2"/>
    <w:basedOn w:val="1"/>
    <w:next w:val="1"/>
    <w:qFormat/>
    <w:uiPriority w:val="39"/>
    <w:pPr>
      <w:spacing w:line="360" w:lineRule="auto"/>
      <w:ind w:left="240"/>
    </w:p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qFormat/>
    <w:uiPriority w:val="99"/>
    <w:rPr>
      <w:color w:val="0000FF"/>
      <w:u w:val="single"/>
    </w:rPr>
  </w:style>
  <w:style w:type="paragraph" w:customStyle="1" w:styleId="20">
    <w:name w:val="AxureTOCHeading"/>
    <w:basedOn w:val="1"/>
    <w:qFormat/>
    <w:uiPriority w:val="0"/>
    <w:pPr>
      <w:spacing w:before="360"/>
      <w:jc w:val="center"/>
    </w:pPr>
    <w:rPr>
      <w:b/>
      <w:color w:val="3F3F3F" w:themeColor="text1" w:themeTint="BF"/>
      <w:sz w:val="24"/>
    </w:rPr>
  </w:style>
  <w:style w:type="paragraph" w:customStyle="1" w:styleId="21">
    <w:name w:val="AxureHeading1"/>
    <w:basedOn w:val="1"/>
    <w:qFormat/>
    <w:uiPriority w:val="0"/>
    <w:pPr>
      <w:numPr>
        <w:ilvl w:val="0"/>
        <w:numId w:val="1"/>
      </w:numPr>
      <w:spacing w:after="240"/>
    </w:pPr>
    <w:rPr>
      <w:b/>
      <w:color w:val="3F3F3F" w:themeColor="text1" w:themeTint="BF"/>
      <w:sz w:val="28"/>
    </w:rPr>
  </w:style>
  <w:style w:type="paragraph" w:customStyle="1" w:styleId="22">
    <w:name w:val="AxureHeading2"/>
    <w:basedOn w:val="1"/>
    <w:qFormat/>
    <w:uiPriority w:val="0"/>
    <w:pPr>
      <w:numPr>
        <w:ilvl w:val="1"/>
        <w:numId w:val="1"/>
      </w:numPr>
    </w:pPr>
    <w:rPr>
      <w:b/>
      <w:color w:val="3F3F3F" w:themeColor="text1" w:themeTint="BF"/>
      <w:sz w:val="26"/>
    </w:rPr>
  </w:style>
  <w:style w:type="paragraph" w:customStyle="1" w:styleId="23">
    <w:name w:val="AxureHeading3"/>
    <w:basedOn w:val="1"/>
    <w:qFormat/>
    <w:uiPriority w:val="0"/>
    <w:pPr>
      <w:numPr>
        <w:ilvl w:val="2"/>
        <w:numId w:val="1"/>
      </w:numPr>
      <w:spacing w:before="240"/>
    </w:pPr>
    <w:rPr>
      <w:b/>
      <w:color w:val="3F3F3F" w:themeColor="text1" w:themeTint="BF"/>
      <w:sz w:val="20"/>
    </w:rPr>
  </w:style>
  <w:style w:type="paragraph" w:customStyle="1" w:styleId="24">
    <w:name w:val="AxureHeading4"/>
    <w:basedOn w:val="1"/>
    <w:qFormat/>
    <w:uiPriority w:val="0"/>
    <w:pPr>
      <w:numPr>
        <w:ilvl w:val="3"/>
        <w:numId w:val="1"/>
      </w:numPr>
      <w:spacing w:before="240"/>
    </w:pPr>
    <w:rPr>
      <w:b/>
      <w:i/>
      <w:color w:val="3F3F3F" w:themeColor="text1" w:themeTint="BF"/>
      <w:sz w:val="20"/>
    </w:rPr>
  </w:style>
  <w:style w:type="paragraph" w:customStyle="1" w:styleId="25">
    <w:name w:val="AxureTableHeaderText"/>
    <w:basedOn w:val="1"/>
    <w:qFormat/>
    <w:uiPriority w:val="0"/>
    <w:pPr>
      <w:spacing w:before="60" w:after="60"/>
    </w:pPr>
    <w:rPr>
      <w:b/>
      <w:sz w:val="16"/>
    </w:rPr>
  </w:style>
  <w:style w:type="paragraph" w:customStyle="1" w:styleId="26">
    <w:name w:val="AxureTableNormalText"/>
    <w:basedOn w:val="1"/>
    <w:qFormat/>
    <w:uiPriority w:val="0"/>
    <w:pPr>
      <w:spacing w:before="60" w:after="60"/>
    </w:pPr>
    <w:rPr>
      <w:sz w:val="16"/>
    </w:rPr>
  </w:style>
  <w:style w:type="paragraph" w:customStyle="1" w:styleId="27">
    <w:name w:val="AxureHeadingBasic"/>
    <w:basedOn w:val="1"/>
    <w:qFormat/>
    <w:uiPriority w:val="0"/>
    <w:pPr>
      <w:spacing w:before="240"/>
    </w:pPr>
    <w:rPr>
      <w:b/>
      <w:color w:val="3F3F3F" w:themeColor="text1" w:themeTint="BF"/>
      <w:u w:val="single"/>
    </w:rPr>
  </w:style>
  <w:style w:type="character" w:customStyle="1" w:styleId="28">
    <w:name w:val="Balloon Text Char"/>
    <w:basedOn w:val="18"/>
    <w:link w:val="10"/>
    <w:qFormat/>
    <w:uiPriority w:val="0"/>
    <w:rPr>
      <w:rFonts w:ascii="Tahoma" w:hAnsi="Tahoma" w:cs="Tahoma"/>
      <w:sz w:val="16"/>
      <w:szCs w:val="16"/>
    </w:rPr>
  </w:style>
  <w:style w:type="table" w:customStyle="1" w:styleId="29">
    <w:name w:val="AxureTableStyle"/>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rPr>
      <w:cantSplit/>
    </w:trPr>
    <w:tcPr>
      <w:shd w:val="clear" w:color="auto" w:fill="FFFFFF" w:themeFill="background1"/>
    </w:tcPr>
    <w:tblStylePr w:type="firstRow">
      <w:rPr>
        <w:b/>
      </w:rPr>
      <w:tblPr/>
      <w:trPr>
        <w:tblHeader/>
      </w:trPr>
      <w:tcPr>
        <w:shd w:val="clear" w:color="auto" w:fill="D8D8D8" w:themeFill="background1" w:themeFillShade="D9"/>
      </w:tcPr>
    </w:tblStylePr>
    <w:tblStylePr w:type="band2Horz">
      <w:tcPr>
        <w:shd w:val="clear" w:color="auto" w:fill="F1F1F1" w:themeFill="background1" w:themeFillShade="F2"/>
      </w:tcPr>
    </w:tblStylePr>
  </w:style>
  <w:style w:type="character" w:customStyle="1" w:styleId="30">
    <w:name w:val="Heading 4 Char"/>
    <w:basedOn w:val="18"/>
    <w:link w:val="5"/>
    <w:qFormat/>
    <w:uiPriority w:val="0"/>
    <w:rPr>
      <w:rFonts w:asciiTheme="majorHAnsi" w:hAnsiTheme="majorHAnsi" w:eastAsiaTheme="majorEastAsia" w:cstheme="majorBidi"/>
      <w:b/>
      <w:bCs/>
      <w:i/>
      <w:iCs/>
      <w:color w:val="4F81BD" w:themeColor="accent1"/>
      <w:sz w:val="18"/>
      <w:szCs w:val="24"/>
    </w:rPr>
  </w:style>
  <w:style w:type="character" w:customStyle="1" w:styleId="31">
    <w:name w:val="Heading 5 Char"/>
    <w:basedOn w:val="18"/>
    <w:link w:val="6"/>
    <w:qFormat/>
    <w:uiPriority w:val="0"/>
    <w:rPr>
      <w:rFonts w:asciiTheme="majorHAnsi" w:hAnsiTheme="majorHAnsi" w:eastAsiaTheme="majorEastAsia" w:cstheme="majorBidi"/>
      <w:color w:val="243F61" w:themeColor="accent1" w:themeShade="7F"/>
      <w:sz w:val="18"/>
      <w:szCs w:val="24"/>
    </w:rPr>
  </w:style>
  <w:style w:type="paragraph" w:customStyle="1" w:styleId="32">
    <w:name w:val="AxureImageParagraph"/>
    <w:basedOn w:val="1"/>
    <w:qFormat/>
    <w:uiPriority w:val="0"/>
    <w:pPr>
      <w:jc w:val="center"/>
    </w:pPr>
  </w:style>
  <w:style w:type="paragraph" w:customStyle="1" w:styleId="33">
    <w:name w:val="No Spacing"/>
    <w:link w:val="34"/>
    <w:qFormat/>
    <w:uiPriority w:val="1"/>
    <w:rPr>
      <w:rFonts w:asciiTheme="minorHAnsi" w:hAnsiTheme="minorHAnsi" w:eastAsiaTheme="minorEastAsia" w:cstheme="minorBidi"/>
      <w:sz w:val="22"/>
      <w:szCs w:val="22"/>
      <w:lang w:val="en-US" w:eastAsia="en-US" w:bidi="ar-SA"/>
    </w:rPr>
  </w:style>
  <w:style w:type="character" w:customStyle="1" w:styleId="34">
    <w:name w:val="No Spacing Char"/>
    <w:basedOn w:val="18"/>
    <w:link w:val="33"/>
    <w:qFormat/>
    <w:uiPriority w:val="1"/>
    <w:rPr>
      <w:rFonts w:asciiTheme="minorHAnsi" w:hAnsiTheme="minorHAnsi" w:eastAsiaTheme="minorEastAsia" w:cstheme="minorBidi"/>
      <w:sz w:val="22"/>
      <w:szCs w:val="22"/>
    </w:rPr>
  </w:style>
  <w:style w:type="character" w:customStyle="1" w:styleId="35">
    <w:name w:val="Header Char"/>
    <w:basedOn w:val="18"/>
    <w:link w:val="12"/>
    <w:qFormat/>
    <w:uiPriority w:val="99"/>
    <w:rPr>
      <w:rFonts w:ascii="Arial" w:hAnsi="Arial" w:cs="Arial"/>
      <w:sz w:val="18"/>
      <w:szCs w:val="24"/>
    </w:rPr>
  </w:style>
  <w:style w:type="character" w:customStyle="1" w:styleId="36">
    <w:name w:val="Footer Char"/>
    <w:basedOn w:val="18"/>
    <w:link w:val="11"/>
    <w:qFormat/>
    <w:uiPriority w:val="99"/>
    <w:rPr>
      <w:rFonts w:ascii="Arial" w:hAnsi="Arial" w:cs="Arial"/>
      <w:sz w:val="18"/>
      <w:szCs w:val="24"/>
    </w:rPr>
  </w:style>
  <w:style w:type="character" w:customStyle="1" w:styleId="37">
    <w:name w:val="Placeholder Text"/>
    <w:basedOn w:val="18"/>
    <w:semiHidden/>
    <w:qFormat/>
    <w:uiPriority w:val="99"/>
    <w:rPr>
      <w:color w:val="808080"/>
    </w:rPr>
  </w:style>
  <w:style w:type="paragraph" w:customStyle="1" w:styleId="38">
    <w:name w:val="AxureHiddenParagraph"/>
    <w:basedOn w:val="1"/>
    <w:qFormat/>
    <w:uiPriority w:val="0"/>
    <w:pPr>
      <w:spacing w:before="0" w:after="0"/>
    </w:pPr>
    <w:rPr>
      <w:sz w:val="2"/>
    </w:rPr>
  </w:style>
  <w:style w:type="paragraph" w:customStyle="1" w:styleId="39">
    <w:name w:val="Axure一级标题"/>
    <w:basedOn w:val="1"/>
    <w:qFormat/>
    <w:uiPriority w:val="0"/>
    <w:pPr>
      <w:spacing w:after="240"/>
      <w:outlineLvl w:val="0"/>
    </w:pPr>
    <w:rPr>
      <w:b/>
      <w:color w:val="auto"/>
      <w:sz w:val="28"/>
    </w:rPr>
  </w:style>
  <w:style w:type="paragraph" w:customStyle="1" w:styleId="40">
    <w:name w:val="AxureHeading21"/>
    <w:basedOn w:val="1"/>
    <w:qFormat/>
    <w:uiPriority w:val="0"/>
    <w:pPr>
      <w:outlineLvl w:val="1"/>
    </w:pPr>
    <w:rPr>
      <w:b/>
      <w:color w:val="auto"/>
      <w:sz w:val="26"/>
    </w:rPr>
  </w:style>
  <w:style w:type="paragraph" w:customStyle="1" w:styleId="41">
    <w:name w:val="AxureHeading31"/>
    <w:basedOn w:val="1"/>
    <w:qFormat/>
    <w:uiPriority w:val="0"/>
    <w:pPr>
      <w:spacing w:before="240"/>
      <w:outlineLvl w:val="2"/>
    </w:pPr>
    <w:rPr>
      <w:b/>
      <w:color w:val="auto"/>
      <w:szCs w:val="20"/>
    </w:rPr>
  </w:style>
  <w:style w:type="paragraph" w:customStyle="1" w:styleId="42">
    <w:name w:val="AxureHeading41"/>
    <w:basedOn w:val="1"/>
    <w:qFormat/>
    <w:uiPriority w:val="0"/>
    <w:pPr>
      <w:spacing w:before="240"/>
      <w:outlineLvl w:val="3"/>
    </w:pPr>
    <w:rPr>
      <w:b/>
      <w:i/>
      <w:color w:val="auto"/>
      <w:sz w:val="20"/>
    </w:rPr>
  </w:style>
  <w:style w:type="paragraph" w:customStyle="1" w:styleId="43">
    <w:name w:val="Axure表格标题文字"/>
    <w:basedOn w:val="1"/>
    <w:qFormat/>
    <w:uiPriority w:val="0"/>
    <w:pPr>
      <w:spacing w:before="60" w:after="60"/>
    </w:pPr>
    <w:rPr>
      <w:b/>
      <w:sz w:val="16"/>
    </w:rPr>
  </w:style>
  <w:style w:type="paragraph" w:customStyle="1" w:styleId="44">
    <w:name w:val="Axure表格常规文字"/>
    <w:basedOn w:val="1"/>
    <w:qFormat/>
    <w:uiPriority w:val="0"/>
    <w:pPr>
      <w:spacing w:before="60" w:after="60"/>
    </w:pPr>
    <w:rPr>
      <w:sz w:val="16"/>
    </w:rPr>
  </w:style>
  <w:style w:type="paragraph" w:customStyle="1" w:styleId="45">
    <w:name w:val="Axure基本标题"/>
    <w:basedOn w:val="1"/>
    <w:qFormat/>
    <w:uiPriority w:val="0"/>
    <w:pPr>
      <w:spacing w:before="240"/>
    </w:pPr>
    <w:rPr>
      <w:b/>
      <w:u w:val="single"/>
    </w:rPr>
  </w:style>
  <w:style w:type="table" w:customStyle="1" w:styleId="46">
    <w:name w:val="Axure表格样式"/>
    <w:basedOn w:val="16"/>
    <w:qFormat/>
    <w:uiPriority w:val="99"/>
    <w:rPr>
      <w:rFonts w:ascii="Arial" w:hAnsi="Arial"/>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
    <w:tcPr>
      <w:shd w:val="clear" w:color="auto" w:fill="FFFFFF" w:themeFill="background1"/>
    </w:tcPr>
    <w:tblStylePr w:type="firstRow">
      <w:rPr>
        <w:b/>
      </w:rPr>
      <w:tcPr>
        <w:shd w:val="clear" w:color="auto" w:fill="D8D8D8" w:themeFill="background1" w:themeFillShade="D9"/>
      </w:tcPr>
    </w:tblStylePr>
    <w:tblStylePr w:type="band2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hubo/Library/Containers/com.kingsoft.wpsoffice.mac/Data/C:\Users\nick.hunt\AppData\Local\Temp\315c31ec-09d6-49e5-9158-2e9e98120a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315c31ec-09d6-49e5-9158-2e9e98120a01.dot</Template>
  <Company>Axure</Company>
  <Pages>3</Pages>
  <Words>91</Words>
  <Characters>525</Characters>
  <Lines>4</Lines>
  <Paragraphs>1</Paragraphs>
  <TotalTime>16</TotalTime>
  <ScaleCrop>false</ScaleCrop>
  <LinksUpToDate>false</LinksUpToDate>
  <CharactersWithSpaces>615</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2010-09-07T13:47:00Z</dcterms:created>
  <dc:creator>[Your Name]</dc:creator>
  <cp:lastModifiedBy>风过之痕</cp:lastModifiedBy>
  <cp:lastPrinted>2010-09-06T16:33:00Z</cp:lastPrinted>
  <dcterms:modified xsi:type="dcterms:W3CDTF">2022-06-23T16:39:09Z</dcterms:modified>
  <dc:title>The Documentation</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1607183E13F4B33086ECA5623AEE56D0</vt:lpwstr>
  </property>
</Properties>
</file>