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趣伴卡团队对私结算</w:t>
      </w:r>
      <w:r>
        <w:rPr>
          <w:rFonts w:hint="eastAsia" w:eastAsia="宋体"/>
          <w:sz w:val="36"/>
          <w:szCs w:val="36"/>
          <w:lang w:val="en-US" w:eastAsia="zh-CN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现有前端接洽部分代理，希望直接使用银行链接展业，用户申请时不提供信息给趣伴卡，直接用银行日报数据结算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1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H5前端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1805305" cy="3533775"/>
            <wp:effectExtent l="0" t="0" r="23495" b="222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前端页面首页进入后展示“我的”底部无底栏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提现、账户明细、待调账明细根据控台渠道信息控制进行展示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br w:type="page"/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控台-渠道信息管理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5825" cy="3653155"/>
            <wp:effectExtent l="0" t="0" r="317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渠道类型增加外界展业团队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该类型除首页为“我的”外，其他同自营展业版，渠道信息中需配置展业版相关内容，可配置虚拟一代、推荐奖越级奖比例、公众号信息等内容。</w:t>
      </w:r>
    </w:p>
    <w:p>
      <w:p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br w:type="page"/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控台-数据管理-团队结算数据管理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56730" cy="3140075"/>
            <wp:effectExtent l="0" t="0" r="127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算单号、收益方编号、收益渠道（仅展示外接展业团队类型的渠道）、产品类型（枚举值：信用卡、借记卡、贷款、保险、拉新）、产品名称（根据产品类型展示对应类型中的银行名称或产品名称）、结算状态（枚举值：未结算、已结算）、审核状态（枚举值：待复核、已复核、复核拒绝）、结算日期、发放日期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展示内容：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结算单号、收益方编号、收益渠道、产品类型、产品名称、</w:t>
      </w:r>
      <w:r>
        <w:rPr>
          <w:rFonts w:hint="eastAsia" w:eastAsia="宋体"/>
          <w:color w:val="FF0000"/>
          <w:lang w:val="en-US" w:eastAsia="zh-CN"/>
        </w:rPr>
        <w:t>结算标准、</w:t>
      </w:r>
      <w:r>
        <w:rPr>
          <w:rFonts w:hint="eastAsia" w:eastAsia="宋体"/>
          <w:lang w:val="en-US" w:eastAsia="zh-CN"/>
        </w:rPr>
        <w:t>结算金额、结算状态、复核状态、结算依据、</w:t>
      </w:r>
      <w:r>
        <w:rPr>
          <w:rFonts w:hint="eastAsia" w:eastAsia="宋体"/>
          <w:color w:val="FF0000"/>
          <w:lang w:val="en-US" w:eastAsia="zh-CN"/>
        </w:rPr>
        <w:t>分润精度</w:t>
      </w:r>
      <w:r>
        <w:rPr>
          <w:rFonts w:hint="eastAsia" w:eastAsia="宋体"/>
          <w:lang w:val="en-US" w:eastAsia="zh-CN"/>
        </w:rPr>
        <w:t>、发放状态、结算时间、复核时间、发放时间、操作员、操作（修改、重新推送）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基本功能：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新增——可输入收益方编号，选择收益渠道（仅展示外接展业团队类型的渠道），产品类型，产品名称，结算依据（张数、开户数、总放款额等），结算金额。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修改——除结算依据、结算金额外均不可修改。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导出——将查询数据表导出，字段同展示内容。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人工复核——功能同结算表复核人工复核，权限控制为仅超级管理员可展示、操作，其他角色均不展示。</w:t>
      </w:r>
    </w:p>
    <w:p>
      <w:pPr>
        <w:numPr>
          <w:ilvl w:val="0"/>
          <w:numId w:val="0"/>
        </w:num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该菜单的所有结算单数据的奖励类型，均为团队奖励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695575" cy="1352550"/>
            <wp:effectExtent l="0" t="0" r="22225" b="190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批量导入——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3491230" cy="1433830"/>
            <wp:effectExtent l="0" t="0" r="1397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导入模板：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13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业务逻辑-结算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通过现有结算接口将结算数据通知给拓客系统，实现发放奖励金额到拓客账户，后续拓客使用前端H5页面进行提现。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相应数据报表出在趣团队渠道的趣伴卡分润报表中，由数据与业务部门出具审批表付款至佳德宝，走趣伴卡渠道相应汇积头寸出款。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拓客SAAS-结算</w:t>
      </w:r>
    </w:p>
    <w:p>
      <w:pPr>
        <w:numPr>
          <w:ilvl w:val="0"/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>通过现有结算接口将结算数据通知给拓客系统，增加一个奖励类型的枚举值，为团队奖励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趣伴卡控台-业务员结算表复核、产品结算表复核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查询展示字段、导出字段，增加分润精度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FF68CC"/>
    <w:multiLevelType w:val="singleLevel"/>
    <w:tmpl w:val="EFFF68C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oleObject" Target="embeddings/oleObject1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8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2010-10-17T13:47:00Z</dcterms:created>
  <dc:creator>[Your Name]</dc:creator>
  <cp:lastModifiedBy>风过之痕</cp:lastModifiedBy>
  <cp:lastPrinted>2010-10-16T16:33:00Z</cp:lastPrinted>
  <dcterms:modified xsi:type="dcterms:W3CDTF">2024-01-15T11:10:02Z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